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关于公开征求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Hans"/>
        </w:rPr>
        <w:t>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关于进一步加强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Hans"/>
        </w:rPr>
        <w:t>地膜科学使用与回收试点项目管理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通知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征求意见稿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意见的公告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地膜科学使用回收试点项目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加强地膜生产、销售、使用、回收再利用等</w:t>
      </w:r>
      <w:r>
        <w:rPr>
          <w:rFonts w:ascii="Times New Roman" w:hAnsi="Times New Roman" w:eastAsia="仿宋_GB2312"/>
          <w:sz w:val="32"/>
          <w:szCs w:val="32"/>
        </w:rPr>
        <w:t>全链条监管和</w:t>
      </w:r>
      <w:r>
        <w:rPr>
          <w:rFonts w:hint="eastAsia" w:ascii="Times New Roman" w:hAnsi="Times New Roman" w:eastAsia="仿宋_GB2312"/>
          <w:sz w:val="32"/>
          <w:szCs w:val="32"/>
        </w:rPr>
        <w:t>全过程</w:t>
      </w:r>
      <w:r>
        <w:rPr>
          <w:rFonts w:ascii="Times New Roman" w:hAnsi="Times New Roman" w:eastAsia="仿宋_GB2312"/>
          <w:sz w:val="32"/>
          <w:szCs w:val="32"/>
        </w:rPr>
        <w:t>治</w:t>
      </w:r>
      <w:r>
        <w:rPr>
          <w:rFonts w:hint="eastAsia" w:ascii="Times New Roman" w:hAnsi="Times New Roman" w:eastAsia="仿宋_GB2312"/>
          <w:sz w:val="32"/>
          <w:szCs w:val="32"/>
        </w:rPr>
        <w:t>理，加快构建废旧地膜污染治理长效机制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  <w:t>，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CN"/>
        </w:rPr>
        <w:t>自治区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农业农村厅结合我区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实际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《新疆维吾尔自治区农田地膜管理条例》《农用薄膜管理办法》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等有关文件精神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，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起草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  <w:lang w:eastAsia="zh-CN"/>
        </w:rPr>
        <w:t>了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  <w:t>关于进一步加强地膜科学使用与回收试点项目管理的通知（征求意见稿）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  <w:lang w:eastAsia="zh-CN"/>
        </w:rPr>
        <w:t>》，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前期征求了</w:t>
      </w:r>
      <w:r>
        <w:rPr>
          <w:rStyle w:val="15"/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CN"/>
        </w:rPr>
        <w:t>厅属相关单位、相关地州农业农村局及辖区地膜企业意见和建议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，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现向社会公开征求意见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，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公众可登陆</w:t>
      </w:r>
      <w:r>
        <w:rPr>
          <w:rStyle w:val="15"/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“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CN"/>
        </w:rPr>
        <w:t>http://nynct.xinjiang.gov.cn/</w:t>
      </w:r>
      <w:r>
        <w:rPr>
          <w:rStyle w:val="15"/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”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CN"/>
        </w:rPr>
        <w:t>，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通过自治区农业农村厅官方网站的“通知公告”栏查询征求意见稿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，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有关意见建议可在2022年</w:t>
      </w:r>
      <w:r>
        <w:rPr>
          <w:rStyle w:val="15"/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CN"/>
        </w:rPr>
        <w:t>10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月</w:t>
      </w:r>
      <w:r>
        <w:rPr>
          <w:rStyle w:val="15"/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CN"/>
        </w:rPr>
        <w:t>18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日前通过电子邮件方式反馈至</w:t>
      </w:r>
      <w:r>
        <w:rPr>
          <w:rStyle w:val="15"/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CN"/>
        </w:rPr>
        <w:t>xjnytstz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@1</w:t>
      </w:r>
      <w:r>
        <w:rPr>
          <w:rStyle w:val="15"/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CN"/>
        </w:rPr>
        <w:t>63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.com</w:t>
      </w:r>
      <w:r>
        <w:rPr>
          <w:rStyle w:val="15"/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  <w:t>关于进一步加强地膜科学使用与回收试点项目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  <w:t>管理的通知（征求意见稿）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  <w:lang w:eastAsia="zh-CN"/>
        </w:rPr>
        <w:t>》</w:t>
      </w:r>
    </w:p>
    <w:p>
      <w:pPr>
        <w:pStyle w:val="2"/>
        <w:rPr>
          <w:rFonts w:hint="default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  <w:lang w:val="en-US" w:eastAsia="zh-Hans"/>
        </w:rPr>
      </w:pPr>
      <w:r>
        <w:rPr>
          <w:rStyle w:val="15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 xml:space="preserve">                           </w:t>
      </w:r>
      <w:r>
        <w:rPr>
          <w:rStyle w:val="1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  <w:lang w:val="en-US" w:eastAsia="zh-Hans"/>
        </w:rPr>
        <w:t>自治区农业农村厅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kern w:val="0"/>
          <w:sz w:val="36"/>
          <w:szCs w:val="36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</w:rPr>
        <w:t xml:space="preserve">                          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  <w:t xml:space="preserve">  </w:t>
      </w: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</w:rPr>
        <w:t>2022年</w:t>
      </w: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</w:rPr>
        <w:t>月</w:t>
      </w: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Times New Roman Regular" w:hAnsi="Times New Roman Regular" w:eastAsia="仿宋_GB2312" w:cs="Times New Roman Regular"/>
          <w:kern w:val="0"/>
          <w:sz w:val="36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kern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关于进一步加强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Hans"/>
        </w:rPr>
        <w:t>地膜科学使用与回收试点项目管理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24"/>
          <w:lang w:val="en-US" w:eastAsia="zh-CN" w:bidi="ar-SA"/>
        </w:rPr>
        <w:t>（征求意见稿）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地膜科学使用回收试点项目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加强地膜生产、销售、使用、回收再利用等</w:t>
      </w:r>
      <w:r>
        <w:rPr>
          <w:rFonts w:ascii="Times New Roman" w:hAnsi="Times New Roman" w:eastAsia="仿宋_GB2312"/>
          <w:sz w:val="32"/>
          <w:szCs w:val="32"/>
        </w:rPr>
        <w:t>全链条监管和</w:t>
      </w:r>
      <w:r>
        <w:rPr>
          <w:rFonts w:hint="eastAsia" w:ascii="Times New Roman" w:hAnsi="Times New Roman" w:eastAsia="仿宋_GB2312"/>
          <w:sz w:val="32"/>
          <w:szCs w:val="32"/>
        </w:rPr>
        <w:t>全过程</w:t>
      </w:r>
      <w:r>
        <w:rPr>
          <w:rFonts w:ascii="Times New Roman" w:hAnsi="Times New Roman" w:eastAsia="仿宋_GB2312"/>
          <w:sz w:val="32"/>
          <w:szCs w:val="32"/>
        </w:rPr>
        <w:t>治</w:t>
      </w:r>
      <w:r>
        <w:rPr>
          <w:rFonts w:hint="eastAsia" w:ascii="Times New Roman" w:hAnsi="Times New Roman" w:eastAsia="仿宋_GB2312"/>
          <w:sz w:val="32"/>
          <w:szCs w:val="32"/>
        </w:rPr>
        <w:t>理，加快构建废旧地膜污染治理长效机制，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《新疆维吾尔自治区农田地膜管理条例》《农用薄膜管理办法》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结合我区实际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现将有关事项通知如下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Style w:val="13"/>
          <w:rFonts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一、责任及义务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（一）各级人民政府对本行政区域农用地膜污染防治负责，组织、协调、督促有关部门依法履行地膜污染防治监督管理职责。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农业农村主管部门负责加厚高强度地膜使用、回收监督管理工作，指导加厚高强度地膜回收利用体系建设。强化部门联合执法检查，做好加厚高强度地膜生产指导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回收、再利用过程中的监督管理工作。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（三）加厚高强度地膜生产者要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关于加厚高强度地膜的相关生产标准，确保产品质量。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（四）加厚高强度地膜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生产、销售企业和农业生产经营组织、使用者，负有回收废旧农</w:t>
      </w:r>
      <w:r>
        <w:rPr>
          <w:rFonts w:hint="eastAsia" w:ascii="仿宋_GB2312" w:hAnsi="仿宋_GB2312" w:eastAsia="仿宋_GB2312" w:cs="仿宋_GB2312"/>
          <w:sz w:val="32"/>
          <w:szCs w:val="32"/>
        </w:rPr>
        <w:t>田地膜的责任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生产和销售的每一批农膜须明确回收企业（专业的回收企业或生产企业），并建立回收台账，确保生产、使用的农膜应收尽收。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Style w:val="13"/>
          <w:rFonts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二、生产、销售和使用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（五）各县（市、区）要对本辖区内的地膜生产企业造册登记、建立生产、销售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登记台账，回收登记台账、建立农膜质量、回收可追溯制度。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加厚高强度地膜生产者要在每卷地膜上添加可辨识的企业标识，便于产品追溯和市场监管。如实记录产品名称、规格、数量（净重）、生产日期和批号、产品质量检验信息、购货人名称及其联系方式、销售日期等内容。出厂销售记录应当至少保存两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（七）出厂销售的产品要依法附具产品质量检验合格证。如实记录产品名称、规格、数量（净重）、生产者、生产日期和供货人名称及其联系方式、进货日期等内容。销售台账应当至少保存两年。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加厚高强度地膜生产者要如实记录用电量、用水量、加工量等，并确保与票据一致，不得以虚开发票手段骗取相关财政补贴资金。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（九）加厚高强度地膜使用者要建立产品使用记录、产品回收记录，如实记录使用和回收的时间、地点、对象以及产品名称、用量、生产者、销售者等内容。使用、回收记录应当至少保存两年。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（十）加厚高强度地膜使用者要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提供加厚</w:t>
      </w:r>
      <w:r>
        <w:rPr>
          <w:rFonts w:hint="eastAsia" w:ascii="Times New Roman" w:hAnsi="Times New Roman" w:eastAsia="仿宋_GB2312"/>
          <w:sz w:val="32"/>
          <w:szCs w:val="32"/>
        </w:rPr>
        <w:t>高强度地膜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使用的土地面积证明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加厚</w:t>
      </w:r>
      <w:r>
        <w:rPr>
          <w:rFonts w:hint="eastAsia" w:ascii="Times New Roman" w:hAnsi="Times New Roman" w:eastAsia="仿宋_GB2312"/>
          <w:sz w:val="32"/>
          <w:szCs w:val="32"/>
        </w:rPr>
        <w:t>高强度地膜购买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合同、回收合同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、票据等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要配合农业农村部门开展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田间抽样检验，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禁止虚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覆膜面积、只使用加厚高强度地膜不实施回收、以厚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度不达标地膜骗补、套取项目资金。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农业农村主管部门要</w:t>
      </w:r>
      <w:r>
        <w:rPr>
          <w:rFonts w:hint="eastAsia" w:ascii="Times New Roman" w:hAnsi="Times New Roman" w:eastAsia="仿宋_GB2312"/>
          <w:sz w:val="32"/>
          <w:szCs w:val="32"/>
        </w:rPr>
        <w:t>积极开展地膜科学使用回收宣传策划组织工作，组织开展宣传培训活动，营造全社会共同参与的良好氛围。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开展加厚高强度地膜适宜性覆盖评价，为加厚高强度地膜使用者提供技术指导和服务。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三、回收和再利用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（十二）加厚高强度地膜生产企业和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经营主体要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承担废旧地膜回收、加工利用社会责任，生产企业要与</w:t>
      </w:r>
      <w:bookmarkStart w:id="0" w:name="_Hlk116369811"/>
      <w:r>
        <w:rPr>
          <w:rFonts w:hint="eastAsia" w:ascii="Times New Roman" w:hAnsi="Times New Roman" w:eastAsia="仿宋_GB2312" w:cs="Times New Roman"/>
          <w:sz w:val="32"/>
          <w:szCs w:val="32"/>
        </w:rPr>
        <w:t>各乡镇以及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当地废旧农膜回收加工企业或回收网点</w:t>
      </w:r>
      <w:bookmarkStart w:id="1" w:name="_Hlk116369712"/>
      <w:r>
        <w:rPr>
          <w:rFonts w:hint="eastAsia" w:ascii="Times New Roman" w:hAnsi="Times New Roman" w:eastAsia="仿宋_GB2312" w:cs="Times New Roman"/>
          <w:sz w:val="32"/>
          <w:szCs w:val="32"/>
        </w:rPr>
        <w:t>签订包片回收转运协议，支付部分费用，确保废旧地膜应收尽收</w:t>
      </w:r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（十三）加厚高强度地膜使用者在使用期限到期前捡拾田间的废旧地膜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、做好废旧地膜回收、缴收记录，交</w:t>
      </w:r>
      <w:r>
        <w:rPr>
          <w:rFonts w:hint="eastAsia" w:ascii="Times New Roman" w:hAnsi="Times New Roman" w:eastAsia="仿宋_GB2312"/>
          <w:sz w:val="32"/>
          <w:szCs w:val="32"/>
        </w:rPr>
        <w:t>至回收网点或回收工作者。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sz w:val="32"/>
          <w:szCs w:val="32"/>
        </w:rPr>
        <w:t>（十四）加厚高强度地膜使用者应提供废旧地膜回收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合同和支付回收费用的汇款凭证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回收作业方的回收作业费</w:t>
      </w:r>
      <w:r>
        <w:rPr>
          <w:rFonts w:hint="eastAsia" w:ascii="Times New Roman" w:hAnsi="Times New Roman" w:eastAsia="仿宋_GB2312"/>
          <w:sz w:val="32"/>
          <w:szCs w:val="32"/>
        </w:rPr>
        <w:t>票据，以及回收作业验收单等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（十五）地膜回收网点和回收再利用企业要如实记录废旧地膜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的重量、覆盖亩数、体积、杂质、缴膜单位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名称及其联系方式、回收时间等内容。回收台账应当至少保存两年。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（十六）农业农村主管部门应与科技、工信等部门密切协作，加大废旧地膜资源化利用所需的新技术、新产品、新装备以及地膜覆盖有关配套农艺技术科技攻关力度。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（十七）农业农村主管部门应当定期开展本行政区域的农用地膜残留监测，科学评价治理成效。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Style w:val="13"/>
          <w:rFonts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四、项目补贴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（十八）各县（市、区）根据实际情况确定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补贴</w:t>
      </w:r>
      <w:r>
        <w:rPr>
          <w:rFonts w:hint="eastAsia" w:ascii="Times New Roman" w:hAnsi="Times New Roman" w:eastAsia="仿宋_GB2312"/>
          <w:sz w:val="32"/>
          <w:szCs w:val="32"/>
        </w:rPr>
        <w:t>方式。补贴对象应该聚焦使用符合规定农膜的农户、种植大户、合作社等。对具备一定能力的回收加工企业、专业化回收组织等也可采取以奖代补的形式给予支持。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Style w:val="13"/>
          <w:rFonts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五、监督检查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（十九）各地要深入组织开展市场执法检查，定期开展产品质量抽检。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（二十）各地要加大部门联合执法力度，对生产、销售非标地膜的企业加大处罚，对未按法律法规规定回收废旧地膜的生产者、销售者、使用者、依法做出处罚。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Times New Roman" w:hAnsi="Times New Roman" w:eastAsia="仿宋_GB2312"/>
          <w:sz w:val="32"/>
          <w:szCs w:val="32"/>
        </w:rPr>
        <w:t>各地各有关部门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要高度重视，进一步压实压紧责任，</w:t>
      </w:r>
      <w:r>
        <w:rPr>
          <w:rFonts w:hint="eastAsia" w:ascii="Times New Roman" w:hAnsi="Times New Roman" w:eastAsia="仿宋_GB2312"/>
          <w:sz w:val="32"/>
          <w:szCs w:val="32"/>
        </w:rPr>
        <w:t>认真抓好相关措施落实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落地</w:t>
      </w:r>
      <w:r>
        <w:rPr>
          <w:rFonts w:hint="eastAsia" w:ascii="Times New Roman" w:hAnsi="Times New Roman" w:eastAsia="仿宋_GB2312"/>
          <w:sz w:val="32"/>
          <w:szCs w:val="32"/>
        </w:rPr>
        <w:t>，加强项目管理，建立健全地膜科学使用回收管理台账，建立项目管理档案。同时，加强对项目资金使用的监督管理，规范项目资金支出，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确保</w:t>
      </w:r>
      <w:r>
        <w:rPr>
          <w:rFonts w:hint="eastAsia" w:ascii="Times New Roman" w:hAnsi="Times New Roman" w:eastAsia="仿宋_GB2312"/>
          <w:sz w:val="32"/>
          <w:szCs w:val="32"/>
        </w:rPr>
        <w:t>资金规范使用，加快推进地膜科学使用回收。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22185"/>
    <w:multiLevelType w:val="multilevel"/>
    <w:tmpl w:val="F4E22185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  <w:b/>
        <w:i w:val="0"/>
        <w:sz w:val="44"/>
        <w:szCs w:val="44"/>
        <w:lang w:val="en-US"/>
      </w:rPr>
    </w:lvl>
    <w:lvl w:ilvl="1" w:tentative="0">
      <w:start w:val="1"/>
      <w:numFmt w:val="decimal"/>
      <w:suff w:val="space"/>
      <w:lvlText w:val="%1.%2 "/>
      <w:lvlJc w:val="left"/>
      <w:pPr>
        <w:tabs>
          <w:tab w:val="left" w:pos="-3970"/>
        </w:tabs>
        <w:ind w:left="142" w:firstLine="0"/>
      </w:pPr>
      <w:rPr>
        <w:rFonts w:hint="default" w:ascii="Times New Roman" w:hAnsi="Times New Roman" w:cs="仿宋"/>
        <w:b/>
        <w:i w:val="0"/>
        <w:color w:val="000000"/>
        <w:sz w:val="36"/>
        <w:szCs w:val="36"/>
        <w:lang w:eastAsia="zh-CN"/>
      </w:rPr>
    </w:lvl>
    <w:lvl w:ilvl="2" w:tentative="0">
      <w:start w:val="1"/>
      <w:numFmt w:val="decimal"/>
      <w:pStyle w:val="5"/>
      <w:suff w:val="space"/>
      <w:lvlText w:val="%1.%2.%3 "/>
      <w:lvlJc w:val="left"/>
      <w:pPr>
        <w:ind w:left="284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 w:ascii="Times New Roman" w:hAnsi="Times New Roman" w:cs="仿宋"/>
        <w:b/>
        <w:i w:val="0"/>
        <w:sz w:val="30"/>
        <w:szCs w:val="30"/>
        <w:lang w:val="en-US"/>
      </w:rPr>
    </w:lvl>
    <w:lvl w:ilvl="4" w:tentative="0">
      <w:start w:val="1"/>
      <w:numFmt w:val="decimal"/>
      <w:suff w:val="space"/>
      <w:lvlText w:val="%1.%2.%3.%4.%5 "/>
      <w:lvlJc w:val="left"/>
      <w:pPr>
        <w:ind w:left="426" w:firstLine="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 w:ascii="Arial" w:hAnsi="Arial"/>
        <w:b/>
        <w:i w:val="0"/>
        <w:sz w:val="24"/>
        <w:szCs w:val="24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 w:ascii="Arial" w:hAnsi="Arial" w:cs="仿宋"/>
        <w:b/>
        <w:i w:val="0"/>
        <w:sz w:val="24"/>
        <w:szCs w:val="24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Arial" w:hAnsi="Arial"/>
        <w:b/>
        <w:i w:val="0"/>
        <w:sz w:val="24"/>
        <w:szCs w:val="24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Arial" w:hAnsi="Arial"/>
        <w:b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TZmN2E0ZTlhMTEyNjZkMjRkMzhhOGIxMDdiZGQifQ=="/>
  </w:docVars>
  <w:rsids>
    <w:rsidRoot w:val="FF3FFA07"/>
    <w:rsid w:val="0DD45E33"/>
    <w:rsid w:val="135078C5"/>
    <w:rsid w:val="3A6D4031"/>
    <w:rsid w:val="3DF5E5BE"/>
    <w:rsid w:val="3DF8538F"/>
    <w:rsid w:val="4F9547EC"/>
    <w:rsid w:val="51736317"/>
    <w:rsid w:val="56031FB4"/>
    <w:rsid w:val="56B448AD"/>
    <w:rsid w:val="57D3D1CE"/>
    <w:rsid w:val="58967581"/>
    <w:rsid w:val="5B286E5C"/>
    <w:rsid w:val="5D8F2E34"/>
    <w:rsid w:val="6BBFE6D7"/>
    <w:rsid w:val="6E2EF98E"/>
    <w:rsid w:val="74624D35"/>
    <w:rsid w:val="79B1A807"/>
    <w:rsid w:val="79FFBAEE"/>
    <w:rsid w:val="7B166879"/>
    <w:rsid w:val="7CF95604"/>
    <w:rsid w:val="7DB510E4"/>
    <w:rsid w:val="7FD3358B"/>
    <w:rsid w:val="7FFF040B"/>
    <w:rsid w:val="D757C6D5"/>
    <w:rsid w:val="DDEEAFC5"/>
    <w:rsid w:val="E7BF55B0"/>
    <w:rsid w:val="EE9EDDEC"/>
    <w:rsid w:val="F3773E20"/>
    <w:rsid w:val="FB6DB7FE"/>
    <w:rsid w:val="FBBFBCC7"/>
    <w:rsid w:val="FF3FFA07"/>
    <w:rsid w:val="FFF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ind w:firstLine="0" w:firstLineChars="0"/>
      <w:outlineLvl w:val="1"/>
    </w:pPr>
    <w:rPr>
      <w:rFonts w:ascii="Cambria" w:hAnsi="Cambria" w:eastAsia="宋体"/>
      <w:b/>
      <w:bCs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styleId="13">
    <w:name w:val="Strong"/>
    <w:qFormat/>
    <w:uiPriority w:val="0"/>
    <w:rPr>
      <w:b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NormalCharacter"/>
    <w:qFormat/>
    <w:uiPriority w:val="0"/>
    <w:rPr>
      <w:rFonts w:ascii="Calibri" w:hAnsi="Calibri" w:eastAsia="仿宋_GB2312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2205</Words>
  <Characters>2258</Characters>
  <Lines>0</Lines>
  <Paragraphs>0</Paragraphs>
  <TotalTime>1</TotalTime>
  <ScaleCrop>false</ScaleCrop>
  <LinksUpToDate>false</LinksUpToDate>
  <CharactersWithSpaces>2314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2022-08-30T04:31:00Z</dcterms:created>
  <dc:creator>palidan</dc:creator>
  <cp:lastModifiedBy>M</cp:lastModifiedBy>
  <dcterms:modified xsi:type="dcterms:W3CDTF">2022-10-11T09:23:23Z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696B9F182AF6410B884F70DCEF42225A</vt:lpwstr>
  </property>
</Properties>
</file>