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360C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14:paraId="7024F5B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5E7B3D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22F11864">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w w:val="90"/>
          <w:kern w:val="2"/>
          <w:sz w:val="44"/>
          <w:szCs w:val="44"/>
          <w:highlight w:val="none"/>
          <w:lang w:eastAsia="zh-CN"/>
        </w:rPr>
      </w:pPr>
    </w:p>
    <w:p w14:paraId="4C181912">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w w:val="90"/>
          <w:kern w:val="2"/>
          <w:sz w:val="44"/>
          <w:szCs w:val="44"/>
          <w:highlight w:val="none"/>
          <w:lang w:eastAsia="zh-CN"/>
        </w:rPr>
      </w:pPr>
      <w:r>
        <w:rPr>
          <w:rFonts w:hint="eastAsia" w:ascii="方正小标宋_GBK" w:hAnsi="宋体" w:eastAsia="方正小标宋_GBK" w:cs="Times New Roman"/>
          <w:w w:val="90"/>
          <w:kern w:val="2"/>
          <w:sz w:val="44"/>
          <w:szCs w:val="44"/>
          <w:highlight w:val="none"/>
          <w:lang w:eastAsia="zh-CN"/>
        </w:rPr>
        <w:t>新疆维吾尔自治区农牧业机械化技术推广总站</w:t>
      </w:r>
    </w:p>
    <w:p w14:paraId="3C37171F">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763284C1">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BA6A2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 录</w:t>
      </w:r>
    </w:p>
    <w:p w14:paraId="1B7D54B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4A57ED6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687D4CC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w:t>
      </w:r>
    </w:p>
    <w:p w14:paraId="5624627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 部门决算情况说明</w:t>
      </w:r>
    </w:p>
    <w:p w14:paraId="7FBB10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37DE96C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7242786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3991F4D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5C65C4C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0AC4E67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3E65C5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2545CF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4E514CE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3A3FD0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093ADD1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5B5E925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302087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5FFDD5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762ECE2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2FCAB82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0662CF4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5B2832F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04E983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 专业名词解释</w:t>
      </w:r>
    </w:p>
    <w:p w14:paraId="7202880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 部门决算报表（见附表）</w:t>
      </w:r>
    </w:p>
    <w:p w14:paraId="107278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15A64F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44C465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43FF537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02D878F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0E528E0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6BC11F6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7DF1A6F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70C76B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08FC2D4A">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45E9C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68FF8E9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195FFD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1．贯彻和实施国家推广法规、政策，调查研究，搜集、分析有关资料，掌</w:t>
      </w:r>
      <w:r>
        <w:rPr>
          <w:rFonts w:hint="eastAsia" w:ascii="仿宋_GB2312" w:eastAsia="仿宋_GB2312"/>
          <w:b w:val="0"/>
          <w:sz w:val="32"/>
          <w:szCs w:val="32"/>
          <w:lang w:val="en-US" w:eastAsia="zh-CN"/>
        </w:rPr>
        <w:t xml:space="preserve">握区内外同行业技术发展情况，预测农机化技术发展动态和趋势，为上级部门制定农机推广政策和规划提供依据。指导全区农机化技术推广工作。 </w:t>
      </w:r>
    </w:p>
    <w:p w14:paraId="3F3476A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2．指导全区农机化推广体制改革和推广体系建设，参与制定推广体系建设规划、实施方案并组织实施；编报自治区农机化技术推广基本建设和事业经费预算，确定农机化推广目标和重点。</w:t>
      </w:r>
    </w:p>
    <w:p w14:paraId="6D1C791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3．承担重大农机科技成果和先进技术的引进、试验、示范、推广工作。承担农业农村部、自治区重点推广项目，并负责项目的申报立项、组织实施。</w:t>
      </w:r>
    </w:p>
    <w:p w14:paraId="49F0B2E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4．承担上级和有关部门委托的推广项目的检查与验收工作。</w:t>
      </w:r>
    </w:p>
    <w:p w14:paraId="2B18E04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5．为地（州）、县（市）农机推广机构提供技术咨询和服务，帮助论证推广项目。</w:t>
      </w:r>
    </w:p>
    <w:p w14:paraId="4E313C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6．编写、制作农机推广科普刊物及音像资料，提供先进农机化技术的信息，宣传推荐农机化新技术、新成果。</w:t>
      </w:r>
    </w:p>
    <w:p w14:paraId="159E39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7．组织农机化技术推广工作的经验交流活动，并负责推广成果的评比和奖励工作。 </w:t>
      </w:r>
    </w:p>
    <w:p w14:paraId="5E6A8C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8．协助有关部门，承担县（市）以上农机技术推广人员的专业进修和技术培训。 </w:t>
      </w:r>
    </w:p>
    <w:p w14:paraId="18F4E2A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9．承担全区农牧业机械工程实用技术的专项培训工作。 </w:t>
      </w:r>
    </w:p>
    <w:p w14:paraId="3A242C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10．加强与科研、教学部门的联系，组织和开展区内外的学术交流活动。 </w:t>
      </w:r>
    </w:p>
    <w:p w14:paraId="497935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11．负责推广工作中经验信息的收集、分析和整理，反馈上级有关部门，提供决策依据。</w:t>
      </w:r>
    </w:p>
    <w:p w14:paraId="4482BEC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w:t>
      </w:r>
    </w:p>
    <w:p w14:paraId="5076E6E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新疆维吾尔自治区农牧业机械化技术推广总站无下属预算单位。</w:t>
      </w:r>
    </w:p>
    <w:p w14:paraId="143F2B27">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47D37F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 部门决算情况说明</w:t>
      </w:r>
    </w:p>
    <w:p w14:paraId="47FCAB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5AAF6C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2025年度收入总计651.43万元，其中：本年收入合计428.85万元，使用非财政拨款结余（含专用结余）0.00万元，年初结转和结余222.58万元。</w:t>
      </w:r>
    </w:p>
    <w:p w14:paraId="1046D3D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2025年度支出总计651.43万元，其中：本年支出合计577.27万元，结余分配0.00万元，年末结转和结余74.16万元。</w:t>
      </w:r>
    </w:p>
    <w:p w14:paraId="11FD1BC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收入支出总体与上年相比，减少127.27万元，下降16.34%，主要原因是：</w:t>
      </w:r>
      <w:r>
        <w:rPr>
          <w:rFonts w:hint="eastAsia" w:ascii="仿宋_GB2312" w:eastAsia="仿宋_GB2312"/>
          <w:b w:val="0"/>
          <w:sz w:val="32"/>
          <w:szCs w:val="32"/>
        </w:rPr>
        <w:t>本年度棉花小拱膜机械化种植与免耕播种技术研究项目经费</w:t>
      </w:r>
      <w:r>
        <w:rPr>
          <w:rFonts w:hint="eastAsia" w:ascii="仿宋_GB2312" w:eastAsia="仿宋_GB2312"/>
          <w:b w:val="0"/>
          <w:sz w:val="32"/>
          <w:szCs w:val="32"/>
          <w:lang w:eastAsia="zh-CN"/>
        </w:rPr>
        <w:t>、</w:t>
      </w:r>
      <w:r>
        <w:rPr>
          <w:rFonts w:ascii="仿宋_GB2312" w:eastAsia="仿宋_GB2312"/>
          <w:b w:val="0"/>
          <w:sz w:val="32"/>
          <w:szCs w:val="32"/>
          <w:lang w:val="en-US" w:eastAsia="zh-CN"/>
        </w:rPr>
        <w:t>自</w:t>
      </w:r>
      <w:r>
        <w:rPr>
          <w:rFonts w:hint="eastAsia" w:ascii="仿宋_GB2312" w:eastAsia="仿宋_GB2312"/>
          <w:b w:val="0"/>
          <w:sz w:val="32"/>
          <w:szCs w:val="32"/>
          <w:lang w:val="en-US" w:eastAsia="zh-CN"/>
        </w:rPr>
        <w:t>治区农机化技术示范推广项目资金较上年</w:t>
      </w:r>
      <w:r>
        <w:rPr>
          <w:rFonts w:hint="eastAsia" w:ascii="仿宋_GB2312" w:eastAsia="仿宋_GB2312"/>
          <w:b w:val="0"/>
          <w:sz w:val="32"/>
          <w:szCs w:val="32"/>
        </w:rPr>
        <w:t>减少</w:t>
      </w:r>
      <w:r>
        <w:rPr>
          <w:rFonts w:hint="eastAsia" w:ascii="仿宋_GB2312" w:eastAsia="仿宋_GB2312"/>
          <w:b w:val="0"/>
          <w:sz w:val="32"/>
          <w:szCs w:val="32"/>
          <w:lang w:eastAsia="zh-CN"/>
        </w:rPr>
        <w:t>。</w:t>
      </w:r>
    </w:p>
    <w:p w14:paraId="0934F75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12E5CBB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本年收入428.85万元，其中：财政拨款收入404.75万元,占94.38%；上级补助收入0.00万元,占0.00%；事业收入24.00万元，占5.60%；经营收入0.00万元,占0.00%；附属单位上缴收入0.00万元，占0.00%；其他收入0.09万元，占0.02%。</w:t>
      </w:r>
    </w:p>
    <w:p w14:paraId="6A8F38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2D3249E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本年支出577.27万元，其中：基本支出270.85万元，占46.92%；项目支出306.42万元，占53.08%；上缴上级支出0.00万元，占0.00%；经营支出0.00万元，占0.00%；对附属单位补助支出0.00万元，占0.00%。</w:t>
      </w:r>
    </w:p>
    <w:p w14:paraId="370E24C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2DF6E2C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2025年度财政拨款收入总计404.75万元，其中：年初财政拨款结转和结余0.00万元，本年财政拨款收入404.75万元。财政拨款支出总计404.75万元，其中：年末财政拨款结转和结余12.92万元，本年财政拨款支出391.83万元。</w:t>
      </w:r>
    </w:p>
    <w:p w14:paraId="0ADE5CC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财政拨款收入支出总体与上年相比，减少29.85万元，下降6.87%，主要原因是：</w:t>
      </w:r>
      <w:r>
        <w:rPr>
          <w:rFonts w:hint="eastAsia" w:ascii="仿宋_GB2312" w:eastAsia="仿宋_GB2312"/>
          <w:b w:val="0"/>
          <w:sz w:val="32"/>
          <w:szCs w:val="32"/>
        </w:rPr>
        <w:t>本年度棉花小拱膜机械化种植与免耕播种技术研究项目经费</w:t>
      </w:r>
      <w:r>
        <w:rPr>
          <w:rFonts w:hint="eastAsia" w:ascii="仿宋_GB2312" w:eastAsia="仿宋_GB2312"/>
          <w:b w:val="0"/>
          <w:sz w:val="32"/>
          <w:szCs w:val="32"/>
          <w:lang w:eastAsia="zh-CN"/>
        </w:rPr>
        <w:t>、</w:t>
      </w:r>
      <w:r>
        <w:rPr>
          <w:rFonts w:ascii="仿宋_GB2312" w:eastAsia="仿宋_GB2312"/>
          <w:b w:val="0"/>
          <w:sz w:val="32"/>
          <w:szCs w:val="32"/>
          <w:lang w:val="en-US" w:eastAsia="zh-CN"/>
        </w:rPr>
        <w:t>自</w:t>
      </w:r>
      <w:r>
        <w:rPr>
          <w:rFonts w:hint="eastAsia" w:ascii="仿宋_GB2312" w:eastAsia="仿宋_GB2312"/>
          <w:b w:val="0"/>
          <w:sz w:val="32"/>
          <w:szCs w:val="32"/>
          <w:lang w:val="en-US" w:eastAsia="zh-CN"/>
        </w:rPr>
        <w:t>治区农机化技术示范推广项目资金较上年</w:t>
      </w:r>
      <w:r>
        <w:rPr>
          <w:rFonts w:hint="eastAsia" w:ascii="仿宋_GB2312" w:eastAsia="仿宋_GB2312"/>
          <w:b w:val="0"/>
          <w:sz w:val="32"/>
          <w:szCs w:val="32"/>
        </w:rPr>
        <w:t>减少</w:t>
      </w:r>
      <w:r>
        <w:rPr>
          <w:rFonts w:ascii="仿宋_GB2312" w:eastAsia="仿宋_GB2312"/>
          <w:b w:val="0"/>
          <w:sz w:val="32"/>
          <w:szCs w:val="32"/>
        </w:rPr>
        <w:t>。与年初预算相比，年初预算数397.37万元，决算数404.75万元，预决算差异率1.86%，主要原因是：</w:t>
      </w:r>
      <w:r>
        <w:rPr>
          <w:rFonts w:hint="eastAsia" w:ascii="仿宋_GB2312" w:eastAsia="仿宋_GB2312"/>
          <w:b w:val="0"/>
          <w:sz w:val="32"/>
          <w:szCs w:val="32"/>
          <w:lang w:val="en-US" w:eastAsia="zh-CN"/>
        </w:rPr>
        <w:t>年中追加退休人员职业年金缴费、新疆人才发展基金天山英才培养计划资金</w:t>
      </w:r>
      <w:r>
        <w:rPr>
          <w:rFonts w:ascii="仿宋_GB2312" w:eastAsia="仿宋_GB2312"/>
          <w:b w:val="0"/>
          <w:sz w:val="32"/>
          <w:szCs w:val="32"/>
        </w:rPr>
        <w:t>。</w:t>
      </w:r>
    </w:p>
    <w:p w14:paraId="7001B1B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1886AFB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w:t>
      </w:r>
      <w:r>
        <w:rPr>
          <w:rFonts w:ascii="仿宋_GB2312" w:eastAsia="仿宋_GB2312"/>
          <w:b w:val="0"/>
          <w:sz w:val="32"/>
          <w:szCs w:val="32"/>
        </w:rPr>
        <w:t>、</w:t>
      </w:r>
      <w:r>
        <w:rPr>
          <w:rFonts w:hint="eastAsia" w:ascii="仿宋_GB2312" w:eastAsia="仿宋_GB2312"/>
          <w:b w:val="0"/>
          <w:sz w:val="32"/>
          <w:szCs w:val="32"/>
        </w:rPr>
        <w:t>农牧业机械化技术</w:t>
      </w:r>
      <w:r>
        <w:rPr>
          <w:rFonts w:hint="eastAsia" w:ascii="仿宋_GB2312" w:eastAsia="仿宋_GB2312"/>
          <w:b w:val="0"/>
          <w:sz w:val="32"/>
          <w:szCs w:val="32"/>
          <w:lang w:val="en-US" w:eastAsia="zh-CN"/>
        </w:rPr>
        <w:t>推广</w:t>
      </w:r>
      <w:r>
        <w:rPr>
          <w:rFonts w:ascii="仿宋_GB2312" w:eastAsia="仿宋_GB2312"/>
          <w:b w:val="0"/>
          <w:sz w:val="32"/>
          <w:szCs w:val="32"/>
        </w:rPr>
        <w:t>等重点支出，体现在有关支出科目中。</w:t>
      </w:r>
    </w:p>
    <w:p w14:paraId="4F4036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sz w:val="32"/>
          <w:szCs w:val="32"/>
          <w:lang w:val="en-US" w:eastAsia="zh-CN"/>
        </w:rPr>
      </w:pPr>
      <w:r>
        <w:rPr>
          <w:rFonts w:ascii="仿宋_GB2312" w:eastAsia="仿宋_GB2312"/>
          <w:b w:val="0"/>
          <w:sz w:val="32"/>
          <w:szCs w:val="32"/>
        </w:rPr>
        <w:t>按照支出功能分类，农林水支出（类）农业农村（款）事业运行（项）的支出占本年财政拨款支出总额的比重最高，2025年度决算数为179.26万元，占比45.75%，主要用于</w:t>
      </w:r>
      <w:r>
        <w:rPr>
          <w:rFonts w:hint="eastAsia" w:ascii="仿宋_GB2312" w:eastAsia="仿宋_GB2312"/>
          <w:b w:val="0"/>
          <w:sz w:val="32"/>
          <w:szCs w:val="32"/>
          <w:lang w:val="en-US" w:eastAsia="zh-CN"/>
        </w:rPr>
        <w:t>人员经费支出及日常公用经费支出。</w:t>
      </w:r>
    </w:p>
    <w:p w14:paraId="5D8D4C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2"/>
        <w:rPr>
          <w:rFonts w:ascii="黑体" w:eastAsia="黑体"/>
          <w:sz w:val="32"/>
          <w:szCs w:val="32"/>
        </w:rPr>
      </w:pPr>
      <w:r>
        <w:rPr>
          <w:rFonts w:ascii="黑体" w:eastAsia="黑体"/>
          <w:b w:val="0"/>
          <w:sz w:val="32"/>
          <w:szCs w:val="32"/>
        </w:rPr>
        <w:t>（一）一般公共预算财政拨款支出决算总体情况</w:t>
      </w:r>
    </w:p>
    <w:p w14:paraId="237F37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2025年度一般公共预算财政拨款支出391.83万元，占本年支出合计的67.88%。与上年相比，减少42.77万元，下降9.84%，主要原因是：</w:t>
      </w:r>
      <w:r>
        <w:rPr>
          <w:rFonts w:hint="eastAsia" w:ascii="仿宋_GB2312" w:eastAsia="仿宋_GB2312"/>
          <w:b w:val="0"/>
          <w:sz w:val="32"/>
          <w:szCs w:val="32"/>
        </w:rPr>
        <w:t>本年度棉花小拱膜机械化种植与免耕播种技术研究项目经费</w:t>
      </w:r>
      <w:r>
        <w:rPr>
          <w:rFonts w:hint="eastAsia" w:ascii="仿宋_GB2312" w:eastAsia="仿宋_GB2312"/>
          <w:b w:val="0"/>
          <w:sz w:val="32"/>
          <w:szCs w:val="32"/>
          <w:lang w:val="en-US" w:eastAsia="zh-CN"/>
        </w:rPr>
        <w:t>较上年</w:t>
      </w:r>
      <w:r>
        <w:rPr>
          <w:rFonts w:hint="eastAsia" w:ascii="仿宋_GB2312" w:eastAsia="仿宋_GB2312"/>
          <w:b w:val="0"/>
          <w:sz w:val="32"/>
          <w:szCs w:val="32"/>
        </w:rPr>
        <w:t>减少</w:t>
      </w:r>
      <w:r>
        <w:rPr>
          <w:rFonts w:ascii="仿宋_GB2312" w:eastAsia="仿宋_GB2312"/>
          <w:b w:val="0"/>
          <w:sz w:val="32"/>
          <w:szCs w:val="32"/>
        </w:rPr>
        <w:t>。与年初预算相比，年初预算数397.37万元，决算数391.83万元，预决算差异率-1.39%，主要原因是：</w:t>
      </w:r>
      <w:r>
        <w:rPr>
          <w:rFonts w:hint="eastAsia" w:ascii="仿宋_GB2312" w:eastAsia="仿宋_GB2312"/>
          <w:b w:val="0"/>
          <w:sz w:val="32"/>
          <w:szCs w:val="32"/>
        </w:rPr>
        <w:t>本年度在职转退休</w:t>
      </w:r>
      <w:r>
        <w:rPr>
          <w:rFonts w:hint="eastAsia" w:ascii="仿宋_GB2312" w:eastAsia="仿宋_GB2312"/>
          <w:b w:val="0"/>
          <w:sz w:val="32"/>
          <w:szCs w:val="32"/>
          <w:lang w:val="en-US" w:eastAsia="zh-CN"/>
        </w:rPr>
        <w:t>1</w:t>
      </w:r>
      <w:r>
        <w:rPr>
          <w:rFonts w:hint="eastAsia" w:ascii="仿宋_GB2312" w:eastAsia="仿宋_GB2312"/>
          <w:b w:val="0"/>
          <w:sz w:val="32"/>
          <w:szCs w:val="32"/>
        </w:rPr>
        <w:t>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减少人员经费预算</w:t>
      </w:r>
      <w:r>
        <w:rPr>
          <w:rFonts w:ascii="仿宋_GB2312" w:eastAsia="仿宋_GB2312"/>
          <w:b w:val="0"/>
          <w:sz w:val="32"/>
          <w:szCs w:val="32"/>
        </w:rPr>
        <w:t>。</w:t>
      </w:r>
    </w:p>
    <w:p w14:paraId="7CCB42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（二）一般公共预算财政拨款支出决算结构情况</w:t>
      </w:r>
    </w:p>
    <w:p w14:paraId="314A64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1.社会保障和就业支出（类）45.73万元，占11.67%。</w:t>
      </w:r>
    </w:p>
    <w:p w14:paraId="08DB65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2.卫生健康支出（类）27.03万元，占6.90%。</w:t>
      </w:r>
    </w:p>
    <w:p w14:paraId="3662DDD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3.农林水支出（类）300.26万元，占76.63%。</w:t>
      </w:r>
    </w:p>
    <w:p w14:paraId="46BD7F0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4.住房保障支出（类）18.81万元，占4.80%。</w:t>
      </w:r>
    </w:p>
    <w:p w14:paraId="2E584D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（三）一般公共预算财政拨款支出决算具体情况</w:t>
      </w:r>
    </w:p>
    <w:p w14:paraId="6D34171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sz w:val="32"/>
          <w:szCs w:val="32"/>
          <w:highlight w:val="yellow"/>
          <w:lang w:val="en-US" w:eastAsia="zh-CN"/>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社会保障和就业支出（类）行政事业单位养老支出（款）事业单位离退休（项）：支出决算数为12.20万元，比上年决算减少0.02万元，下降0.16%，</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上年离世退休人员职级高于本年退休人员职级，退休费减少。</w:t>
      </w:r>
    </w:p>
    <w:p w14:paraId="240EFF1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val="en-US" w:eastAsia="zh-CN"/>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社会保障和就业支出（类）行政事业单位养老支出（款）机关事业单位基本养老保险缴费支出（项）：支出决算数为22.51万元，比上年决算减少1.80万元，下降7.40%，主要原因是：</w:t>
      </w:r>
      <w:r>
        <w:rPr>
          <w:rFonts w:hint="eastAsia" w:ascii="仿宋_GB2312" w:eastAsia="仿宋_GB2312"/>
          <w:b w:val="0"/>
          <w:sz w:val="32"/>
          <w:szCs w:val="32"/>
        </w:rPr>
        <w:t>本年度在职转退休</w:t>
      </w:r>
      <w:r>
        <w:rPr>
          <w:rFonts w:hint="eastAsia" w:ascii="仿宋_GB2312" w:eastAsia="仿宋_GB2312"/>
          <w:b w:val="0"/>
          <w:sz w:val="32"/>
          <w:szCs w:val="32"/>
          <w:lang w:val="en-US" w:eastAsia="zh-CN"/>
        </w:rPr>
        <w:t>1</w:t>
      </w:r>
      <w:r>
        <w:rPr>
          <w:rFonts w:hint="eastAsia" w:ascii="仿宋_GB2312" w:eastAsia="仿宋_GB2312"/>
          <w:b w:val="0"/>
          <w:sz w:val="32"/>
          <w:szCs w:val="32"/>
        </w:rPr>
        <w:t>人</w:t>
      </w:r>
      <w:r>
        <w:rPr>
          <w:rFonts w:hint="eastAsia" w:ascii="仿宋_GB2312" w:eastAsia="仿宋_GB2312"/>
          <w:b w:val="0"/>
          <w:sz w:val="32"/>
          <w:szCs w:val="32"/>
          <w:lang w:eastAsia="zh-CN"/>
        </w:rPr>
        <w:t>，</w:t>
      </w:r>
      <w:r>
        <w:rPr>
          <w:rFonts w:ascii="仿宋_GB2312" w:eastAsia="仿宋_GB2312"/>
          <w:b w:val="0"/>
          <w:sz w:val="32"/>
          <w:szCs w:val="32"/>
        </w:rPr>
        <w:t>基本养老保险缴费支出</w:t>
      </w:r>
      <w:r>
        <w:rPr>
          <w:rFonts w:hint="eastAsia" w:ascii="仿宋_GB2312" w:eastAsia="仿宋_GB2312"/>
          <w:b w:val="0"/>
          <w:sz w:val="32"/>
          <w:szCs w:val="32"/>
          <w:lang w:val="en-US" w:eastAsia="zh-CN"/>
        </w:rPr>
        <w:t>减少。</w:t>
      </w:r>
    </w:p>
    <w:p w14:paraId="701841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lang w:val="en-US" w:eastAsia="zh-CN"/>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社会保障和就业支出（类）行政事业单位养老支出（款）机关事业单位职业年金缴费支出（项）：支出决算数为11.02万元，比上年决算增加11.02万元，增长100.00%，主要原因是：</w:t>
      </w:r>
      <w:r>
        <w:rPr>
          <w:rFonts w:hint="eastAsia" w:ascii="仿宋_GB2312" w:eastAsia="仿宋_GB2312"/>
          <w:b w:val="0"/>
          <w:sz w:val="32"/>
          <w:szCs w:val="32"/>
        </w:rPr>
        <w:t>本年度在职转退休</w:t>
      </w:r>
      <w:r>
        <w:rPr>
          <w:rFonts w:hint="eastAsia" w:ascii="仿宋_GB2312" w:eastAsia="仿宋_GB2312"/>
          <w:b w:val="0"/>
          <w:sz w:val="32"/>
          <w:szCs w:val="32"/>
          <w:lang w:val="en-US" w:eastAsia="zh-CN"/>
        </w:rPr>
        <w:t>1人</w:t>
      </w:r>
      <w:r>
        <w:rPr>
          <w:rFonts w:hint="eastAsia" w:ascii="仿宋_GB2312" w:eastAsia="仿宋_GB2312"/>
          <w:b w:val="0"/>
          <w:sz w:val="32"/>
          <w:szCs w:val="32"/>
          <w:lang w:eastAsia="zh-CN"/>
        </w:rPr>
        <w:t>，</w:t>
      </w:r>
      <w:r>
        <w:rPr>
          <w:rFonts w:ascii="仿宋_GB2312" w:eastAsia="仿宋_GB2312"/>
          <w:b w:val="0"/>
          <w:sz w:val="32"/>
          <w:szCs w:val="32"/>
        </w:rPr>
        <w:t>职业年金缴费支出</w:t>
      </w:r>
      <w:r>
        <w:rPr>
          <w:rFonts w:hint="eastAsia" w:ascii="仿宋_GB2312" w:eastAsia="仿宋_GB2312"/>
          <w:b w:val="0"/>
          <w:sz w:val="32"/>
          <w:szCs w:val="32"/>
          <w:lang w:val="en-US" w:eastAsia="zh-CN"/>
        </w:rPr>
        <w:t>增加。</w:t>
      </w:r>
    </w:p>
    <w:p w14:paraId="698F35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卫生健康支出（类）行政事业单位医疗（款）事业单位医疗（项）：支出决算数为15.59万元，比上年决算增加4.20万元，增长36.87%，主要原因是：</w:t>
      </w:r>
      <w:r>
        <w:rPr>
          <w:rFonts w:hint="eastAsia" w:ascii="仿宋_GB2312" w:eastAsia="仿宋_GB2312"/>
          <w:b w:val="0"/>
          <w:sz w:val="32"/>
          <w:szCs w:val="32"/>
          <w:lang w:val="en-US" w:eastAsia="zh-CN"/>
        </w:rPr>
        <w:t>缴费</w:t>
      </w:r>
      <w:r>
        <w:rPr>
          <w:rFonts w:ascii="仿宋_GB2312" w:eastAsia="仿宋_GB2312"/>
          <w:b w:val="0"/>
          <w:sz w:val="32"/>
          <w:szCs w:val="32"/>
          <w:lang w:val="en-US" w:eastAsia="zh-CN"/>
        </w:rPr>
        <w:t>基数调整，事业单位医疗支出增加</w:t>
      </w:r>
      <w:r>
        <w:rPr>
          <w:rFonts w:hint="eastAsia" w:ascii="仿宋_GB2312" w:eastAsia="仿宋_GB2312"/>
          <w:b w:val="0"/>
          <w:sz w:val="32"/>
          <w:szCs w:val="32"/>
          <w:lang w:val="en-US" w:eastAsia="zh-CN"/>
        </w:rPr>
        <w:t>。</w:t>
      </w:r>
    </w:p>
    <w:p w14:paraId="0F3F800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b w:val="0"/>
          <w:sz w:val="32"/>
          <w:szCs w:val="32"/>
          <w:lang w:val="en-US" w:eastAsia="zh-CN"/>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卫生健康支出（类）行政事业单位医疗（款）公务员医疗补助（项）：支出决算数为11.44万元，比上年决算增加0.81万元，增长7.62%，主要原因是：</w:t>
      </w:r>
      <w:r>
        <w:rPr>
          <w:rFonts w:hint="eastAsia" w:ascii="仿宋_GB2312" w:eastAsia="仿宋_GB2312"/>
          <w:b w:val="0"/>
          <w:sz w:val="32"/>
          <w:szCs w:val="32"/>
          <w:lang w:val="en-US" w:eastAsia="zh-CN"/>
        </w:rPr>
        <w:t>缴费</w:t>
      </w:r>
      <w:r>
        <w:rPr>
          <w:rFonts w:ascii="仿宋_GB2312" w:eastAsia="仿宋_GB2312"/>
          <w:b w:val="0"/>
          <w:sz w:val="32"/>
          <w:szCs w:val="32"/>
          <w:lang w:val="en-US" w:eastAsia="zh-CN"/>
        </w:rPr>
        <w:t>基数调整，公务员医疗补助支出增加</w:t>
      </w:r>
      <w:r>
        <w:rPr>
          <w:rFonts w:hint="eastAsia" w:ascii="仿宋_GB2312" w:eastAsia="仿宋_GB2312"/>
          <w:b w:val="0"/>
          <w:sz w:val="32"/>
          <w:szCs w:val="32"/>
          <w:lang w:val="en-US" w:eastAsia="zh-CN"/>
        </w:rPr>
        <w:t>。</w:t>
      </w:r>
    </w:p>
    <w:p w14:paraId="1E88F6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ascii="仿宋_GB2312" w:eastAsia="仿宋_GB2312"/>
          <w:b w:val="0"/>
          <w:sz w:val="32"/>
          <w:szCs w:val="32"/>
        </w:rPr>
        <w:t>6</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农林水支出（类）农业农村（款）事业运行（项）：支出决算数为179.26万元</w:t>
      </w:r>
      <w:bookmarkStart w:id="0" w:name="_GoBack"/>
      <w:bookmarkEnd w:id="0"/>
      <w:r>
        <w:rPr>
          <w:rFonts w:ascii="仿宋_GB2312" w:eastAsia="仿宋_GB2312"/>
          <w:b w:val="0"/>
          <w:sz w:val="32"/>
          <w:szCs w:val="32"/>
        </w:rPr>
        <w:t>，比上年决算减少40.56万元，下降18.45%，主要原因是：</w:t>
      </w:r>
      <w:r>
        <w:rPr>
          <w:rFonts w:hint="eastAsia" w:ascii="仿宋_GB2312" w:eastAsia="仿宋_GB2312"/>
          <w:b w:val="0"/>
          <w:sz w:val="32"/>
          <w:szCs w:val="32"/>
          <w:lang w:val="en-US" w:eastAsia="zh-CN"/>
        </w:rPr>
        <w:t>上年年底</w:t>
      </w:r>
      <w:r>
        <w:rPr>
          <w:rFonts w:hint="eastAsia" w:ascii="仿宋_GB2312" w:eastAsia="仿宋_GB2312"/>
          <w:b w:val="0"/>
          <w:sz w:val="32"/>
          <w:szCs w:val="32"/>
        </w:rPr>
        <w:t>在职转退休</w:t>
      </w:r>
      <w:r>
        <w:rPr>
          <w:rFonts w:hint="eastAsia" w:ascii="仿宋_GB2312" w:eastAsia="仿宋_GB2312"/>
          <w:b w:val="0"/>
          <w:sz w:val="32"/>
          <w:szCs w:val="32"/>
          <w:lang w:val="en-US" w:eastAsia="zh-CN"/>
        </w:rPr>
        <w:t>1人，</w:t>
      </w:r>
      <w:r>
        <w:rPr>
          <w:rFonts w:hint="eastAsia" w:ascii="仿宋_GB2312" w:eastAsia="仿宋_GB2312"/>
          <w:b w:val="0"/>
          <w:sz w:val="32"/>
          <w:szCs w:val="32"/>
        </w:rPr>
        <w:t>本年度在职转退休</w:t>
      </w:r>
      <w:r>
        <w:rPr>
          <w:rFonts w:hint="eastAsia" w:ascii="仿宋_GB2312" w:eastAsia="仿宋_GB2312"/>
          <w:b w:val="0"/>
          <w:sz w:val="32"/>
          <w:szCs w:val="32"/>
          <w:lang w:val="en-US" w:eastAsia="zh-CN"/>
        </w:rPr>
        <w:t>1人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相应人员经费及公用经费支出减少。</w:t>
      </w:r>
    </w:p>
    <w:p w14:paraId="0C489E0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7</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农林水支出（类）农业农村（款）科技转化与推广服务（项）：支出决算数为11.00万元，比上年决算减少7.00万元，下降38.89%，主要原因是：</w:t>
      </w:r>
      <w:r>
        <w:rPr>
          <w:rFonts w:hint="eastAsia" w:ascii="仿宋_GB2312" w:eastAsia="仿宋_GB2312"/>
          <w:b w:val="0"/>
          <w:sz w:val="32"/>
          <w:szCs w:val="32"/>
        </w:rPr>
        <w:t>新疆人才发展基金天山英才培养计划</w:t>
      </w:r>
      <w:r>
        <w:rPr>
          <w:rFonts w:hint="eastAsia" w:ascii="仿宋_GB2312" w:eastAsia="仿宋_GB2312"/>
          <w:b w:val="0"/>
          <w:sz w:val="32"/>
          <w:szCs w:val="32"/>
          <w:lang w:val="en-US" w:eastAsia="zh-CN"/>
        </w:rPr>
        <w:t>项目资金较上年减少。</w:t>
      </w:r>
    </w:p>
    <w:p w14:paraId="5C42838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8</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农林水支出（类）农业农村（款）农业生产发展（项）：支出决算数为110.00万元，比上年决算减少10.00万元，下降8.33%，主要原因是：</w:t>
      </w:r>
      <w:r>
        <w:rPr>
          <w:rFonts w:ascii="仿宋_GB2312" w:eastAsia="仿宋_GB2312"/>
          <w:b w:val="0"/>
          <w:sz w:val="32"/>
          <w:szCs w:val="32"/>
          <w:lang w:val="en-US" w:eastAsia="zh-CN"/>
        </w:rPr>
        <w:t>减少自</w:t>
      </w:r>
      <w:r>
        <w:rPr>
          <w:rFonts w:hint="eastAsia" w:ascii="仿宋_GB2312" w:eastAsia="仿宋_GB2312"/>
          <w:b w:val="0"/>
          <w:sz w:val="32"/>
          <w:szCs w:val="32"/>
          <w:lang w:val="en-US" w:eastAsia="zh-CN"/>
        </w:rPr>
        <w:t>治区农机化技术示范推广项目资金。</w:t>
      </w:r>
    </w:p>
    <w:p w14:paraId="70A74CF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b w:val="0"/>
          <w:sz w:val="32"/>
          <w:szCs w:val="32"/>
          <w:lang w:val="en-US" w:eastAsia="zh-CN"/>
        </w:rPr>
      </w:pPr>
      <w:r>
        <w:rPr>
          <w:rFonts w:ascii="仿宋_GB2312" w:eastAsia="仿宋_GB2312"/>
          <w:b w:val="0"/>
          <w:sz w:val="32"/>
          <w:szCs w:val="32"/>
        </w:rPr>
        <w:t>9</w:t>
      </w:r>
      <w:r>
        <w:rPr>
          <w:rFonts w:hint="eastAsia" w:ascii="仿宋_GB2312" w:eastAsia="仿宋_GB2312"/>
          <w:b w:val="0"/>
          <w:sz w:val="32"/>
          <w:szCs w:val="32"/>
          <w:lang w:val="en-US" w:eastAsia="zh-CN"/>
        </w:rPr>
        <w:t>.</w:t>
      </w:r>
      <w:r>
        <w:rPr>
          <w:rFonts w:ascii="仿宋_GB2312" w:eastAsia="仿宋_GB2312"/>
          <w:b w:val="0"/>
          <w:sz w:val="32"/>
          <w:szCs w:val="32"/>
        </w:rPr>
        <w:t>住房保障支出（类）住房改革支出（款）住房公积金（项）：支出决算数为18.81万元，比上年决算增加0.58万元，增长3.18%，主要原因是：</w:t>
      </w:r>
      <w:r>
        <w:rPr>
          <w:rFonts w:hint="eastAsia" w:ascii="仿宋_GB2312" w:eastAsia="仿宋_GB2312"/>
          <w:b w:val="0"/>
          <w:sz w:val="32"/>
          <w:szCs w:val="32"/>
          <w:lang w:val="en-US" w:eastAsia="zh-CN"/>
        </w:rPr>
        <w:t>缴费</w:t>
      </w:r>
      <w:r>
        <w:rPr>
          <w:rFonts w:ascii="仿宋_GB2312" w:eastAsia="仿宋_GB2312"/>
          <w:b w:val="0"/>
          <w:sz w:val="32"/>
          <w:szCs w:val="32"/>
          <w:lang w:val="en-US" w:eastAsia="zh-CN"/>
        </w:rPr>
        <w:t>基数调整，住房公积金支出增加</w:t>
      </w:r>
      <w:r>
        <w:rPr>
          <w:rFonts w:hint="eastAsia" w:ascii="仿宋_GB2312" w:eastAsia="仿宋_GB2312"/>
          <w:b w:val="0"/>
          <w:sz w:val="32"/>
          <w:szCs w:val="32"/>
          <w:lang w:val="en-US" w:eastAsia="zh-CN"/>
        </w:rPr>
        <w:t>。</w:t>
      </w:r>
    </w:p>
    <w:p w14:paraId="0835A2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42C3A2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一般公共预算财政拨款基本支出270.83万元，其中：人员经费247.36万元，包括：基本工资、津贴补贴、奖金、机关事业单位基本养老保险缴费、职业年金缴费、职工基本医疗保险缴费、公务员医疗补助缴费、其他社会保障缴费、住房公积金、退休费和其他对个人和家庭的补助。</w:t>
      </w:r>
    </w:p>
    <w:p w14:paraId="7DFDA47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公用经费23.47万元，包括：办公费、手续费、电费、劳务费、工会经费、福利费、公务用车运行维护费、税金及附加费用和其他商品和服务支出。</w:t>
      </w:r>
    </w:p>
    <w:p w14:paraId="7A973EE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27AEBA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16B5997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20BA81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AC98C8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64FCDE2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2025年度财政拨款“三公”经费支出5.00万元，</w:t>
      </w:r>
      <w:r>
        <w:rPr>
          <w:rFonts w:ascii="仿宋_GB2312" w:eastAsia="仿宋_GB2312"/>
          <w:b w:val="0"/>
          <w:sz w:val="32"/>
          <w:szCs w:val="32"/>
          <w:highlight w:val="none"/>
        </w:rPr>
        <w:t>与上年相比无变化，</w:t>
      </w:r>
      <w:r>
        <w:rPr>
          <w:rFonts w:ascii="仿宋_GB2312" w:eastAsia="仿宋_GB2312"/>
          <w:b w:val="0"/>
          <w:sz w:val="32"/>
          <w:szCs w:val="32"/>
        </w:rPr>
        <w:t>主要原因是：</w:t>
      </w:r>
      <w:r>
        <w:rPr>
          <w:rFonts w:hint="eastAsia" w:ascii="仿宋_GB2312" w:eastAsia="仿宋_GB2312"/>
          <w:b w:val="0"/>
          <w:sz w:val="32"/>
          <w:szCs w:val="32"/>
          <w:lang w:val="en-US" w:eastAsia="zh-CN"/>
        </w:rPr>
        <w:t>2024年与2025年对比无变化</w:t>
      </w:r>
      <w:r>
        <w:rPr>
          <w:rFonts w:ascii="仿宋_GB2312" w:eastAsia="仿宋_GB2312"/>
          <w:b w:val="0"/>
          <w:sz w:val="32"/>
          <w:szCs w:val="32"/>
        </w:rPr>
        <w:t>。其中：因公出国（境）费用支出0.00万元,占0.00%，与上年相比无变化，主要原因是：</w:t>
      </w:r>
      <w:r>
        <w:rPr>
          <w:rFonts w:hint="eastAsia" w:ascii="仿宋_GB2312" w:eastAsia="仿宋_GB2312"/>
          <w:b w:val="0"/>
          <w:sz w:val="32"/>
          <w:szCs w:val="32"/>
        </w:rPr>
        <w:t>2024年与2025年均无因公出国（境）费用支出</w:t>
      </w:r>
      <w:r>
        <w:rPr>
          <w:rFonts w:ascii="仿宋_GB2312" w:eastAsia="仿宋_GB2312"/>
          <w:b w:val="0"/>
          <w:sz w:val="32"/>
          <w:szCs w:val="32"/>
        </w:rPr>
        <w:t>；公务用车购置及运行维护费支出5.00万元，占100.00%，与上年相比无变化，主要原因是：</w:t>
      </w:r>
      <w:r>
        <w:rPr>
          <w:rFonts w:hint="eastAsia" w:ascii="仿宋_GB2312" w:eastAsia="仿宋_GB2312"/>
          <w:b w:val="0"/>
          <w:sz w:val="32"/>
          <w:szCs w:val="32"/>
          <w:lang w:val="en-US" w:eastAsia="zh-CN"/>
        </w:rPr>
        <w:t>2024年与2025年对比无变化</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2024年与2025年均无</w:t>
      </w:r>
      <w:r>
        <w:rPr>
          <w:rFonts w:ascii="仿宋_GB2312" w:eastAsia="仿宋_GB2312"/>
          <w:b w:val="0"/>
          <w:sz w:val="32"/>
          <w:szCs w:val="32"/>
        </w:rPr>
        <w:t>公务接待费支出。</w:t>
      </w:r>
    </w:p>
    <w:p w14:paraId="7903216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14:paraId="51442D5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因公出国（境）费用0.00万元，开支内容包括</w:t>
      </w:r>
      <w:r>
        <w:rPr>
          <w:rFonts w:ascii="仿宋_GB2312" w:eastAsia="仿宋_GB2312"/>
          <w:b w:val="0"/>
          <w:sz w:val="32"/>
          <w:szCs w:val="32"/>
          <w:lang w:val="en-US" w:eastAsia="zh-CN"/>
        </w:rPr>
        <w:t>我单位</w:t>
      </w:r>
      <w:r>
        <w:rPr>
          <w:rFonts w:hint="eastAsia" w:ascii="仿宋_GB2312" w:eastAsia="仿宋_GB2312"/>
          <w:b w:val="0"/>
          <w:sz w:val="32"/>
          <w:szCs w:val="32"/>
          <w:lang w:val="en-US" w:eastAsia="zh-CN"/>
        </w:rPr>
        <w:t>无因公出国（境）费</w:t>
      </w:r>
      <w:r>
        <w:rPr>
          <w:rFonts w:ascii="仿宋_GB2312" w:eastAsia="仿宋_GB2312"/>
          <w:b w:val="0"/>
          <w:sz w:val="32"/>
          <w:szCs w:val="32"/>
        </w:rPr>
        <w:t>。单位全年安排的因公出国（境）团组0个，因公出国（境）0人次。</w:t>
      </w:r>
    </w:p>
    <w:p w14:paraId="64FE167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公务用车购置及运行维护费5.00万元，其中：公务用车购置费0.00万元，公务用车运行维护费5.00万元。公务用车运行维护费开支内容包括</w:t>
      </w:r>
      <w:r>
        <w:rPr>
          <w:rFonts w:ascii="仿宋_GB2312" w:eastAsia="仿宋_GB2312"/>
          <w:b w:val="0"/>
          <w:sz w:val="32"/>
          <w:szCs w:val="32"/>
          <w:lang w:val="en-US" w:eastAsia="zh-CN"/>
        </w:rPr>
        <w:t>公务用车维修维护费、燃油费、保险</w:t>
      </w:r>
      <w:r>
        <w:rPr>
          <w:rFonts w:hint="eastAsia" w:ascii="仿宋_GB2312" w:eastAsia="仿宋_GB2312"/>
          <w:b w:val="0"/>
          <w:sz w:val="32"/>
          <w:szCs w:val="32"/>
          <w:lang w:val="en-US" w:eastAsia="zh-CN"/>
        </w:rPr>
        <w:t>费、过路费等</w:t>
      </w:r>
      <w:r>
        <w:rPr>
          <w:rFonts w:ascii="仿宋_GB2312" w:eastAsia="仿宋_GB2312"/>
          <w:b w:val="0"/>
          <w:sz w:val="32"/>
          <w:szCs w:val="32"/>
        </w:rPr>
        <w:t>。公务用车购置数0辆，公务用车保有量3辆。国有资产占用情况中固定资产车辆3辆，与公务用车保有量差异原因是：</w:t>
      </w:r>
      <w:r>
        <w:rPr>
          <w:rFonts w:ascii="仿宋_GB2312" w:eastAsia="仿宋_GB2312"/>
          <w:b w:val="0"/>
          <w:sz w:val="32"/>
          <w:szCs w:val="32"/>
          <w:lang w:val="en-US" w:eastAsia="zh-CN"/>
        </w:rPr>
        <w:t>本单位固定资产车辆与公务用车保有量一致无差异</w:t>
      </w:r>
      <w:r>
        <w:rPr>
          <w:rFonts w:ascii="仿宋_GB2312" w:eastAsia="仿宋_GB2312"/>
          <w:b w:val="0"/>
          <w:sz w:val="32"/>
          <w:szCs w:val="32"/>
        </w:rPr>
        <w:t>。</w:t>
      </w:r>
    </w:p>
    <w:p w14:paraId="207CE1B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w:t>
      </w:r>
      <w:r>
        <w:rPr>
          <w:rFonts w:ascii="仿宋_GB2312" w:eastAsia="仿宋_GB2312"/>
          <w:b w:val="0"/>
          <w:color w:val="auto"/>
          <w:sz w:val="32"/>
          <w:szCs w:val="32"/>
        </w:rPr>
        <w:t>0万元，开支内容包括</w:t>
      </w:r>
      <w:r>
        <w:rPr>
          <w:rFonts w:ascii="仿宋_GB2312" w:eastAsia="仿宋_GB2312"/>
          <w:b w:val="0"/>
          <w:color w:val="auto"/>
          <w:sz w:val="32"/>
          <w:szCs w:val="32"/>
          <w:lang w:val="en-US" w:eastAsia="zh-CN"/>
        </w:rPr>
        <w:t>我单位无公务接待</w:t>
      </w:r>
      <w:r>
        <w:rPr>
          <w:rFonts w:hint="eastAsia" w:ascii="仿宋_GB2312" w:eastAsia="仿宋_GB2312"/>
          <w:b w:val="0"/>
          <w:color w:val="auto"/>
          <w:sz w:val="32"/>
          <w:szCs w:val="32"/>
          <w:lang w:val="en-US" w:eastAsia="zh-CN"/>
        </w:rPr>
        <w:t>费</w:t>
      </w:r>
      <w:r>
        <w:rPr>
          <w:rFonts w:ascii="仿宋_GB2312" w:eastAsia="仿宋_GB2312"/>
          <w:b w:val="0"/>
          <w:color w:val="auto"/>
          <w:sz w:val="32"/>
          <w:szCs w:val="32"/>
        </w:rPr>
        <w:t>。单位全年安排的国内公务接待0批次，0人次</w:t>
      </w:r>
      <w:r>
        <w:rPr>
          <w:rFonts w:ascii="仿宋_GB2312" w:eastAsia="仿宋_GB2312"/>
          <w:b w:val="0"/>
          <w:sz w:val="32"/>
          <w:szCs w:val="32"/>
        </w:rPr>
        <w:t>。</w:t>
      </w:r>
    </w:p>
    <w:p w14:paraId="58E098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与全年预算相比，财政拨款“三公”经费支出全年预算数5.00万元，决算数5.00万元，预决算差异率0.00%，主要原因是：</w:t>
      </w:r>
      <w:r>
        <w:rPr>
          <w:rFonts w:ascii="仿宋_GB2312" w:eastAsia="仿宋_GB2312"/>
          <w:b w:val="0"/>
          <w:sz w:val="32"/>
          <w:szCs w:val="32"/>
          <w:lang w:val="en-US" w:eastAsia="zh-CN"/>
        </w:rPr>
        <w:t>本年一般公共预算“</w:t>
      </w:r>
      <w:r>
        <w:rPr>
          <w:rFonts w:hint="eastAsia" w:ascii="仿宋_GB2312" w:eastAsia="仿宋_GB2312"/>
          <w:b w:val="0"/>
          <w:sz w:val="32"/>
          <w:szCs w:val="32"/>
          <w:lang w:val="en-US" w:eastAsia="zh-CN"/>
        </w:rPr>
        <w:t>三公</w:t>
      </w:r>
      <w:r>
        <w:rPr>
          <w:rFonts w:hint="default" w:ascii="仿宋_GB2312" w:eastAsia="仿宋_GB2312"/>
          <w:b w:val="0"/>
          <w:sz w:val="32"/>
          <w:szCs w:val="32"/>
          <w:lang w:val="en-US" w:eastAsia="zh-CN"/>
        </w:rPr>
        <w:t>”</w:t>
      </w:r>
      <w:r>
        <w:rPr>
          <w:rFonts w:hint="eastAsia" w:ascii="仿宋_GB2312" w:eastAsia="仿宋_GB2312"/>
          <w:b w:val="0"/>
          <w:sz w:val="32"/>
          <w:szCs w:val="32"/>
          <w:lang w:val="en-US" w:eastAsia="zh-CN"/>
        </w:rPr>
        <w:t>经费与上年预算保持一致，严格按照年初预算执行，确保</w:t>
      </w:r>
      <w:r>
        <w:rPr>
          <w:rFonts w:hint="default" w:ascii="仿宋_GB2312" w:eastAsia="仿宋_GB2312"/>
          <w:b w:val="0"/>
          <w:sz w:val="32"/>
          <w:szCs w:val="32"/>
          <w:lang w:val="en-US" w:eastAsia="zh-CN"/>
        </w:rPr>
        <w:t>“</w:t>
      </w:r>
      <w:r>
        <w:rPr>
          <w:rFonts w:hint="eastAsia" w:ascii="仿宋_GB2312" w:eastAsia="仿宋_GB2312"/>
          <w:b w:val="0"/>
          <w:sz w:val="32"/>
          <w:szCs w:val="32"/>
          <w:lang w:val="en-US" w:eastAsia="zh-CN"/>
        </w:rPr>
        <w:t>三公</w:t>
      </w:r>
      <w:r>
        <w:rPr>
          <w:rFonts w:hint="default" w:ascii="仿宋_GB2312" w:eastAsia="仿宋_GB2312"/>
          <w:b w:val="0"/>
          <w:sz w:val="32"/>
          <w:szCs w:val="32"/>
          <w:lang w:val="en-US" w:eastAsia="zh-CN"/>
        </w:rPr>
        <w:t>”</w:t>
      </w:r>
      <w:r>
        <w:rPr>
          <w:rFonts w:hint="eastAsia" w:ascii="仿宋_GB2312" w:eastAsia="仿宋_GB2312"/>
          <w:b w:val="0"/>
          <w:sz w:val="32"/>
          <w:szCs w:val="32"/>
          <w:lang w:val="en-US" w:eastAsia="zh-CN"/>
        </w:rPr>
        <w:t>经费不超预算</w:t>
      </w:r>
      <w:r>
        <w:rPr>
          <w:rFonts w:ascii="仿宋_GB2312" w:eastAsia="仿宋_GB2312"/>
          <w:b w:val="0"/>
          <w:sz w:val="32"/>
          <w:szCs w:val="32"/>
        </w:rPr>
        <w:t>。其中：因公出国（境）费用全年预算数0.00万元，决算数0.00万元，预决算差异率0.00%，主要原因是：</w:t>
      </w:r>
      <w:r>
        <w:rPr>
          <w:rFonts w:ascii="仿宋_GB2312" w:eastAsia="仿宋_GB2312"/>
          <w:b w:val="0"/>
          <w:sz w:val="32"/>
          <w:szCs w:val="32"/>
          <w:lang w:val="en-US" w:eastAsia="zh-CN"/>
        </w:rPr>
        <w:t>我单位无因公出国（境）费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严格按照年初预算执行，预决算无差异</w:t>
      </w:r>
      <w:r>
        <w:rPr>
          <w:rFonts w:ascii="仿宋_GB2312" w:eastAsia="仿宋_GB2312"/>
          <w:b w:val="0"/>
          <w:sz w:val="32"/>
          <w:szCs w:val="32"/>
        </w:rPr>
        <w:t>；公务用车运行维护费全年预算数5.00万元，决算数5.00万元，预决算差异率0.00%，主要原因是：</w:t>
      </w:r>
      <w:r>
        <w:rPr>
          <w:rFonts w:ascii="仿宋_GB2312" w:eastAsia="仿宋_GB2312"/>
          <w:b w:val="0"/>
          <w:sz w:val="32"/>
          <w:szCs w:val="32"/>
          <w:lang w:val="en-US" w:eastAsia="zh-CN"/>
        </w:rPr>
        <w:t>本年公务车运行费预决算一</w:t>
      </w:r>
      <w:r>
        <w:rPr>
          <w:rFonts w:hint="eastAsia" w:ascii="仿宋_GB2312" w:eastAsia="仿宋_GB2312"/>
          <w:b w:val="0"/>
          <w:sz w:val="32"/>
          <w:szCs w:val="32"/>
          <w:lang w:val="en-US" w:eastAsia="zh-CN"/>
        </w:rPr>
        <w:t>致无差异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严格按照年初预算执行，预决算无差异</w:t>
      </w:r>
      <w:r>
        <w:rPr>
          <w:rFonts w:ascii="仿宋_GB2312" w:eastAsia="仿宋_GB2312"/>
          <w:b w:val="0"/>
          <w:sz w:val="32"/>
          <w:szCs w:val="32"/>
        </w:rPr>
        <w:t>。</w:t>
      </w:r>
    </w:p>
    <w:p w14:paraId="62EC01F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0B51719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（一）机关运行经费及公用经费支出情况</w:t>
      </w:r>
    </w:p>
    <w:p w14:paraId="2465368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sz w:val="32"/>
          <w:szCs w:val="32"/>
        </w:rPr>
        <w:t>2025年度新疆维吾尔自治区农牧业机械化技术推广总站（事业单位）公用经费支出2</w:t>
      </w:r>
      <w:r>
        <w:rPr>
          <w:rFonts w:ascii="仿宋_GB2312" w:eastAsia="仿宋_GB2312"/>
          <w:b w:val="0"/>
          <w:color w:val="auto"/>
          <w:sz w:val="32"/>
          <w:szCs w:val="32"/>
        </w:rPr>
        <w:t>3.47万元，比上年增加1.38万元，增长6.25%，</w:t>
      </w:r>
      <w:r>
        <w:rPr>
          <w:rFonts w:ascii="仿宋_GB2312" w:eastAsia="仿宋_GB2312"/>
          <w:b w:val="0"/>
          <w:color w:val="auto"/>
          <w:sz w:val="32"/>
          <w:szCs w:val="32"/>
          <w:highlight w:val="none"/>
        </w:rPr>
        <w:t>主要原因是：</w:t>
      </w:r>
      <w:r>
        <w:rPr>
          <w:rFonts w:hint="eastAsia" w:ascii="仿宋_GB2312" w:eastAsia="仿宋_GB2312"/>
          <w:b w:val="0"/>
          <w:color w:val="auto"/>
          <w:sz w:val="32"/>
          <w:szCs w:val="32"/>
          <w:highlight w:val="none"/>
          <w:lang w:val="en-US" w:eastAsia="zh-CN"/>
        </w:rPr>
        <w:t>本年工会经费</w:t>
      </w:r>
      <w:r>
        <w:rPr>
          <w:rFonts w:ascii="仿宋_GB2312" w:eastAsia="仿宋_GB2312"/>
          <w:b w:val="0"/>
          <w:color w:val="auto"/>
          <w:sz w:val="32"/>
          <w:szCs w:val="32"/>
          <w:highlight w:val="none"/>
        </w:rPr>
        <w:t>支出</w:t>
      </w:r>
      <w:r>
        <w:rPr>
          <w:rFonts w:hint="eastAsia" w:ascii="仿宋_GB2312" w:eastAsia="仿宋_GB2312"/>
          <w:b w:val="0"/>
          <w:color w:val="auto"/>
          <w:sz w:val="32"/>
          <w:szCs w:val="32"/>
          <w:highlight w:val="none"/>
          <w:lang w:val="en-US" w:eastAsia="zh-CN"/>
        </w:rPr>
        <w:t>较上年增加</w:t>
      </w:r>
      <w:r>
        <w:rPr>
          <w:rFonts w:ascii="仿宋_GB2312" w:eastAsia="仿宋_GB2312"/>
          <w:b w:val="0"/>
          <w:color w:val="auto"/>
          <w:sz w:val="32"/>
          <w:szCs w:val="32"/>
          <w:highlight w:val="none"/>
        </w:rPr>
        <w:t>。</w:t>
      </w:r>
    </w:p>
    <w:p w14:paraId="2B9AE6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color w:val="auto"/>
          <w:sz w:val="32"/>
          <w:szCs w:val="32"/>
        </w:rPr>
      </w:pPr>
      <w:r>
        <w:rPr>
          <w:rFonts w:ascii="黑体" w:eastAsia="黑体"/>
          <w:b w:val="0"/>
          <w:color w:val="auto"/>
          <w:sz w:val="32"/>
          <w:szCs w:val="32"/>
        </w:rPr>
        <w:t>（二）政府采购情况</w:t>
      </w:r>
    </w:p>
    <w:p w14:paraId="5A5D1E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2025年度政府采购支出总额8.00万元，其中：政府采购货物支出3.00万元、政府采购工程支出0.00万元、政府采购服务支出5.00万元。</w:t>
      </w:r>
    </w:p>
    <w:p w14:paraId="73BCF7A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授予中小企业合同金额5.30万元，占政府采购支出总额的66.25%，其中：授予小微企业合同金额5.30万元，占政府采购支出总额的66.25%。</w:t>
      </w:r>
    </w:p>
    <w:p w14:paraId="489FA3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（三）国有资产占用情况说明</w:t>
      </w:r>
    </w:p>
    <w:p w14:paraId="1B5FCC9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sz w:val="32"/>
          <w:szCs w:val="32"/>
        </w:rPr>
        <w:t>截至2025年12月31日，房屋400.00平方米，价值21.00万元。车辆3辆，价值93.12万元，其中：副部（省）级及以上领导用车0辆、主要负责人用车0辆、机要通信用车0</w:t>
      </w:r>
      <w:r>
        <w:rPr>
          <w:rFonts w:ascii="仿宋_GB2312" w:eastAsia="仿宋_GB2312"/>
          <w:b w:val="0"/>
          <w:color w:val="auto"/>
          <w:sz w:val="32"/>
          <w:szCs w:val="32"/>
          <w:highlight w:val="none"/>
        </w:rPr>
        <w:t>辆、应急保障用车0辆、执法执勤用车0辆、特种专业技术用车0辆、离退休干部服务用车0辆、其他用车3辆，其他用车主要是：</w:t>
      </w:r>
      <w:r>
        <w:rPr>
          <w:rFonts w:ascii="仿宋_GB2312" w:eastAsia="仿宋_GB2312"/>
          <w:b w:val="0"/>
          <w:color w:val="auto"/>
          <w:sz w:val="32"/>
          <w:szCs w:val="32"/>
          <w:highlight w:val="none"/>
          <w:lang w:val="en-US" w:eastAsia="zh-CN"/>
        </w:rPr>
        <w:t>单位业务用车</w:t>
      </w:r>
      <w:r>
        <w:rPr>
          <w:rFonts w:ascii="仿宋_GB2312" w:eastAsia="仿宋_GB2312"/>
          <w:b w:val="0"/>
          <w:color w:val="auto"/>
          <w:sz w:val="32"/>
          <w:szCs w:val="32"/>
          <w:highlight w:val="none"/>
        </w:rPr>
        <w:t>;单价100万元（含）以上设备（不含车辆）0台（套）。</w:t>
      </w:r>
    </w:p>
    <w:p w14:paraId="62606A5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十一、预算绩效的情况说明</w:t>
      </w:r>
    </w:p>
    <w:p w14:paraId="57A1FCE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根据预算绩效管理要求，本单位2025年度预算绩效评价项目</w:t>
      </w: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个，全年预算数</w:t>
      </w:r>
      <w:r>
        <w:rPr>
          <w:rFonts w:hint="eastAsia" w:ascii="仿宋_GB2312" w:eastAsia="仿宋_GB2312"/>
          <w:b w:val="0"/>
          <w:color w:val="auto"/>
          <w:sz w:val="32"/>
          <w:szCs w:val="32"/>
          <w:highlight w:val="none"/>
          <w:lang w:val="en-US" w:eastAsia="zh-CN"/>
        </w:rPr>
        <w:t>50</w:t>
      </w:r>
      <w:r>
        <w:rPr>
          <w:rFonts w:ascii="仿宋_GB2312" w:eastAsia="仿宋_GB2312"/>
          <w:b w:val="0"/>
          <w:color w:val="auto"/>
          <w:sz w:val="32"/>
          <w:szCs w:val="32"/>
          <w:highlight w:val="none"/>
        </w:rPr>
        <w:t>万元，全年执行数</w:t>
      </w:r>
      <w:r>
        <w:rPr>
          <w:rFonts w:hint="eastAsia" w:ascii="仿宋_GB2312" w:eastAsia="仿宋_GB2312"/>
          <w:b w:val="0"/>
          <w:color w:val="auto"/>
          <w:sz w:val="32"/>
          <w:szCs w:val="32"/>
          <w:highlight w:val="none"/>
          <w:lang w:val="en-US" w:eastAsia="zh-CN"/>
        </w:rPr>
        <w:t>50</w:t>
      </w:r>
      <w:r>
        <w:rPr>
          <w:rFonts w:ascii="仿宋_GB2312" w:eastAsia="仿宋_GB2312"/>
          <w:b w:val="0"/>
          <w:color w:val="auto"/>
          <w:sz w:val="32"/>
          <w:szCs w:val="32"/>
          <w:highlight w:val="none"/>
        </w:rPr>
        <w:t>万元。</w:t>
      </w:r>
      <w:r>
        <w:rPr>
          <w:rFonts w:ascii="仿宋_GB2312" w:eastAsia="仿宋_GB2312"/>
          <w:b w:val="0"/>
          <w:color w:val="auto"/>
          <w:sz w:val="32"/>
          <w:szCs w:val="32"/>
          <w:highlight w:val="none"/>
          <w:lang w:val="en-US" w:eastAsia="zh-CN"/>
        </w:rPr>
        <w:t>预算绩效管理取得的成效：一是严格坚持先做事、后验收、再</w:t>
      </w:r>
      <w:r>
        <w:rPr>
          <w:rFonts w:hint="eastAsia" w:ascii="仿宋_GB2312" w:eastAsia="仿宋_GB2312"/>
          <w:b w:val="0"/>
          <w:color w:val="auto"/>
          <w:sz w:val="32"/>
          <w:szCs w:val="32"/>
          <w:highlight w:val="none"/>
          <w:lang w:val="en-US" w:eastAsia="zh-CN"/>
        </w:rPr>
        <w:t>拨付的原则，基本杜绝了资金被挤占和挪用现象的发生，跟踪检查到位。财政、纪检、监察等职能部门全面参与专项资金事前、事中和事后全过程的监管；二是在监督环节上，实行关口前移，从事后监督管理转向事前审核，事中监督和事后检查稽核相结合的监督制度上来，形成多环节全过程的监督管理格局，尽量早发现问题，早解决问题。发现的问题及原因：一是作为实施预算绩效管理的主体，对绩效预算认识不够充分，绩效理念有待进一步强化，业务人员业务能力和素质还有待进一步提升；二是预算绩效目标考核指标体系不尽完善，还需进一步细化项目设置的部分绩效指标与项目、专项业务工作实际脱节，对后期绩效监控及评价造成影响。下一步改进措施：一是结合农机化推广工作考核建立绩效工作考核制度，加大全单位对全面实施预算绩效管理和绩效管理工作的学习力度，让</w:t>
      </w:r>
      <w:r>
        <w:rPr>
          <w:rFonts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lang w:val="en-US" w:eastAsia="zh-CN"/>
        </w:rPr>
        <w:t>花钱必问效，无效必问责</w:t>
      </w:r>
      <w:r>
        <w:rPr>
          <w:rFonts w:hint="default"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lang w:val="en-US" w:eastAsia="zh-CN"/>
        </w:rPr>
        <w:t>的理念深入工作每个环节。二是进一步建立健全工作机制，完善内控制度，截至目前基本形成科学合理、高效严谨的全面绩效管理制度和体系。</w:t>
      </w:r>
      <w:r>
        <w:rPr>
          <w:rFonts w:hint="eastAsia" w:ascii="仿宋_GB2312" w:eastAsia="仿宋_GB2312"/>
          <w:color w:val="auto"/>
          <w:sz w:val="32"/>
          <w:szCs w:val="32"/>
          <w:highlight w:val="none"/>
          <w:lang w:val="en-US" w:eastAsia="zh-CN"/>
        </w:rPr>
        <w:t>具体附</w:t>
      </w:r>
      <w:r>
        <w:rPr>
          <w:rFonts w:hint="eastAsia" w:ascii="仿宋_GB2312" w:hAnsi="仿宋_GB2312" w:eastAsia="仿宋_GB2312" w:cs="仿宋_GB2312"/>
          <w:b w:val="0"/>
          <w:bCs w:val="0"/>
          <w:color w:val="auto"/>
          <w:kern w:val="0"/>
          <w:sz w:val="32"/>
          <w:szCs w:val="32"/>
          <w:highlight w:val="none"/>
          <w:lang w:val="en-US" w:eastAsia="zh-CN" w:bidi="ar"/>
        </w:rPr>
        <w:t>项目支出绩效自评表。</w:t>
      </w:r>
    </w:p>
    <w:p w14:paraId="2EF599E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十二、其他需说明的事项</w:t>
      </w:r>
    </w:p>
    <w:p w14:paraId="0C1FC3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本单位无其他需说明的事项。</w:t>
      </w:r>
    </w:p>
    <w:p w14:paraId="11A6E84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color w:val="auto"/>
          <w:sz w:val="32"/>
          <w:szCs w:val="32"/>
          <w:highlight w:val="none"/>
        </w:rPr>
      </w:pPr>
    </w:p>
    <w:p w14:paraId="0D793B2C">
      <w:pPr>
        <w:keepNext w:val="0"/>
        <w:keepLines w:val="0"/>
        <w:pageBreakBefore w:val="0"/>
        <w:widowControl/>
        <w:kinsoku/>
        <w:wordWrap/>
        <w:overflowPunct/>
        <w:topLinePunct w:val="0"/>
        <w:autoSpaceDE/>
        <w:autoSpaceDN/>
        <w:bidi w:val="0"/>
        <w:adjustRightInd/>
        <w:snapToGrid/>
        <w:spacing w:line="560" w:lineRule="exact"/>
        <w:textAlignment w:val="auto"/>
        <w:rPr>
          <w:color w:val="auto"/>
          <w:highlight w:val="none"/>
        </w:rPr>
      </w:pPr>
      <w:r>
        <w:rPr>
          <w:b w:val="0"/>
          <w:color w:val="auto"/>
          <w:sz w:val="0"/>
          <w:szCs w:val="0"/>
          <w:highlight w:val="none"/>
        </w:rPr>
        <w:br w:type="page"/>
      </w:r>
    </w:p>
    <w:p w14:paraId="074DDE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14:paraId="3214F8D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667061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86F22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2A55DA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1CF8E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6C26952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7B966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63A8556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647A791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4FD60A6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405483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55858AC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4BA66A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4AEB306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3CB75B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3481DE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7190BA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26689E07">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52DEB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14:paraId="44DA260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321E539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1F6B3E5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197CAA7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0FC1A50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50AD1D7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F4303D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67DF00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750FA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0537C28"/>
    <w:rsid w:val="01657C13"/>
    <w:rsid w:val="018C1643"/>
    <w:rsid w:val="01D32DCE"/>
    <w:rsid w:val="029702A0"/>
    <w:rsid w:val="042B4352"/>
    <w:rsid w:val="089448B5"/>
    <w:rsid w:val="091D1F66"/>
    <w:rsid w:val="09C94AB7"/>
    <w:rsid w:val="09EB0ED1"/>
    <w:rsid w:val="0B04491D"/>
    <w:rsid w:val="0CF77F3A"/>
    <w:rsid w:val="0D38267F"/>
    <w:rsid w:val="0DEE2D3E"/>
    <w:rsid w:val="0EE7610B"/>
    <w:rsid w:val="0F056591"/>
    <w:rsid w:val="0F0D7E49"/>
    <w:rsid w:val="107214AD"/>
    <w:rsid w:val="10771710"/>
    <w:rsid w:val="114325E6"/>
    <w:rsid w:val="116003F7"/>
    <w:rsid w:val="12A765BD"/>
    <w:rsid w:val="140432BB"/>
    <w:rsid w:val="141259D8"/>
    <w:rsid w:val="144D4C62"/>
    <w:rsid w:val="149503B7"/>
    <w:rsid w:val="16EB239B"/>
    <w:rsid w:val="178A7F7B"/>
    <w:rsid w:val="17B63073"/>
    <w:rsid w:val="180C0990"/>
    <w:rsid w:val="18371EB1"/>
    <w:rsid w:val="1970274F"/>
    <w:rsid w:val="197A0879"/>
    <w:rsid w:val="19D43730"/>
    <w:rsid w:val="1B7725C5"/>
    <w:rsid w:val="1BA34E7F"/>
    <w:rsid w:val="1BE55780"/>
    <w:rsid w:val="1C673348"/>
    <w:rsid w:val="1D0B56BA"/>
    <w:rsid w:val="1D2422D8"/>
    <w:rsid w:val="1DE204BB"/>
    <w:rsid w:val="1E8219AC"/>
    <w:rsid w:val="1F9F033C"/>
    <w:rsid w:val="1FED554B"/>
    <w:rsid w:val="21F726B1"/>
    <w:rsid w:val="22F95FB5"/>
    <w:rsid w:val="235C74E9"/>
    <w:rsid w:val="237A5348"/>
    <w:rsid w:val="251A293E"/>
    <w:rsid w:val="257858B7"/>
    <w:rsid w:val="25E140B7"/>
    <w:rsid w:val="272950BB"/>
    <w:rsid w:val="279544FE"/>
    <w:rsid w:val="281318C7"/>
    <w:rsid w:val="295B38A5"/>
    <w:rsid w:val="2C98683F"/>
    <w:rsid w:val="2D2307FE"/>
    <w:rsid w:val="318F109E"/>
    <w:rsid w:val="32BD6FFF"/>
    <w:rsid w:val="32D85BE7"/>
    <w:rsid w:val="32E1013C"/>
    <w:rsid w:val="33C4000E"/>
    <w:rsid w:val="33FE342B"/>
    <w:rsid w:val="343E7CCC"/>
    <w:rsid w:val="351B1054"/>
    <w:rsid w:val="359E6C74"/>
    <w:rsid w:val="35A16CAA"/>
    <w:rsid w:val="36764256"/>
    <w:rsid w:val="373A0C1E"/>
    <w:rsid w:val="39641F82"/>
    <w:rsid w:val="396C5791"/>
    <w:rsid w:val="399D705B"/>
    <w:rsid w:val="3A0B4AF4"/>
    <w:rsid w:val="3A695377"/>
    <w:rsid w:val="3AF86E26"/>
    <w:rsid w:val="3BCE5DD9"/>
    <w:rsid w:val="3C5838B2"/>
    <w:rsid w:val="3C8D359E"/>
    <w:rsid w:val="3CDB51DB"/>
    <w:rsid w:val="3D404AB5"/>
    <w:rsid w:val="3DFD4754"/>
    <w:rsid w:val="3F0A7128"/>
    <w:rsid w:val="3F2D2E17"/>
    <w:rsid w:val="40152228"/>
    <w:rsid w:val="403A3DB8"/>
    <w:rsid w:val="40E51BFB"/>
    <w:rsid w:val="41415E2F"/>
    <w:rsid w:val="41FB544E"/>
    <w:rsid w:val="42772D26"/>
    <w:rsid w:val="42B9333F"/>
    <w:rsid w:val="441A605F"/>
    <w:rsid w:val="44A818BD"/>
    <w:rsid w:val="45700EE7"/>
    <w:rsid w:val="476B0980"/>
    <w:rsid w:val="47E36768"/>
    <w:rsid w:val="48BC6162"/>
    <w:rsid w:val="48FE5D5D"/>
    <w:rsid w:val="491C0184"/>
    <w:rsid w:val="4A143551"/>
    <w:rsid w:val="4A314103"/>
    <w:rsid w:val="4B726781"/>
    <w:rsid w:val="4CE37103"/>
    <w:rsid w:val="4E353158"/>
    <w:rsid w:val="4F722CCD"/>
    <w:rsid w:val="4FB82BD0"/>
    <w:rsid w:val="4FE54A7C"/>
    <w:rsid w:val="50333DEC"/>
    <w:rsid w:val="50E0418D"/>
    <w:rsid w:val="527458E8"/>
    <w:rsid w:val="52BC6534"/>
    <w:rsid w:val="537A08C9"/>
    <w:rsid w:val="54BC551A"/>
    <w:rsid w:val="54DC0AD8"/>
    <w:rsid w:val="54E3249D"/>
    <w:rsid w:val="55133268"/>
    <w:rsid w:val="553A21F9"/>
    <w:rsid w:val="55AF412E"/>
    <w:rsid w:val="56AC716E"/>
    <w:rsid w:val="571E77BD"/>
    <w:rsid w:val="57864FE8"/>
    <w:rsid w:val="58223AF1"/>
    <w:rsid w:val="58AD0DF8"/>
    <w:rsid w:val="58CF4D06"/>
    <w:rsid w:val="5A8B6F17"/>
    <w:rsid w:val="5AE64A95"/>
    <w:rsid w:val="5BE07737"/>
    <w:rsid w:val="5C9347A9"/>
    <w:rsid w:val="5CA4101E"/>
    <w:rsid w:val="5CB32755"/>
    <w:rsid w:val="5D350B48"/>
    <w:rsid w:val="5F88611B"/>
    <w:rsid w:val="60AA6BA4"/>
    <w:rsid w:val="61970898"/>
    <w:rsid w:val="61D27B22"/>
    <w:rsid w:val="62010C00"/>
    <w:rsid w:val="621E78AA"/>
    <w:rsid w:val="62712E97"/>
    <w:rsid w:val="655F791E"/>
    <w:rsid w:val="659A1083"/>
    <w:rsid w:val="670342D9"/>
    <w:rsid w:val="691B0000"/>
    <w:rsid w:val="69252C2D"/>
    <w:rsid w:val="696A092A"/>
    <w:rsid w:val="69AC2A06"/>
    <w:rsid w:val="69E70A4A"/>
    <w:rsid w:val="6AB57FE0"/>
    <w:rsid w:val="6AE6019A"/>
    <w:rsid w:val="6D2356D5"/>
    <w:rsid w:val="6D2D0302"/>
    <w:rsid w:val="6D604233"/>
    <w:rsid w:val="6DF64B98"/>
    <w:rsid w:val="6F41242D"/>
    <w:rsid w:val="6FA85431"/>
    <w:rsid w:val="7056191E"/>
    <w:rsid w:val="718030F6"/>
    <w:rsid w:val="72717DED"/>
    <w:rsid w:val="72753F76"/>
    <w:rsid w:val="72D354A8"/>
    <w:rsid w:val="73B40854"/>
    <w:rsid w:val="746C5BB4"/>
    <w:rsid w:val="7479207F"/>
    <w:rsid w:val="7536737D"/>
    <w:rsid w:val="754B57C9"/>
    <w:rsid w:val="78E57CE3"/>
    <w:rsid w:val="7A0D5743"/>
    <w:rsid w:val="7BE20509"/>
    <w:rsid w:val="7C8D4919"/>
    <w:rsid w:val="7E5C7813"/>
    <w:rsid w:val="7EC41274"/>
    <w:rsid w:val="7F126204"/>
    <w:rsid w:val="7F3C6183"/>
    <w:rsid w:val="7FB126CD"/>
    <w:rsid w:val="7FBE71B3"/>
    <w:rsid w:val="7FD14B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ae9c7fab-b2ff-4243-821a-dcc7f1218a43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195FFD22</paraID>
      <start>0</start>
      <end>2</end>
      <status>unmodified</status>
      <modifiedWord/>
      <trackRevisions>false</trackRevisions>
    </reviewItem>
    <reviewItem>
      <errorID>c4bf4350-95d2-49c0-bafc-fe45bb7fc291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3F3476A4</paraID>
      <start>0</start>
      <end>2</end>
      <status>unmodified</status>
      <modifiedWord/>
      <trackRevisions>false</trackRevisions>
    </reviewItem>
    <reviewItem>
      <errorID>1d5788f8-f556-4572-8ec9-46e820117871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6D1C7913</paraID>
      <start>0</start>
      <end>2</end>
      <status>unmodified</status>
      <modifiedWord/>
      <trackRevisions>false</trackRevisions>
    </reviewItem>
    <reviewItem>
      <errorID>413fd45d-34d2-45c6-885b-526c91e31ebd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49F0B2E2</paraID>
      <start>0</start>
      <end>2</end>
      <status>unmodified</status>
      <modifiedWord/>
      <trackRevisions>false</trackRevisions>
    </reviewItem>
    <reviewItem>
      <errorID>fec855fe-6dfe-48eb-ad2d-4bf650504e40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2B18E04E</paraID>
      <start>0</start>
      <end>2</end>
      <status>unmodified</status>
      <modifiedWord/>
      <trackRevisions>false</trackRevisions>
    </reviewItem>
    <reviewItem>
      <errorID>50d35345-5db4-48ea-a3eb-6a8a9a10217a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4E313CE3</paraID>
      <start>0</start>
      <end>2</end>
      <status>unmodified</status>
      <modifiedWord/>
      <trackRevisions>false</trackRevisions>
    </reviewItem>
    <reviewItem>
      <errorID>8555c2a4-bce2-4174-863d-2bed5529873d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159E396A</paraID>
      <start>0</start>
      <end>2</end>
      <status>unmodified</status>
      <modifiedWord/>
      <trackRevisions>false</trackRevisions>
    </reviewItem>
    <reviewItem>
      <errorID>4ee3a94b-aaab-41f2-b7bf-6c5931ffd7b4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5E6A8CA5</paraID>
      <start>0</start>
      <end>2</end>
      <status>unmodified</status>
      <modifiedWord/>
      <trackRevisions>false</trackRevisions>
    </reviewItem>
    <reviewItem>
      <errorID>c8efdb1f-5159-4c94-ab9d-7a130b2e53c7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18F4E2AC</paraID>
      <start>0</start>
      <end>2</end>
      <status>unmodified</status>
      <modifiedWord/>
      <trackRevisions>false</trackRevisions>
    </reviewItem>
    <reviewItem>
      <errorID>d3367d6b-5c5f-40de-bc26-8a7efd04a451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3A242C64</paraID>
      <start>0</start>
      <end>3</end>
      <status>unmodified</status>
      <modifiedWord/>
      <trackRevisions>false</trackRevisions>
    </reviewItem>
    <reviewItem>
      <errorID>9c2896f2-cdd2-4e18-b78c-034ea7a552fb</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49793564</paraID>
      <start>0</start>
      <end>3</end>
      <status>unmodified</status>
      <modifiedWord/>
      <trackRevisions>false</trackRevisions>
    </reviewItem>
    <reviewItem>
      <errorID>bc83f4eb-e9d1-49eb-8dd6-009ed998147e</errorID>
      <errorWord>,</errorWord>
      <group>L1_Format</group>
      <groupName>格式问题</groupName>
      <ability>L2_HalfPunc_CN</ability>
      <abilityName>全半角问题</abilityName>
      <candidateList>
        <item>，</item>
      </candidateList>
      <explain>文本全半角错误。</explain>
      <paraID>12E5CBBA</paraID>
      <start>30</start>
      <end>31</end>
      <status>unmodified</status>
      <modifiedWord/>
      <trackRevisions>false</trackRevisions>
    </reviewItem>
    <reviewItem>
      <errorID>2a50e633-afcc-447c-b5d5-f8fdcbcd4160</errorID>
      <errorWord>,</errorWord>
      <group>L1_Format</group>
      <groupName>格式问题</groupName>
      <ability>L2_HalfPunc_CN</ability>
      <abilityName>全半角问题</abilityName>
      <candidateList>
        <item>，</item>
      </candidateList>
      <explain>文本全半角错误。</explain>
      <paraID>12E5CBBA</paraID>
      <start>51</start>
      <end>52</end>
      <status>unmodified</status>
      <modifiedWord/>
      <trackRevisions>false</trackRevisions>
    </reviewItem>
    <reviewItem>
      <errorID>579f9eee-9df9-425e-b361-3bcc00e87890</errorID>
      <errorWord>,</errorWord>
      <group>L1_Format</group>
      <groupName>格式问题</groupName>
      <ability>L2_HalfPunc_CN</ability>
      <abilityName>全半角问题</abilityName>
      <candidateList>
        <item>，</item>
      </candidateList>
      <explain>文本全半角错误。</explain>
      <paraID>12E5CBBA</paraID>
      <start>88</start>
      <end>89</end>
      <status>unmodified</status>
      <modifiedWord/>
      <trackRevisions>false</trackRevisions>
    </reviewItem>
    <reviewItem>
      <errorID>220a5b07-2bb6-4820-8b72-8a8088e480da</errorID>
      <errorWord>,</errorWord>
      <group>L1_Format</group>
      <groupName>格式问题</groupName>
      <ability>L2_HalfPunc_CN</ability>
      <abilityName>全半角问题</abilityName>
      <candidateList>
        <item>，</item>
      </candidateList>
      <explain>文本全半角错误。</explain>
      <paraID>64FCDE2B</paraID>
      <start>77</start>
      <end>78</end>
      <status>unmodified</status>
      <modifiedWord/>
      <trackRevisions>false</trackRevisions>
    </reviewItem>
    <reviewItem>
      <errorID>51fbd15f-9b3c-43c1-99f5-a0ee7364457e</errorID>
      <errorWord>;</errorWord>
      <group>L1_Format</group>
      <groupName>格式问题</groupName>
      <ability>L2_HalfPunc_CN</ability>
      <abilityName>全半角问题</abilityName>
      <candidateList>
        <item>；</item>
      </candidateList>
      <explain>文本全半角错误。</explain>
      <paraID>1B5FCC92</paraID>
      <start>151</start>
      <end>152</end>
      <status>unmodified</status>
      <modifiedWord/>
      <trackRevisions>false</trackRevisions>
    </reviewItem>
  </reviewItems>
  <config/>
</contractReview>
</file>

<file path=customXml/itemProps1.xml><?xml version="1.0" encoding="utf-8"?>
<ds:datastoreItem xmlns:ds="http://schemas.openxmlformats.org/officeDocument/2006/customXml" ds:itemID="{8230c39d-e9a2-4175-8ab7-3d2d0a088211}">
  <ds:schemaRefs/>
</ds:datastoreItem>
</file>

<file path=docProps/app.xml><?xml version="1.0" encoding="utf-8"?>
<Properties xmlns="http://schemas.openxmlformats.org/officeDocument/2006/extended-properties" xmlns:vt="http://schemas.openxmlformats.org/officeDocument/2006/docPropsVTypes">
  <Pages>18</Pages>
  <Words>6254</Words>
  <Characters>6874</Characters>
  <TotalTime>7</TotalTime>
  <ScaleCrop>false</ScaleCrop>
  <LinksUpToDate>false</LinksUpToDate>
  <CharactersWithSpaces>6888</CharactersWithSpaces>
  <Application>WPS Office_12.1.0.28022_F1E327BC-269C-435d-A152-05C5408002CA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2026-08-18T04:20:00Z</dcterms:created>
  <dc:creator>14025</dc:creator>
  <cp:lastModifiedBy>默水</cp:lastModifiedBy>
  <dcterms:modified xsi:type="dcterms:W3CDTF">2026-08-25T11:15:04Z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eyJoZGlkIjoiN2ZkN2U0NTE2ZWZjNGNkOGYwMTY5ODIwZjEyYjUxNGMiLCJ1c2VySWQiOiI0MDc2MTk2NTAifQ==</vt:lpwstr>
  </property>
  <property fmtid="{D5CDD505-2E9C-101B-9397-08002B2CF9AE}" pid="3" name="KSOProductBuildVer">
    <vt:lpwstr>2052-12.1.0.28022</vt:lpwstr>
  </property>
  <property fmtid="{D5CDD505-2E9C-101B-9397-08002B2CF9AE}" pid="4" name="ICV">
    <vt:lpwstr>1F0182BD7BC548F2B5161FE2A7EB2594_12</vt:lpwstr>
  </property>
</Properties>
</file>