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CFB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highlight w:val="none"/>
        </w:rPr>
      </w:pPr>
    </w:p>
    <w:p w14:paraId="05EC85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14:paraId="67EBE5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14:paraId="68C34CC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highlight w:val="none"/>
        </w:rPr>
      </w:pPr>
    </w:p>
    <w:p w14:paraId="6D5BE0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highlight w:val="none"/>
        </w:rPr>
      </w:pPr>
      <w:r>
        <w:rPr>
          <w:rFonts w:ascii="宋体" w:eastAsia="黑体"/>
          <w:b w:val="0"/>
          <w:sz w:val="44"/>
          <w:szCs w:val="44"/>
          <w:highlight w:val="none"/>
        </w:rPr>
        <w:t>新疆维吾尔自治区农牧业机械产品质量监督管理站</w:t>
      </w:r>
    </w:p>
    <w:p w14:paraId="558C56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highlight w:val="none"/>
        </w:rPr>
      </w:pPr>
      <w:r>
        <w:rPr>
          <w:rFonts w:ascii="黑体" w:eastAsia="黑体"/>
          <w:b w:val="0"/>
          <w:sz w:val="44"/>
          <w:szCs w:val="44"/>
          <w:highlight w:val="none"/>
        </w:rPr>
        <w:t>2025年度部门决算公开说明</w:t>
      </w:r>
    </w:p>
    <w:p w14:paraId="3028BC6A">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14:paraId="60D946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highlight w:val="none"/>
        </w:rPr>
      </w:pPr>
      <w:r>
        <w:rPr>
          <w:rFonts w:ascii="黑体" w:eastAsia="黑体"/>
          <w:b/>
          <w:sz w:val="32"/>
          <w:szCs w:val="32"/>
          <w:highlight w:val="none"/>
        </w:rPr>
        <w:t>目</w:t>
      </w:r>
      <w:r>
        <w:rPr>
          <w:rFonts w:hint="eastAsia" w:ascii="黑体" w:eastAsia="黑体"/>
          <w:b/>
          <w:sz w:val="32"/>
          <w:szCs w:val="32"/>
          <w:highlight w:val="none"/>
          <w:lang w:val="en-US" w:eastAsia="zh-CN"/>
        </w:rPr>
        <w:t xml:space="preserve"> </w:t>
      </w:r>
      <w:r>
        <w:rPr>
          <w:rFonts w:ascii="黑体" w:eastAsia="黑体"/>
          <w:b/>
          <w:sz w:val="32"/>
          <w:szCs w:val="32"/>
          <w:highlight w:val="none"/>
        </w:rPr>
        <w:t xml:space="preserve"> 录</w:t>
      </w:r>
    </w:p>
    <w:p w14:paraId="7BF77B2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第一部分</w:t>
      </w:r>
      <w:r>
        <w:rPr>
          <w:rFonts w:hint="eastAsia" w:ascii="仿宋_GB2312" w:eastAsia="仿宋_GB2312"/>
          <w:b/>
          <w:sz w:val="32"/>
          <w:szCs w:val="32"/>
          <w:highlight w:val="none"/>
          <w:lang w:val="en-US" w:eastAsia="zh-CN"/>
        </w:rPr>
        <w:t xml:space="preserve"> </w:t>
      </w:r>
      <w:r>
        <w:rPr>
          <w:rFonts w:ascii="仿宋_GB2312" w:eastAsia="仿宋_GB2312"/>
          <w:b/>
          <w:sz w:val="32"/>
          <w:szCs w:val="32"/>
          <w:highlight w:val="none"/>
        </w:rPr>
        <w:t>单位概况</w:t>
      </w:r>
    </w:p>
    <w:p w14:paraId="378114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一、主要职能</w:t>
      </w:r>
    </w:p>
    <w:p w14:paraId="74E45E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二、机构设置</w:t>
      </w:r>
    </w:p>
    <w:p w14:paraId="76D090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第二部分 部门决算情况说明</w:t>
      </w:r>
    </w:p>
    <w:p w14:paraId="3EFE356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14:paraId="36C0CC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二、收入决算情况说明</w:t>
      </w:r>
    </w:p>
    <w:p w14:paraId="283E6E1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三、支出决算情况说明</w:t>
      </w:r>
    </w:p>
    <w:p w14:paraId="43A359C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14:paraId="672CF3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14:paraId="01AAFE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14:paraId="499139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14:paraId="3CA2D7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14:paraId="3211CA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14:paraId="3FCB40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14:paraId="26B417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14:paraId="7EEFE96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14:paraId="5191EE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十、其他重要事项的情况说明</w:t>
      </w:r>
    </w:p>
    <w:p w14:paraId="319CE6F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14:paraId="17139E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（二）政府采购情况</w:t>
      </w:r>
    </w:p>
    <w:p w14:paraId="23418E1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（三）国有资产占用情况说明</w:t>
      </w:r>
    </w:p>
    <w:p w14:paraId="5F622A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十一、预算绩效的情况说明</w:t>
      </w:r>
    </w:p>
    <w:p w14:paraId="507213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十二、其他需说明的事项</w:t>
      </w:r>
    </w:p>
    <w:p w14:paraId="7AD233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第三部分 专业名词解释</w:t>
      </w:r>
    </w:p>
    <w:p w14:paraId="741DA1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sz w:val="32"/>
          <w:szCs w:val="32"/>
          <w:highlight w:val="none"/>
        </w:rPr>
        <w:t>第四部分 部门决算报表（见附表）</w:t>
      </w:r>
    </w:p>
    <w:p w14:paraId="3B56179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一、《收入支出决算总表》</w:t>
      </w:r>
    </w:p>
    <w:p w14:paraId="05F0C0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二、《收入决算表》</w:t>
      </w:r>
    </w:p>
    <w:p w14:paraId="68C9B9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三、《支出决算表》</w:t>
      </w:r>
    </w:p>
    <w:p w14:paraId="003746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0590CB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6CEE9D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424F48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4480BC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109300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14:paraId="1E52764C">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14:paraId="2D022C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第一部分</w:t>
      </w:r>
      <w:r>
        <w:rPr>
          <w:rFonts w:hint="eastAsia" w:ascii="黑体" w:eastAsia="黑体"/>
          <w:b w:val="0"/>
          <w:sz w:val="32"/>
          <w:szCs w:val="32"/>
          <w:highlight w:val="none"/>
          <w:lang w:val="en-US" w:eastAsia="zh-CN"/>
        </w:rPr>
        <w:t xml:space="preserve"> </w:t>
      </w:r>
      <w:bookmarkStart w:id="0" w:name="_GoBack"/>
      <w:bookmarkEnd w:id="0"/>
      <w:r>
        <w:rPr>
          <w:rFonts w:ascii="黑体" w:eastAsia="黑体"/>
          <w:b w:val="0"/>
          <w:sz w:val="32"/>
          <w:szCs w:val="32"/>
          <w:highlight w:val="none"/>
        </w:rPr>
        <w:t>单位概况</w:t>
      </w:r>
    </w:p>
    <w:p w14:paraId="416F74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一、主要职能</w:t>
      </w:r>
    </w:p>
    <w:p w14:paraId="191A361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宣传贯彻执行国家和自治区有关农机技术监督工作的各项法律法规和相关政策，参与相关农机法律法规、政策和规划的研究与提出，对其执行情况实施监督检查；并负责组织开展农业机械产品质量监督工作。</w:t>
      </w:r>
    </w:p>
    <w:p w14:paraId="7AF1D2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负责受理农机产品的鉴定申请，并组织对区内生产和销售的农业机械产品进行推广鉴定、选型鉴定和专项鉴定，出具鉴定报告，公布鉴定、检测结果。</w:t>
      </w:r>
    </w:p>
    <w:p w14:paraId="7454E6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区内生产和销售的农业机械进行推广许可的审查和推广鉴定标志的管理工作；对农业机械推广许可证书和标志的使用情况进行监督，对未取得农业机械推广许可证书推广农机产品和违反使用农业机械推广许可证书及标志等规定的行为进行处理。</w:t>
      </w:r>
    </w:p>
    <w:p w14:paraId="1BC8C1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4</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负责组织对区内生产和销售的农业机械产品进行监督抽查，及时上报监督抽查结果及处理意见。</w:t>
      </w:r>
    </w:p>
    <w:p w14:paraId="6060BB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5</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负责组织对区内农机生产和销售等企业的经营资质进行审查，对其资质定期进行监督检查，及时提出审查和检查意见。</w:t>
      </w:r>
    </w:p>
    <w:p w14:paraId="757041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6</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负责组织对生产、销售和使用的农业机械产品进行质量调查，并公布调查结果。受理调解重大质量问题或集中的质量投诉和举报案件，并负责质量投诉监督工作。</w:t>
      </w:r>
    </w:p>
    <w:p w14:paraId="78CB74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7</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承担有关农业机械方面的国家标准、行业标准、地方标准和鉴定大纲的申报、制（修）订和试验验证工作，组织研究新的检测技术、检测方法和检测仪器设备；负责组织对区内农机生产企业的产品标准进行审定和管理工作。</w:t>
      </w:r>
    </w:p>
    <w:p w14:paraId="3A0E86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8</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负责组织对申请列入国家、自治区支持推广的先进适用农业机械产品目录及列入财政补贴目录的农业机械产品进行鉴定，对目录提出审查意见。</w:t>
      </w:r>
    </w:p>
    <w:p w14:paraId="24E29B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9</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负责组织对生产和销售企业人员进行培训和技术咨询，为政府、农民和农业生产经营组织提供有关信息服务。</w:t>
      </w:r>
    </w:p>
    <w:p w14:paraId="131F10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10</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承担全国范围内棉花机械及主要零部件的质量监督检验等农业农村部赋予棉花机械质量监督检验测试中心的其他职责。</w:t>
      </w:r>
    </w:p>
    <w:p w14:paraId="310D77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承担有关农机产品的委托检验、仲裁检验、质量鉴定和司法鉴定，出具检验报告和鉴定报告。</w:t>
      </w:r>
    </w:p>
    <w:p w14:paraId="4616AE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12</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完成上级主管部门交办的其他事项。</w:t>
      </w:r>
    </w:p>
    <w:p w14:paraId="52972B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b w:val="0"/>
          <w:sz w:val="32"/>
          <w:szCs w:val="32"/>
          <w:highlight w:val="none"/>
        </w:rPr>
      </w:pPr>
      <w:r>
        <w:rPr>
          <w:rFonts w:ascii="黑体" w:eastAsia="黑体"/>
          <w:b w:val="0"/>
          <w:sz w:val="32"/>
          <w:szCs w:val="32"/>
          <w:highlight w:val="none"/>
        </w:rPr>
        <w:t>二、机构设置</w:t>
      </w:r>
    </w:p>
    <w:p w14:paraId="0E8053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新疆维吾尔自治区农牧业机械产品质量监督管理站无下属预算单位。</w:t>
      </w:r>
    </w:p>
    <w:p w14:paraId="5DE27C40">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14:paraId="50DC540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1"/>
        <w:rPr>
          <w:rFonts w:ascii="黑体" w:eastAsia="黑体"/>
          <w:sz w:val="32"/>
          <w:szCs w:val="32"/>
          <w:highlight w:val="none"/>
        </w:rPr>
      </w:pPr>
      <w:r>
        <w:rPr>
          <w:rFonts w:ascii="黑体" w:eastAsia="黑体"/>
          <w:b w:val="0"/>
          <w:sz w:val="32"/>
          <w:szCs w:val="32"/>
          <w:highlight w:val="none"/>
        </w:rPr>
        <w:t>第二部分 部门决算情况说明</w:t>
      </w:r>
    </w:p>
    <w:p w14:paraId="3BD318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b w:val="0"/>
          <w:sz w:val="32"/>
          <w:szCs w:val="32"/>
          <w:highlight w:val="none"/>
        </w:rPr>
      </w:pPr>
      <w:r>
        <w:rPr>
          <w:rFonts w:ascii="黑体" w:eastAsia="黑体"/>
          <w:b w:val="0"/>
          <w:sz w:val="32"/>
          <w:szCs w:val="32"/>
          <w:highlight w:val="none"/>
        </w:rPr>
        <w:t>一、收入支出决算总体情况说明</w:t>
      </w:r>
    </w:p>
    <w:p w14:paraId="68A551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2025年度收入总计1,198.31万元，其中：本年收入合计1,128.80万元，使用非财政拨款结余（含专用结余）0.00万元，年初结转和结余69.51万元。</w:t>
      </w:r>
    </w:p>
    <w:p w14:paraId="1C64FD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2025年度支出总计1,198.31万元，其中：本年支出合计1,119.06万元，结余分配0.00万元，年末结转和结余79.25万元。</w:t>
      </w:r>
    </w:p>
    <w:p w14:paraId="5A8BE30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收入支出总体与上年相比，减少7.61万元，下降0.63%，主要原因是：</w:t>
      </w:r>
      <w:r>
        <w:rPr>
          <w:rFonts w:hint="eastAsia" w:ascii="仿宋_GB2312" w:eastAsia="仿宋_GB2312"/>
          <w:b w:val="0"/>
          <w:sz w:val="32"/>
          <w:szCs w:val="32"/>
          <w:highlight w:val="none"/>
        </w:rPr>
        <w:t>本年农业机械实验鉴定能力提升项目资金减少</w:t>
      </w:r>
      <w:r>
        <w:rPr>
          <w:rFonts w:ascii="仿宋_GB2312" w:eastAsia="仿宋_GB2312"/>
          <w:b w:val="0"/>
          <w:sz w:val="32"/>
          <w:szCs w:val="32"/>
          <w:highlight w:val="none"/>
        </w:rPr>
        <w:t>。</w:t>
      </w:r>
    </w:p>
    <w:p w14:paraId="1599AE7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二、收入决算情况说明</w:t>
      </w:r>
    </w:p>
    <w:p w14:paraId="496C9C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本年收入1,128.80万元，其中：财政拨款收入1,122.38万元,占99.43%；上级补助收入0.00万元,占0.00%；事业收入0.00万元，占0.00%；经营收入0.00万元,占0.00%；附属单位上缴收入0.00万元，占0.00%；其他收入6.43万元，占0.57%。</w:t>
      </w:r>
    </w:p>
    <w:p w14:paraId="0A1E76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三、支出决算情况说明</w:t>
      </w:r>
    </w:p>
    <w:p w14:paraId="1CAE82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本年支出1,119.06万元，其中：基本支出769.91万元，占68.80%；项目支出349.15万元，占31.20%；上缴上级支出0.00万元，占0.00%；经营支出0.00万元，占0.00%；对附属单位补助支出0.00万元，占0.00%。</w:t>
      </w:r>
    </w:p>
    <w:p w14:paraId="5AF13C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14:paraId="02EF21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财政拨款收入总计1,176.54万元，其中：年初财政拨款结转和结余54.16万元，本年财政拨款收入1,122.38万元。财政拨款支出总计1,176.54万元，其中：年末财政拨款结转和结余58.84万元，本年财政拨款支出1,117.69万元。</w:t>
      </w:r>
    </w:p>
    <w:p w14:paraId="60DB6FF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eastAsia="zh-CN"/>
        </w:rPr>
      </w:pPr>
      <w:r>
        <w:rPr>
          <w:rFonts w:ascii="仿宋_GB2312" w:eastAsia="仿宋_GB2312"/>
          <w:b w:val="0"/>
          <w:sz w:val="32"/>
          <w:szCs w:val="32"/>
          <w:highlight w:val="none"/>
        </w:rPr>
        <w:t>财政拨款收入支出总体与上年相比，减少14.03万元，下降1.18%，主要原因是：</w:t>
      </w:r>
      <w:r>
        <w:rPr>
          <w:rFonts w:hint="eastAsia" w:ascii="仿宋_GB2312" w:eastAsia="仿宋_GB2312"/>
          <w:b w:val="0"/>
          <w:sz w:val="32"/>
          <w:szCs w:val="32"/>
          <w:highlight w:val="none"/>
        </w:rPr>
        <w:t>本年农业机械实验鉴定能力提升项目资金减少</w:t>
      </w:r>
      <w:r>
        <w:rPr>
          <w:rFonts w:ascii="仿宋_GB2312" w:eastAsia="仿宋_GB2312"/>
          <w:b w:val="0"/>
          <w:sz w:val="32"/>
          <w:szCs w:val="32"/>
          <w:highlight w:val="none"/>
        </w:rPr>
        <w:t>。与年初预算相比，年初预算数993.43万元，决算数1,176.54万元，预决算差异率18.43%，主要原因是：</w:t>
      </w:r>
      <w:r>
        <w:rPr>
          <w:rFonts w:hint="eastAsia" w:ascii="仿宋_GB2312" w:eastAsia="仿宋_GB2312"/>
          <w:b w:val="0"/>
          <w:sz w:val="32"/>
          <w:szCs w:val="32"/>
          <w:highlight w:val="none"/>
          <w:lang w:val="en-US" w:eastAsia="zh-CN"/>
        </w:rPr>
        <w:t>一是</w:t>
      </w:r>
      <w:r>
        <w:rPr>
          <w:rFonts w:hint="eastAsia" w:ascii="仿宋_GB2312" w:eastAsia="仿宋_GB2312"/>
          <w:b w:val="0"/>
          <w:sz w:val="32"/>
          <w:szCs w:val="32"/>
          <w:highlight w:val="none"/>
        </w:rPr>
        <w:t>本年在职人员增加，年中追加</w:t>
      </w:r>
      <w:r>
        <w:rPr>
          <w:rFonts w:hint="eastAsia" w:ascii="仿宋_GB2312" w:eastAsia="仿宋_GB2312"/>
          <w:b w:val="0"/>
          <w:sz w:val="32"/>
          <w:szCs w:val="32"/>
          <w:highlight w:val="none"/>
          <w:lang w:val="en-US" w:eastAsia="zh-CN"/>
        </w:rPr>
        <w:t>工资、奖金等</w:t>
      </w:r>
      <w:r>
        <w:rPr>
          <w:rFonts w:hint="eastAsia" w:ascii="仿宋_GB2312" w:eastAsia="仿宋_GB2312"/>
          <w:b w:val="0"/>
          <w:sz w:val="32"/>
          <w:szCs w:val="32"/>
          <w:highlight w:val="none"/>
        </w:rPr>
        <w:t>人员经费，导致预决算存在差异</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二是年中追加</w:t>
      </w:r>
      <w:r>
        <w:rPr>
          <w:rFonts w:hint="eastAsia" w:ascii="仿宋_GB2312" w:eastAsia="仿宋_GB2312"/>
          <w:b w:val="0"/>
          <w:sz w:val="32"/>
          <w:szCs w:val="32"/>
          <w:highlight w:val="none"/>
        </w:rPr>
        <w:t>机关事业单位职业年金缴费</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rPr>
        <w:t>导致预决算存在差异</w:t>
      </w:r>
      <w:r>
        <w:rPr>
          <w:rFonts w:hint="eastAsia" w:ascii="仿宋_GB2312" w:eastAsia="仿宋_GB2312"/>
          <w:b w:val="0"/>
          <w:sz w:val="32"/>
          <w:szCs w:val="32"/>
          <w:highlight w:val="none"/>
          <w:lang w:eastAsia="zh-CN"/>
        </w:rPr>
        <w:t>。</w:t>
      </w:r>
    </w:p>
    <w:p w14:paraId="6EB9640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14:paraId="0D9CF6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rPr>
        <w:t>机构运行</w:t>
      </w:r>
      <w:r>
        <w:rPr>
          <w:rFonts w:ascii="仿宋_GB2312" w:eastAsia="仿宋_GB2312"/>
          <w:b w:val="0"/>
          <w:sz w:val="32"/>
          <w:szCs w:val="32"/>
          <w:highlight w:val="none"/>
        </w:rPr>
        <w:t>等重点支出，体现在有关支出科目中。</w:t>
      </w:r>
    </w:p>
    <w:p w14:paraId="06EB22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按照支出功能分类，农林水支出（类）农业农村（款）事业运行（项）的支出占本年财政拨款支出总额的比重最高，2025年度决算数为508.39万元，占比45.49%，主要用于</w:t>
      </w:r>
      <w:r>
        <w:rPr>
          <w:rFonts w:hint="eastAsia" w:ascii="仿宋_GB2312" w:eastAsia="仿宋_GB2312"/>
          <w:b w:val="0"/>
          <w:sz w:val="32"/>
          <w:szCs w:val="32"/>
          <w:highlight w:val="none"/>
          <w:lang w:val="en-US" w:eastAsia="zh-CN"/>
        </w:rPr>
        <w:t>人员工资福利及日常公用经费支出。</w:t>
      </w:r>
    </w:p>
    <w:p w14:paraId="3D21163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2"/>
        <w:rPr>
          <w:rFonts w:ascii="黑体" w:eastAsia="黑体"/>
          <w:sz w:val="32"/>
          <w:szCs w:val="32"/>
          <w:highlight w:val="none"/>
        </w:rPr>
      </w:pPr>
      <w:r>
        <w:rPr>
          <w:rFonts w:ascii="黑体" w:eastAsia="黑体"/>
          <w:b w:val="0"/>
          <w:sz w:val="32"/>
          <w:szCs w:val="32"/>
          <w:highlight w:val="none"/>
        </w:rPr>
        <w:t>（一）一般公共预算财政拨款支出决算总体情况</w:t>
      </w:r>
    </w:p>
    <w:p w14:paraId="7F4407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val="en-US" w:eastAsia="zh-CN"/>
        </w:rPr>
      </w:pPr>
      <w:r>
        <w:rPr>
          <w:rFonts w:ascii="仿宋_GB2312" w:eastAsia="仿宋_GB2312"/>
          <w:b w:val="0"/>
          <w:sz w:val="32"/>
          <w:szCs w:val="32"/>
          <w:highlight w:val="none"/>
        </w:rPr>
        <w:t>2025年度一般公共预算财政拨款支出1,117.69万元，占本年支出合计的99.88%。与上年相比，减少18.72万元，下降1.65%，主要原因是：</w:t>
      </w:r>
      <w:r>
        <w:rPr>
          <w:rFonts w:hint="eastAsia" w:ascii="仿宋_GB2312" w:eastAsia="仿宋_GB2312"/>
          <w:b w:val="0"/>
          <w:sz w:val="32"/>
          <w:szCs w:val="32"/>
          <w:highlight w:val="none"/>
        </w:rPr>
        <w:t>本年财政扶持农机化发展专项-农机鉴定及能力建设资金、农业机械实验鉴定能力提升项目资金减少</w:t>
      </w:r>
      <w:r>
        <w:rPr>
          <w:rFonts w:ascii="仿宋_GB2312" w:eastAsia="仿宋_GB2312"/>
          <w:b w:val="0"/>
          <w:sz w:val="32"/>
          <w:szCs w:val="32"/>
          <w:highlight w:val="none"/>
        </w:rPr>
        <w:t>。与年初预算相比，年初预算数993.43万元，决算数1,117.69万元，预决算差异率12.51%，主要原因是：</w:t>
      </w:r>
      <w:r>
        <w:rPr>
          <w:rFonts w:hint="eastAsia" w:ascii="仿宋_GB2312" w:eastAsia="仿宋_GB2312"/>
          <w:b w:val="0"/>
          <w:sz w:val="32"/>
          <w:szCs w:val="32"/>
          <w:highlight w:val="none"/>
          <w:lang w:val="en-US" w:eastAsia="zh-CN"/>
        </w:rPr>
        <w:t>一是</w:t>
      </w:r>
      <w:r>
        <w:rPr>
          <w:rFonts w:hint="eastAsia" w:ascii="仿宋_GB2312" w:eastAsia="仿宋_GB2312"/>
          <w:b w:val="0"/>
          <w:sz w:val="32"/>
          <w:szCs w:val="32"/>
          <w:highlight w:val="none"/>
        </w:rPr>
        <w:t>本年在职人员增加，年中追加</w:t>
      </w:r>
      <w:r>
        <w:rPr>
          <w:rFonts w:hint="eastAsia" w:ascii="仿宋_GB2312" w:eastAsia="仿宋_GB2312"/>
          <w:b w:val="0"/>
          <w:sz w:val="32"/>
          <w:szCs w:val="32"/>
          <w:highlight w:val="none"/>
          <w:lang w:val="en-US" w:eastAsia="zh-CN"/>
        </w:rPr>
        <w:t>工资、奖金等</w:t>
      </w:r>
      <w:r>
        <w:rPr>
          <w:rFonts w:hint="eastAsia" w:ascii="仿宋_GB2312" w:eastAsia="仿宋_GB2312"/>
          <w:b w:val="0"/>
          <w:sz w:val="32"/>
          <w:szCs w:val="32"/>
          <w:highlight w:val="none"/>
        </w:rPr>
        <w:t>人员经费，导致预决算存在差异</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二是年中追加</w:t>
      </w:r>
      <w:r>
        <w:rPr>
          <w:rFonts w:hint="eastAsia" w:ascii="仿宋_GB2312" w:eastAsia="仿宋_GB2312"/>
          <w:b w:val="0"/>
          <w:sz w:val="32"/>
          <w:szCs w:val="32"/>
          <w:highlight w:val="none"/>
        </w:rPr>
        <w:t>机关事业单位职业年金缴费</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rPr>
        <w:t>导致预决算存在差异</w:t>
      </w:r>
      <w:r>
        <w:rPr>
          <w:rFonts w:hint="eastAsia" w:ascii="仿宋_GB2312" w:eastAsia="仿宋_GB2312"/>
          <w:b w:val="0"/>
          <w:sz w:val="32"/>
          <w:szCs w:val="32"/>
          <w:highlight w:val="none"/>
          <w:lang w:eastAsia="zh-CN"/>
        </w:rPr>
        <w:t>。</w:t>
      </w:r>
    </w:p>
    <w:p w14:paraId="700651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highlight w:val="none"/>
        </w:rPr>
      </w:pPr>
      <w:r>
        <w:rPr>
          <w:rFonts w:ascii="黑体" w:eastAsia="黑体"/>
          <w:b w:val="0"/>
          <w:sz w:val="32"/>
          <w:szCs w:val="32"/>
          <w:highlight w:val="none"/>
        </w:rPr>
        <w:t>（二）一般公共预算财政拨款支出决算结构情况</w:t>
      </w:r>
    </w:p>
    <w:p w14:paraId="421ECA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1.社会保障和就业支出（类）169.90万元，占15.20%。</w:t>
      </w:r>
    </w:p>
    <w:p w14:paraId="333BC63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2.卫生健康支出（类）55.65万元，占4.98%。</w:t>
      </w:r>
    </w:p>
    <w:p w14:paraId="617D7B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3.农林水支出（类）856.17万元，占76.60%。</w:t>
      </w:r>
    </w:p>
    <w:p w14:paraId="768D48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4.住房保障支出（类）35.97万元，占3.22%。</w:t>
      </w:r>
    </w:p>
    <w:p w14:paraId="5F143DB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highlight w:val="none"/>
        </w:rPr>
      </w:pPr>
      <w:r>
        <w:rPr>
          <w:rFonts w:ascii="黑体" w:eastAsia="黑体"/>
          <w:b w:val="0"/>
          <w:sz w:val="32"/>
          <w:szCs w:val="32"/>
          <w:highlight w:val="none"/>
        </w:rPr>
        <w:t>（三）一般公共预算财政拨款支出决算具体情况</w:t>
      </w:r>
    </w:p>
    <w:p w14:paraId="7565DF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FF0000"/>
          <w:sz w:val="32"/>
          <w:szCs w:val="32"/>
          <w:highlight w:val="none"/>
          <w:lang w:val="en-US" w:eastAsia="zh-CN"/>
        </w:rPr>
      </w:pPr>
      <w:r>
        <w:rPr>
          <w:rFonts w:ascii="仿宋_GB2312" w:eastAsia="仿宋_GB2312"/>
          <w:b w:val="0"/>
          <w:sz w:val="32"/>
          <w:szCs w:val="32"/>
          <w:highlight w:val="none"/>
        </w:rPr>
        <w:t>1</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社会保障和就业支出（类）行政事业单位养老支出（款）事业单位离退休（项）：支出决算数为91.96万元，比上年决算增加13.86万元，增长17.75%，主要原因是</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本年单位退休人员暖气费增</w:t>
      </w:r>
      <w:r>
        <w:rPr>
          <w:rFonts w:hint="eastAsia" w:ascii="仿宋_GB2312" w:eastAsia="仿宋_GB2312"/>
          <w:b w:val="0"/>
          <w:color w:val="auto"/>
          <w:sz w:val="32"/>
          <w:szCs w:val="32"/>
          <w:highlight w:val="none"/>
          <w:lang w:val="en-US" w:eastAsia="zh-CN"/>
        </w:rPr>
        <w:t>加。</w:t>
      </w:r>
    </w:p>
    <w:p w14:paraId="348F271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val="en-US" w:eastAsia="zh-CN"/>
        </w:rPr>
      </w:pPr>
      <w:r>
        <w:rPr>
          <w:rFonts w:ascii="仿宋_GB2312" w:eastAsia="仿宋_GB2312"/>
          <w:b w:val="0"/>
          <w:sz w:val="32"/>
          <w:szCs w:val="32"/>
          <w:highlight w:val="none"/>
        </w:rPr>
        <w:t>2</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社会保障和就业支出（类）行政事业单位养老支出（款）机关事业单位基本养老保险缴费支出（项）：支出决算数为53.09万元，比上年决算增加0.77万元，增长1.47%，主要原因是：</w:t>
      </w:r>
      <w:r>
        <w:rPr>
          <w:rFonts w:hint="eastAsia" w:ascii="仿宋_GB2312" w:eastAsia="仿宋_GB2312"/>
          <w:b w:val="0"/>
          <w:sz w:val="32"/>
          <w:szCs w:val="32"/>
          <w:highlight w:val="none"/>
          <w:lang w:val="en-US" w:eastAsia="zh-CN"/>
        </w:rPr>
        <w:t>本年在职人员增加，</w:t>
      </w:r>
      <w:r>
        <w:rPr>
          <w:rFonts w:ascii="仿宋_GB2312" w:eastAsia="仿宋_GB2312"/>
          <w:b w:val="0"/>
          <w:sz w:val="32"/>
          <w:szCs w:val="32"/>
          <w:highlight w:val="none"/>
        </w:rPr>
        <w:t>机关事业单位基本养老保险缴费支出</w:t>
      </w:r>
      <w:r>
        <w:rPr>
          <w:rFonts w:hint="eastAsia" w:ascii="仿宋_GB2312" w:eastAsia="仿宋_GB2312"/>
          <w:b w:val="0"/>
          <w:sz w:val="32"/>
          <w:szCs w:val="32"/>
          <w:highlight w:val="none"/>
          <w:lang w:val="en-US" w:eastAsia="zh-CN"/>
        </w:rPr>
        <w:t>增加。</w:t>
      </w:r>
    </w:p>
    <w:p w14:paraId="145878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val="en-US" w:eastAsia="zh-CN"/>
        </w:rPr>
      </w:pPr>
      <w:r>
        <w:rPr>
          <w:rFonts w:ascii="仿宋_GB2312" w:eastAsia="仿宋_GB2312"/>
          <w:b w:val="0"/>
          <w:sz w:val="32"/>
          <w:szCs w:val="32"/>
          <w:highlight w:val="none"/>
        </w:rPr>
        <w:t>3</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社会保障和就业支出（类）行政事业单位养老支出（款）机关事业单位职业年金缴费支出（项）：支出决算数为24.85万元，比上年决算减少23.52万元，下降48.63%，主要原因是：</w:t>
      </w:r>
      <w:r>
        <w:rPr>
          <w:rFonts w:hint="eastAsia" w:ascii="仿宋_GB2312" w:eastAsia="仿宋_GB2312"/>
          <w:b w:val="0"/>
          <w:sz w:val="32"/>
          <w:szCs w:val="32"/>
          <w:highlight w:val="none"/>
          <w:lang w:val="en-US" w:eastAsia="zh-CN"/>
        </w:rPr>
        <w:t>本年单位无新增退休人员，未发放一次性补发退休人员职业年金，导致相关支出减少。</w:t>
      </w:r>
    </w:p>
    <w:p w14:paraId="3D99EE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4</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卫生健康支出（类）行政事业单位医疗（款）事业单位医疗（项）：支出决算数为32.22万元，比上年决算增加3.59万元，增长12.54%，主要原因是：</w:t>
      </w:r>
      <w:r>
        <w:rPr>
          <w:rFonts w:hint="eastAsia" w:ascii="仿宋_GB2312" w:eastAsia="仿宋_GB2312"/>
          <w:b w:val="0"/>
          <w:sz w:val="32"/>
          <w:szCs w:val="32"/>
          <w:highlight w:val="none"/>
          <w:lang w:val="en-US" w:eastAsia="zh-CN"/>
        </w:rPr>
        <w:t>本年在职人员增加，</w:t>
      </w:r>
      <w:r>
        <w:rPr>
          <w:rFonts w:ascii="仿宋_GB2312" w:eastAsia="仿宋_GB2312"/>
          <w:b w:val="0"/>
          <w:sz w:val="32"/>
          <w:szCs w:val="32"/>
          <w:highlight w:val="none"/>
        </w:rPr>
        <w:t>事业单位医疗</w:t>
      </w:r>
      <w:r>
        <w:rPr>
          <w:rFonts w:hint="eastAsia" w:ascii="仿宋_GB2312" w:eastAsia="仿宋_GB2312"/>
          <w:b w:val="0"/>
          <w:sz w:val="32"/>
          <w:szCs w:val="32"/>
          <w:highlight w:val="none"/>
          <w:lang w:val="en-US" w:eastAsia="zh-CN"/>
        </w:rPr>
        <w:t>支出较上年增加。</w:t>
      </w:r>
    </w:p>
    <w:p w14:paraId="40AB205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sz w:val="32"/>
          <w:szCs w:val="32"/>
          <w:highlight w:val="none"/>
        </w:rPr>
        <w:t>5</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卫生健康支出（类）行政事业单位医疗（款）公务员医疗补助（项）：支出决算数为23.43万元，比上年决算减少0.71万元，下降2.94%，主要原因是：</w:t>
      </w:r>
      <w:r>
        <w:rPr>
          <w:rFonts w:hint="eastAsia" w:ascii="仿宋_GB2312" w:eastAsia="仿宋_GB2312"/>
          <w:b w:val="0"/>
          <w:color w:val="auto"/>
          <w:sz w:val="32"/>
          <w:szCs w:val="32"/>
          <w:highlight w:val="none"/>
        </w:rPr>
        <w:t>本年在职人员调入调出，人员职级不同，缴费基数不同，导致公务员医疗补助较上年减少。</w:t>
      </w:r>
    </w:p>
    <w:p w14:paraId="2AD7A8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6</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农林水支出（类）农业农村（款）事业运行（项）：支出决算数为508.39万元，比上年决算增加34.66万元，增长7.32%，主要原因是：</w:t>
      </w:r>
      <w:r>
        <w:rPr>
          <w:rFonts w:hint="eastAsia" w:ascii="仿宋_GB2312" w:eastAsia="仿宋_GB2312"/>
          <w:b w:val="0"/>
          <w:sz w:val="32"/>
          <w:szCs w:val="32"/>
          <w:highlight w:val="none"/>
        </w:rPr>
        <w:t>本年新增在职人员，人员经费增加，导致经费较上年有所增加。</w:t>
      </w:r>
    </w:p>
    <w:p w14:paraId="2BA8FBC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7</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农林水支出（类）农业农村（款）农业生产发展（项）：支出决算数为347.79万元，比上年决算减少40.33万元，下降10.39%，主要原因是：</w:t>
      </w:r>
      <w:r>
        <w:rPr>
          <w:rFonts w:hint="eastAsia" w:ascii="仿宋_GB2312" w:eastAsia="仿宋_GB2312"/>
          <w:b w:val="0"/>
          <w:sz w:val="32"/>
          <w:szCs w:val="32"/>
          <w:highlight w:val="none"/>
          <w:lang w:val="en-US" w:eastAsia="zh-CN"/>
        </w:rPr>
        <w:t>本年财政扶持农机化发展专项农机鉴定及能力建设资金、农业机械实验鉴定能力提升项目资金减少。</w:t>
      </w:r>
    </w:p>
    <w:p w14:paraId="16CA729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8</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住房保障支出（类）住房改革支出（款）住房公积金（项）：支出决算数为35.97万元，比上年决算减少7.03万元，下降16.35%，主要原因是：</w:t>
      </w:r>
      <w:r>
        <w:rPr>
          <w:rFonts w:hint="eastAsia" w:ascii="仿宋_GB2312" w:eastAsia="仿宋_GB2312"/>
          <w:b w:val="0"/>
          <w:sz w:val="32"/>
          <w:szCs w:val="32"/>
          <w:highlight w:val="none"/>
        </w:rPr>
        <w:t>本年在职人员调入调出，人员职级不同，缴费基数不同，导致</w:t>
      </w:r>
      <w:r>
        <w:rPr>
          <w:rFonts w:hint="eastAsia" w:ascii="仿宋_GB2312" w:eastAsia="仿宋_GB2312"/>
          <w:b w:val="0"/>
          <w:sz w:val="32"/>
          <w:szCs w:val="32"/>
          <w:highlight w:val="none"/>
          <w:lang w:val="en-US" w:eastAsia="zh-CN"/>
        </w:rPr>
        <w:t>住房公积金</w:t>
      </w:r>
      <w:r>
        <w:rPr>
          <w:rFonts w:hint="eastAsia" w:ascii="仿宋_GB2312" w:eastAsia="仿宋_GB2312"/>
          <w:b w:val="0"/>
          <w:sz w:val="32"/>
          <w:szCs w:val="32"/>
          <w:highlight w:val="none"/>
        </w:rPr>
        <w:t>较上年减少。</w:t>
      </w:r>
    </w:p>
    <w:p w14:paraId="73D2C03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14:paraId="187AFF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一般公共预算财政拨款基本支出769.91万元，其中：人员经费702.03万元，包括：基本工资、奖金、机关事业单位基本养老保险缴费、职业年金缴费、职工基本医疗保险缴费、公务员医疗补助缴费、其他社会保障缴费、住房公积金、离休费、退休费和抚恤金。</w:t>
      </w:r>
    </w:p>
    <w:p w14:paraId="6A37AD3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公用经费67.88万元，包括：办公费、手续费、水费、电费、邮电费、取暖费、差旅费、劳务费、工会经费、福利费、公务用车运行维护费、其他交通费用、税金及附加费用和其他商品和服务支出。</w:t>
      </w:r>
    </w:p>
    <w:p w14:paraId="3968BC5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14:paraId="3E5428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14:paraId="15E9FDC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14:paraId="793F05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14:paraId="7D01B0D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14:paraId="5AE407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2025年度财政拨款“三公”经费支出9.50万元，比上年减少0.00万元，下降0.00%，主要原因是：</w:t>
      </w:r>
      <w:r>
        <w:rPr>
          <w:rFonts w:hint="eastAsia" w:ascii="仿宋_GB2312" w:eastAsia="仿宋_GB2312"/>
          <w:b w:val="0"/>
          <w:sz w:val="32"/>
          <w:szCs w:val="32"/>
          <w:highlight w:val="none"/>
          <w:lang w:val="en-US" w:eastAsia="zh-CN"/>
        </w:rPr>
        <w:t>2024年与2025年对比无变化</w:t>
      </w:r>
      <w:r>
        <w:rPr>
          <w:rFonts w:ascii="仿宋_GB2312" w:eastAsia="仿宋_GB2312"/>
          <w:b w:val="0"/>
          <w:sz w:val="32"/>
          <w:szCs w:val="32"/>
          <w:highlight w:val="none"/>
        </w:rPr>
        <w:t>。其中：因公出国（境）费用支出0.00万元,占0.00%，</w:t>
      </w:r>
      <w:r>
        <w:rPr>
          <w:rFonts w:hint="eastAsia" w:ascii="仿宋_GB2312" w:eastAsia="仿宋_GB2312"/>
          <w:b w:val="0"/>
          <w:sz w:val="32"/>
          <w:szCs w:val="32"/>
          <w:highlight w:val="none"/>
        </w:rPr>
        <w:t>比上年增加0.00万元，增长0.00%</w:t>
      </w:r>
      <w:r>
        <w:rPr>
          <w:rFonts w:ascii="仿宋_GB2312" w:eastAsia="仿宋_GB2312"/>
          <w:b w:val="0"/>
          <w:sz w:val="32"/>
          <w:szCs w:val="32"/>
          <w:highlight w:val="none"/>
        </w:rPr>
        <w:t>，主要原因是：</w:t>
      </w:r>
      <w:r>
        <w:rPr>
          <w:rFonts w:hint="eastAsia" w:ascii="仿宋_GB2312" w:eastAsia="仿宋_GB2312"/>
          <w:b w:val="0"/>
          <w:sz w:val="32"/>
          <w:szCs w:val="32"/>
          <w:highlight w:val="none"/>
        </w:rPr>
        <w:t>2024年与2025年均无因公出国（境）费用支出</w:t>
      </w:r>
      <w:r>
        <w:rPr>
          <w:rFonts w:ascii="仿宋_GB2312" w:eastAsia="仿宋_GB2312"/>
          <w:b w:val="0"/>
          <w:sz w:val="32"/>
          <w:szCs w:val="32"/>
          <w:highlight w:val="none"/>
        </w:rPr>
        <w:t>；公务用车购置及运行维护费支出9.50万元，占100.00%，比上年减少0.00万元，下降0.00%，主要原因是：</w:t>
      </w:r>
      <w:r>
        <w:rPr>
          <w:rFonts w:hint="eastAsia" w:ascii="仿宋_GB2312" w:eastAsia="仿宋_GB2312"/>
          <w:b w:val="0"/>
          <w:sz w:val="32"/>
          <w:szCs w:val="32"/>
          <w:highlight w:val="none"/>
          <w:lang w:val="en-US" w:eastAsia="zh-CN"/>
        </w:rPr>
        <w:t>2024年与2025年对比无变化</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rPr>
        <w:t>2024年与2025年均无</w:t>
      </w:r>
      <w:r>
        <w:rPr>
          <w:rFonts w:ascii="仿宋_GB2312" w:eastAsia="仿宋_GB2312"/>
          <w:b w:val="0"/>
          <w:sz w:val="32"/>
          <w:szCs w:val="32"/>
          <w:highlight w:val="none"/>
        </w:rPr>
        <w:t>公务接待费支出。</w:t>
      </w:r>
    </w:p>
    <w:p w14:paraId="524389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具体情况如下：</w:t>
      </w:r>
    </w:p>
    <w:p w14:paraId="55F1E9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因公出国（境）费用0.00万元，开支内容包括</w:t>
      </w:r>
      <w:r>
        <w:rPr>
          <w:rFonts w:hint="eastAsia" w:ascii="仿宋_GB2312" w:eastAsia="仿宋_GB2312"/>
          <w:b w:val="0"/>
          <w:sz w:val="32"/>
          <w:szCs w:val="32"/>
          <w:highlight w:val="none"/>
        </w:rPr>
        <w:t>本单位无因公出国（境）费用</w:t>
      </w:r>
      <w:r>
        <w:rPr>
          <w:rFonts w:ascii="仿宋_GB2312" w:eastAsia="仿宋_GB2312"/>
          <w:b w:val="0"/>
          <w:sz w:val="32"/>
          <w:szCs w:val="32"/>
          <w:highlight w:val="none"/>
        </w:rPr>
        <w:t>。单位全年安排的因公出国（境）团组0个，因公出国（境）0人次。</w:t>
      </w:r>
    </w:p>
    <w:p w14:paraId="08AEF1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公务用车购置及运行维护费9.50万元，其中：公务用车购置费0.00万元，公务用车运行维护费9.50万元。公务用车运行维护费开支内容包括</w:t>
      </w:r>
      <w:r>
        <w:rPr>
          <w:rFonts w:hint="eastAsia" w:ascii="仿宋_GB2312" w:eastAsia="仿宋_GB2312"/>
          <w:b w:val="0"/>
          <w:sz w:val="32"/>
          <w:szCs w:val="32"/>
          <w:highlight w:val="none"/>
        </w:rPr>
        <w:t>车辆加油费、维修费、保险费</w:t>
      </w:r>
      <w:r>
        <w:rPr>
          <w:rFonts w:hint="eastAsia" w:ascii="仿宋_GB2312" w:eastAsia="仿宋_GB2312"/>
          <w:b w:val="0"/>
          <w:sz w:val="32"/>
          <w:szCs w:val="32"/>
          <w:highlight w:val="none"/>
          <w:lang w:val="en-US" w:eastAsia="zh-CN"/>
        </w:rPr>
        <w:t>等</w:t>
      </w:r>
      <w:r>
        <w:rPr>
          <w:rFonts w:ascii="仿宋_GB2312" w:eastAsia="仿宋_GB2312"/>
          <w:b w:val="0"/>
          <w:sz w:val="32"/>
          <w:szCs w:val="32"/>
          <w:highlight w:val="none"/>
        </w:rPr>
        <w:t>。公务用车购置数0辆，公务用车保有量3辆。国有资产占用情况中固定资产车辆2辆，与公务用车保有量差异原因是：</w:t>
      </w:r>
      <w:r>
        <w:rPr>
          <w:rFonts w:hint="eastAsia" w:ascii="仿宋_GB2312" w:eastAsia="仿宋_GB2312"/>
          <w:b w:val="0"/>
          <w:sz w:val="32"/>
          <w:szCs w:val="32"/>
          <w:highlight w:val="none"/>
          <w:lang w:val="en-US" w:eastAsia="zh-CN"/>
        </w:rPr>
        <w:t>借调其他单位车辆</w:t>
      </w:r>
      <w:r>
        <w:rPr>
          <w:rFonts w:ascii="仿宋_GB2312" w:eastAsia="仿宋_GB2312"/>
          <w:b w:val="0"/>
          <w:sz w:val="32"/>
          <w:szCs w:val="32"/>
          <w:highlight w:val="none"/>
        </w:rPr>
        <w:t>。</w:t>
      </w:r>
    </w:p>
    <w:p w14:paraId="6F5874B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公务接待费0.00万元，开支内容包括</w:t>
      </w:r>
      <w:r>
        <w:rPr>
          <w:rFonts w:hint="eastAsia" w:ascii="仿宋_GB2312" w:eastAsia="仿宋_GB2312"/>
          <w:b w:val="0"/>
          <w:sz w:val="32"/>
          <w:szCs w:val="32"/>
          <w:highlight w:val="none"/>
        </w:rPr>
        <w:t>本单位无公务接待费</w:t>
      </w:r>
      <w:r>
        <w:rPr>
          <w:rFonts w:ascii="仿宋_GB2312" w:eastAsia="仿宋_GB2312"/>
          <w:b w:val="0"/>
          <w:sz w:val="32"/>
          <w:szCs w:val="32"/>
          <w:highlight w:val="none"/>
        </w:rPr>
        <w:t>。单位全年安排的国内公务接待0批次，0人次。</w:t>
      </w:r>
    </w:p>
    <w:p w14:paraId="7CC5E90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与全年预算相比，财政拨款“三公”经费支出全年预算数9.80万元，决算数9.50万元，预决算差异率-3.06%，主要原因是：</w:t>
      </w:r>
      <w:r>
        <w:rPr>
          <w:rFonts w:hint="eastAsia" w:ascii="仿宋_GB2312" w:eastAsia="仿宋_GB2312"/>
          <w:b w:val="0"/>
          <w:sz w:val="32"/>
          <w:szCs w:val="32"/>
          <w:highlight w:val="none"/>
          <w:lang w:val="en-US" w:eastAsia="zh-CN"/>
        </w:rPr>
        <w:t>本年未发生公务接待，公务接待费减少</w:t>
      </w:r>
      <w:r>
        <w:rPr>
          <w:rFonts w:ascii="仿宋_GB2312" w:eastAsia="仿宋_GB2312"/>
          <w:b w:val="0"/>
          <w:sz w:val="32"/>
          <w:szCs w:val="32"/>
          <w:highlight w:val="none"/>
        </w:rPr>
        <w:t>。其中：因公出国（境）费用全年预算数0.00万元，决算数0.00万元，预决算差异率0.00%，主要原因是：</w:t>
      </w:r>
      <w:r>
        <w:rPr>
          <w:rFonts w:hint="eastAsia" w:ascii="仿宋_GB2312" w:eastAsia="仿宋_GB2312"/>
          <w:b w:val="0"/>
          <w:sz w:val="32"/>
          <w:szCs w:val="32"/>
          <w:highlight w:val="none"/>
        </w:rPr>
        <w:t>本单位无因公出国（境）费用</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b w:val="0"/>
          <w:sz w:val="32"/>
          <w:szCs w:val="32"/>
          <w:highlight w:val="none"/>
        </w:rPr>
        <w:t>本单位无公务用车购置费</w:t>
      </w:r>
      <w:r>
        <w:rPr>
          <w:rFonts w:ascii="仿宋_GB2312" w:eastAsia="仿宋_GB2312"/>
          <w:b w:val="0"/>
          <w:sz w:val="32"/>
          <w:szCs w:val="32"/>
          <w:highlight w:val="none"/>
        </w:rPr>
        <w:t>；公务用车运行维护费全年预算数9.50万元，决算数9.50万元，预决算差异率0.00%，主要原因是：</w:t>
      </w:r>
      <w:r>
        <w:rPr>
          <w:rFonts w:hint="eastAsia" w:ascii="仿宋_GB2312" w:eastAsia="仿宋_GB2312"/>
          <w:b w:val="0"/>
          <w:sz w:val="32"/>
          <w:szCs w:val="32"/>
          <w:highlight w:val="none"/>
        </w:rPr>
        <w:t>严格按照预算执行，预决算无差异</w:t>
      </w:r>
      <w:r>
        <w:rPr>
          <w:rFonts w:ascii="仿宋_GB2312" w:eastAsia="仿宋_GB2312"/>
          <w:b w:val="0"/>
          <w:sz w:val="32"/>
          <w:szCs w:val="32"/>
          <w:highlight w:val="none"/>
        </w:rPr>
        <w:t>；公务接待费全年预算数0.30万元，决算数0.00万元，预决算差异率-100.00%，主要原因是：</w:t>
      </w:r>
      <w:r>
        <w:rPr>
          <w:rFonts w:hint="eastAsia" w:ascii="仿宋_GB2312" w:eastAsia="仿宋_GB2312"/>
          <w:b w:val="0"/>
          <w:sz w:val="32"/>
          <w:szCs w:val="32"/>
          <w:highlight w:val="none"/>
          <w:lang w:val="en-US" w:eastAsia="zh-CN"/>
        </w:rPr>
        <w:t>本年未发生公务接待</w:t>
      </w:r>
      <w:r>
        <w:rPr>
          <w:rFonts w:ascii="仿宋_GB2312" w:eastAsia="仿宋_GB2312"/>
          <w:b w:val="0"/>
          <w:sz w:val="32"/>
          <w:szCs w:val="32"/>
          <w:highlight w:val="none"/>
        </w:rPr>
        <w:t>。</w:t>
      </w:r>
    </w:p>
    <w:p w14:paraId="67FDC5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十、其他重要事项的情况说明</w:t>
      </w:r>
    </w:p>
    <w:p w14:paraId="395FE8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highlight w:val="none"/>
        </w:rPr>
      </w:pPr>
      <w:r>
        <w:rPr>
          <w:rFonts w:ascii="黑体" w:eastAsia="黑体"/>
          <w:b w:val="0"/>
          <w:sz w:val="32"/>
          <w:szCs w:val="32"/>
          <w:highlight w:val="none"/>
        </w:rPr>
        <w:t>（一）机关运行经费及公用经费支出情况</w:t>
      </w:r>
    </w:p>
    <w:p w14:paraId="02B213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2025年度新疆维吾尔自治区农牧业机械产品质量监督管理站（事业单位）公用经费支出67.88万元，比上年增加12.14万元，增长21.78%，主要原因是：</w:t>
      </w:r>
      <w:r>
        <w:rPr>
          <w:rFonts w:hint="eastAsia" w:ascii="仿宋_GB2312" w:eastAsia="仿宋_GB2312"/>
          <w:b w:val="0"/>
          <w:sz w:val="32"/>
          <w:szCs w:val="32"/>
          <w:highlight w:val="none"/>
        </w:rPr>
        <w:t>本年</w:t>
      </w:r>
      <w:r>
        <w:rPr>
          <w:rFonts w:hint="eastAsia" w:ascii="仿宋_GB2312" w:eastAsia="仿宋_GB2312"/>
          <w:b w:val="0"/>
          <w:sz w:val="32"/>
          <w:szCs w:val="32"/>
          <w:highlight w:val="none"/>
          <w:lang w:val="en-US" w:eastAsia="zh-CN"/>
        </w:rPr>
        <w:t>水费、电费及差旅费增加，</w:t>
      </w:r>
      <w:r>
        <w:rPr>
          <w:rFonts w:hint="eastAsia" w:ascii="仿宋_GB2312" w:eastAsia="仿宋_GB2312"/>
          <w:b w:val="0"/>
          <w:sz w:val="32"/>
          <w:szCs w:val="32"/>
          <w:highlight w:val="none"/>
        </w:rPr>
        <w:t>导致</w:t>
      </w:r>
      <w:r>
        <w:rPr>
          <w:rFonts w:hint="eastAsia" w:ascii="仿宋_GB2312" w:eastAsia="仿宋_GB2312"/>
          <w:b w:val="0"/>
          <w:sz w:val="32"/>
          <w:szCs w:val="32"/>
          <w:highlight w:val="none"/>
          <w:lang w:val="en-US" w:eastAsia="zh-CN"/>
        </w:rPr>
        <w:t>公用</w:t>
      </w:r>
      <w:r>
        <w:rPr>
          <w:rFonts w:hint="eastAsia" w:ascii="仿宋_GB2312" w:eastAsia="仿宋_GB2312"/>
          <w:b w:val="0"/>
          <w:sz w:val="32"/>
          <w:szCs w:val="32"/>
          <w:highlight w:val="none"/>
        </w:rPr>
        <w:t>经费较上年增加</w:t>
      </w:r>
      <w:r>
        <w:rPr>
          <w:rFonts w:ascii="仿宋_GB2312" w:eastAsia="仿宋_GB2312"/>
          <w:b w:val="0"/>
          <w:sz w:val="32"/>
          <w:szCs w:val="32"/>
          <w:highlight w:val="none"/>
        </w:rPr>
        <w:t>。</w:t>
      </w:r>
    </w:p>
    <w:p w14:paraId="6BAF23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highlight w:val="none"/>
        </w:rPr>
      </w:pPr>
      <w:r>
        <w:rPr>
          <w:rFonts w:ascii="黑体" w:eastAsia="黑体"/>
          <w:b w:val="0"/>
          <w:sz w:val="32"/>
          <w:szCs w:val="32"/>
          <w:highlight w:val="none"/>
        </w:rPr>
        <w:t>（二）政府采购情况</w:t>
      </w:r>
    </w:p>
    <w:p w14:paraId="3E8B109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2025年度政府采购支出总额120.38万元，其中：政府采购货物支出22.98万元、政府采购工程支出0.00万元、政府采购服务支出97.39万元。</w:t>
      </w:r>
    </w:p>
    <w:p w14:paraId="357FDF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授予中小企业合同金额64.76万元，占政府采购支出总额的53.80%，其中：授予小微企业合同金额64.76万元，占政府采购支出总额的53.80%。</w:t>
      </w:r>
    </w:p>
    <w:p w14:paraId="54AABE1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sz w:val="32"/>
          <w:szCs w:val="32"/>
          <w:highlight w:val="none"/>
        </w:rPr>
      </w:pPr>
      <w:r>
        <w:rPr>
          <w:rFonts w:ascii="黑体" w:eastAsia="黑体"/>
          <w:b w:val="0"/>
          <w:sz w:val="32"/>
          <w:szCs w:val="32"/>
          <w:highlight w:val="none"/>
        </w:rPr>
        <w:t>（三）国有资产占用情况说明</w:t>
      </w:r>
    </w:p>
    <w:p w14:paraId="004361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截至2025年12月31日，房屋12,318.50平方米，价值1,360.23万元。车辆2辆，价值58.31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b w:val="0"/>
          <w:sz w:val="32"/>
          <w:szCs w:val="32"/>
          <w:highlight w:val="none"/>
          <w:lang w:val="en-US" w:eastAsia="zh-CN"/>
        </w:rPr>
        <w:t>单位业务用车</w:t>
      </w:r>
      <w:r>
        <w:rPr>
          <w:rFonts w:ascii="仿宋_GB2312" w:eastAsia="仿宋_GB2312"/>
          <w:b w:val="0"/>
          <w:sz w:val="32"/>
          <w:szCs w:val="32"/>
          <w:highlight w:val="none"/>
        </w:rPr>
        <w:t>;单价100万元（含）以上设备（不含车辆）7台（套）。</w:t>
      </w:r>
    </w:p>
    <w:p w14:paraId="37FB64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十一、预算绩效的情况说明</w:t>
      </w:r>
    </w:p>
    <w:p w14:paraId="4ED31B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根据预算绩效管理要求，本单位2025年度预算绩效评价项目</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个，全年预算数</w:t>
      </w:r>
      <w:r>
        <w:rPr>
          <w:rFonts w:hint="eastAsia" w:ascii="仿宋_GB2312" w:eastAsia="仿宋_GB2312"/>
          <w:b w:val="0"/>
          <w:sz w:val="32"/>
          <w:szCs w:val="32"/>
          <w:highlight w:val="none"/>
        </w:rPr>
        <w:t>348.00</w:t>
      </w:r>
      <w:r>
        <w:rPr>
          <w:rFonts w:ascii="仿宋_GB2312" w:eastAsia="仿宋_GB2312"/>
          <w:b w:val="0"/>
          <w:sz w:val="32"/>
          <w:szCs w:val="32"/>
          <w:highlight w:val="none"/>
        </w:rPr>
        <w:t>万元，全年执行数</w:t>
      </w:r>
      <w:r>
        <w:rPr>
          <w:rFonts w:hint="eastAsia" w:ascii="仿宋_GB2312" w:eastAsia="仿宋_GB2312"/>
          <w:b w:val="0"/>
          <w:sz w:val="32"/>
          <w:szCs w:val="32"/>
          <w:highlight w:val="none"/>
        </w:rPr>
        <w:t>347.79</w:t>
      </w:r>
      <w:r>
        <w:rPr>
          <w:rFonts w:ascii="仿宋_GB2312" w:eastAsia="仿宋_GB2312"/>
          <w:b w:val="0"/>
          <w:sz w:val="32"/>
          <w:szCs w:val="32"/>
          <w:highlight w:val="none"/>
        </w:rPr>
        <w:t>万元。</w:t>
      </w:r>
      <w:r>
        <w:rPr>
          <w:rFonts w:hint="eastAsia" w:ascii="仿宋_GB2312" w:eastAsia="仿宋_GB2312"/>
          <w:b w:val="0"/>
          <w:sz w:val="32"/>
          <w:szCs w:val="32"/>
          <w:highlight w:val="none"/>
        </w:rPr>
        <w:t>预算绩效管理取得的成效：一是严格坚持先做事、后验收、再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发现的问题及原因：一是作为实施预算绩效管理的主体，对绩效预算认识不够充分，绩效理念有待进一步强化，业务人员业务能力和素质还有待进一步提升；二是预算绩效目标考核指标体系不尽完善，还需进一步细化项目设置的部分绩效指标与项目、专项业务工作实际脱节，对后期绩效监控及评价造成影响。下一步改进措施：一是实施绩效监控。按照全方位、全过程、全覆盖预算绩效管理要求，将单位支出预算纳入全过程绩效管理，进一步强化绩效理念，提高财政资金使用效益，要求以每个季度为节点，对本部门单位绩效进行监控；二是开展绩效自评。在开展部门决算工作前，对本部门单位年度绩效进行自评。具体附项目支出绩效自评表。</w:t>
      </w:r>
    </w:p>
    <w:p w14:paraId="770FC1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十二、其他需说明的事项</w:t>
      </w:r>
    </w:p>
    <w:p w14:paraId="7896A94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本单位无其他需说明的事项。</w:t>
      </w:r>
    </w:p>
    <w:p w14:paraId="760883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highlight w:val="none"/>
        </w:rPr>
      </w:pPr>
    </w:p>
    <w:p w14:paraId="3381B71D">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14:paraId="21339A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第三部分 专业名词解释</w:t>
      </w:r>
    </w:p>
    <w:p w14:paraId="38187D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指单位本年度从同级财政部门取得的财政拨款，包括一般公共预算财政拨款、政府性基金预算财政拨款和国有资本经营预算财政拨款。</w:t>
      </w:r>
    </w:p>
    <w:p w14:paraId="426E770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14:paraId="48C4EF1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指事业单位开展专业业务活动及其辅助活动取得的收入。</w:t>
      </w:r>
    </w:p>
    <w:p w14:paraId="464769E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14:paraId="7181CAC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指事业单位附属独立核算单位按照有关规定上缴的收入。</w:t>
      </w:r>
    </w:p>
    <w:p w14:paraId="626F84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指单位取得的除上述“财政拨款收入”“上级补助收入”“事业收入”“经营收入”“附属单位上缴收入”以外的各项收入。</w:t>
      </w:r>
    </w:p>
    <w:p w14:paraId="371750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指单位上年结转本年使用的基本支出结转、项目支出结转和结余、经营结余。</w:t>
      </w:r>
    </w:p>
    <w:p w14:paraId="1349DD9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八、使用非财政拨款结余（含专用结余）：</w:t>
      </w:r>
      <w:r>
        <w:rPr>
          <w:rFonts w:ascii="仿宋_GB2312" w:eastAsia="仿宋_GB2312"/>
          <w:b w:val="0"/>
          <w:sz w:val="32"/>
          <w:szCs w:val="32"/>
          <w:highlight w:val="none"/>
        </w:rPr>
        <w:t>指单位按照预算管理要求使用非财政拨款结余弥补收支差额的金额，以及使用专用结余安排支出的金额。</w:t>
      </w:r>
    </w:p>
    <w:p w14:paraId="6AED17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九、结余分配</w:t>
      </w:r>
      <w:r>
        <w:rPr>
          <w:rFonts w:ascii="仿宋_GB2312" w:eastAsia="仿宋_GB2312"/>
          <w:b w:val="0"/>
          <w:sz w:val="32"/>
          <w:szCs w:val="32"/>
          <w:highlight w:val="none"/>
        </w:rPr>
        <w:t>：指单位缴纳企业所得税以及从非财政拨款结余或经营结余中提取各类结余的情况。</w:t>
      </w:r>
    </w:p>
    <w:p w14:paraId="57CF78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十、年末结转和结余</w:t>
      </w:r>
      <w:r>
        <w:rPr>
          <w:rFonts w:ascii="仿宋_GB2312" w:eastAsia="仿宋_GB2312"/>
          <w:b w:val="0"/>
          <w:sz w:val="32"/>
          <w:szCs w:val="32"/>
          <w:highlight w:val="none"/>
        </w:rPr>
        <w:t>：指单位结转下年的基本支出结转、项目支出结转和结余、经营结余。</w:t>
      </w:r>
    </w:p>
    <w:p w14:paraId="0A07C7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十一、基本支出</w:t>
      </w:r>
      <w:r>
        <w:rPr>
          <w:rFonts w:ascii="仿宋_GB2312" w:eastAsia="仿宋_GB2312"/>
          <w:b w:val="0"/>
          <w:sz w:val="32"/>
          <w:szCs w:val="32"/>
          <w:highlight w:val="none"/>
        </w:rPr>
        <w:t>：指单位为保障机构正常运转、完成日常工作任务而发生的各项支出。</w:t>
      </w:r>
    </w:p>
    <w:p w14:paraId="1DF427D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十二、项目支出：</w:t>
      </w:r>
      <w:r>
        <w:rPr>
          <w:rFonts w:ascii="仿宋_GB2312" w:eastAsia="仿宋_GB2312"/>
          <w:b w:val="0"/>
          <w:sz w:val="32"/>
          <w:szCs w:val="32"/>
          <w:highlight w:val="none"/>
        </w:rPr>
        <w:t>指单位为完成特定的行政工作任务或事业发展目标，在基本支出之外发生的各项支出。</w:t>
      </w:r>
    </w:p>
    <w:p w14:paraId="4EB063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十三、上缴上级支出：</w:t>
      </w:r>
      <w:r>
        <w:rPr>
          <w:rFonts w:ascii="仿宋_GB2312" w:eastAsia="仿宋_GB2312"/>
          <w:b w:val="0"/>
          <w:sz w:val="32"/>
          <w:szCs w:val="32"/>
          <w:highlight w:val="none"/>
        </w:rPr>
        <w:t>指事业单位按照财政部门和主管部门的规定上缴上级单位的支出。</w:t>
      </w:r>
    </w:p>
    <w:p w14:paraId="1F3111A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十四、经营支出：</w:t>
      </w:r>
      <w:r>
        <w:rPr>
          <w:rFonts w:ascii="仿宋_GB2312" w:eastAsia="仿宋_GB2312"/>
          <w:b w:val="0"/>
          <w:sz w:val="32"/>
          <w:szCs w:val="32"/>
          <w:highlight w:val="none"/>
        </w:rPr>
        <w:t>指事业单位在专业活动及辅助活动之外开展非独立核算经营活动发生的支出。</w:t>
      </w:r>
    </w:p>
    <w:p w14:paraId="20D1D7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宋体" w:eastAsia="仿宋_GB2312"/>
          <w:sz w:val="32"/>
          <w:szCs w:val="32"/>
          <w:highlight w:val="none"/>
        </w:rPr>
      </w:pPr>
      <w:r>
        <w:rPr>
          <w:rFonts w:ascii="宋体" w:eastAsia="仿宋_GB2312"/>
          <w:b/>
          <w:sz w:val="32"/>
          <w:szCs w:val="32"/>
          <w:highlight w:val="none"/>
        </w:rPr>
        <w:t>十五、对附属单位补助支出：</w:t>
      </w:r>
      <w:r>
        <w:rPr>
          <w:rFonts w:ascii="宋体" w:eastAsia="仿宋_GB2312"/>
          <w:b w:val="0"/>
          <w:sz w:val="32"/>
          <w:szCs w:val="32"/>
          <w:highlight w:val="none"/>
        </w:rPr>
        <w:t>指事业单位用财政补助收入之外的收入对附属单位补助发生的支出。</w:t>
      </w:r>
    </w:p>
    <w:p w14:paraId="277750D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十六、“三公”经费：</w:t>
      </w:r>
      <w:r>
        <w:rPr>
          <w:rFonts w:ascii="仿宋_GB2312" w:eastAsia="仿宋_GB2312"/>
          <w:b w:val="0"/>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FFEE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十七、机关运行经费：</w:t>
      </w:r>
      <w:r>
        <w:rPr>
          <w:rFonts w:ascii="仿宋_GB2312" w:eastAsia="仿宋_GB2312"/>
          <w:b w:val="0"/>
          <w:sz w:val="32"/>
          <w:szCs w:val="32"/>
          <w:highlight w:val="none"/>
        </w:rPr>
        <w:t>指行政单位和参照公务员法管理的事业单位财政拨款基本支出中的公用经费支出。</w:t>
      </w:r>
    </w:p>
    <w:p w14:paraId="511F6FDD">
      <w:pPr>
        <w:keepNext w:val="0"/>
        <w:keepLines w:val="0"/>
        <w:pageBreakBefore w:val="0"/>
        <w:widowControl/>
        <w:kinsoku/>
        <w:wordWrap/>
        <w:overflowPunct/>
        <w:topLinePunct w:val="0"/>
        <w:autoSpaceDE/>
        <w:autoSpaceDN/>
        <w:bidi w:val="0"/>
        <w:adjustRightInd/>
        <w:snapToGrid/>
        <w:spacing w:line="560" w:lineRule="exact"/>
        <w:textAlignment w:val="auto"/>
        <w:rPr>
          <w:highlight w:val="none"/>
        </w:rPr>
      </w:pPr>
      <w:r>
        <w:rPr>
          <w:b w:val="0"/>
          <w:sz w:val="0"/>
          <w:szCs w:val="0"/>
          <w:highlight w:val="none"/>
        </w:rPr>
        <w:br w:type="page"/>
      </w:r>
    </w:p>
    <w:p w14:paraId="5320EC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highlight w:val="none"/>
        </w:rPr>
      </w:pPr>
      <w:r>
        <w:rPr>
          <w:rFonts w:ascii="黑体" w:eastAsia="黑体"/>
          <w:b w:val="0"/>
          <w:sz w:val="32"/>
          <w:szCs w:val="32"/>
          <w:highlight w:val="none"/>
        </w:rPr>
        <w:t>第四部分 部门决算报表（见附表）</w:t>
      </w:r>
    </w:p>
    <w:p w14:paraId="61F15F2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14:paraId="34381D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二、《收入决算表》</w:t>
      </w:r>
    </w:p>
    <w:p w14:paraId="5B4A9A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三、《支出决算表》</w:t>
      </w:r>
    </w:p>
    <w:p w14:paraId="2842D4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7E4B23E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55771B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362E443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7AE0C3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5E51F5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74E077D"/>
    <w:rsid w:val="07601F42"/>
    <w:rsid w:val="0FFE370C"/>
    <w:rsid w:val="10620E8E"/>
    <w:rsid w:val="116B07F0"/>
    <w:rsid w:val="126369FA"/>
    <w:rsid w:val="13F15037"/>
    <w:rsid w:val="1443560C"/>
    <w:rsid w:val="1B3C333B"/>
    <w:rsid w:val="1C113C73"/>
    <w:rsid w:val="1DDC2BB3"/>
    <w:rsid w:val="1F2B2044"/>
    <w:rsid w:val="21540775"/>
    <w:rsid w:val="255E5E07"/>
    <w:rsid w:val="27073B7F"/>
    <w:rsid w:val="27102DF6"/>
    <w:rsid w:val="29D20B16"/>
    <w:rsid w:val="34ED01E7"/>
    <w:rsid w:val="36D75761"/>
    <w:rsid w:val="374B6987"/>
    <w:rsid w:val="37A556C7"/>
    <w:rsid w:val="39F728F0"/>
    <w:rsid w:val="3F82255F"/>
    <w:rsid w:val="40A60D39"/>
    <w:rsid w:val="418036D2"/>
    <w:rsid w:val="45E32481"/>
    <w:rsid w:val="491961E0"/>
    <w:rsid w:val="49CD3F79"/>
    <w:rsid w:val="4E9F3B30"/>
    <w:rsid w:val="553D2349"/>
    <w:rsid w:val="5B072D7E"/>
    <w:rsid w:val="5EA70098"/>
    <w:rsid w:val="60E87D50"/>
    <w:rsid w:val="67185971"/>
    <w:rsid w:val="6A8B575C"/>
    <w:rsid w:val="71072C18"/>
    <w:rsid w:val="72CD269B"/>
    <w:rsid w:val="770A1944"/>
    <w:rsid w:val="792A1141"/>
    <w:rsid w:val="7E9F65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2e4f6f85-68fe-415c-8db6-7f6dd15fc7df</errorID>
      <errorWord>对</errorWord>
      <group>L1_Word</group>
      <groupName>字词问题</groupName>
      <ability>L2_Typo</ability>
      <abilityName>字词错误</abilityName>
      <candidateList>
        <item>对辖</item>
      </candidateList>
      <explain/>
      <paraID>7454E6BC</paraID>
      <start>6</start>
      <end>7</end>
      <status>unmodified</status>
      <modifiedWord/>
      <trackRevisions>false</trackRevisions>
    </reviewItem>
    <reviewItem>
      <errorID>ce081af3-2521-40db-896f-f3a43e390693</errorID>
      <errorWord>对</errorWord>
      <group>L1_Word</group>
      <groupName>字词问题</groupName>
      <ability>L2_Typo</ability>
      <abilityName>字词错误</abilityName>
      <candidateList>
        <item>对辖</item>
      </candidateList>
      <explain/>
      <paraID>1BC8C1D5</paraID>
      <start>6</start>
      <end>7</end>
      <status>unmodified</status>
      <modifiedWord/>
      <trackRevisions>false</trackRevisions>
    </reviewItem>
    <reviewItem>
      <errorID>98ec7872-cc65-4ca4-9457-e7a41f05d416</errorID>
      <errorWord>,</errorWord>
      <group>L1_Format</group>
      <groupName>格式问题</groupName>
      <ability>L2_HalfPunc_CN</ability>
      <abilityName>全半角问题</abilityName>
      <candidateList>
        <item>，</item>
      </candidateList>
      <explain>文本全半角错误。</explain>
      <paraID>496C9C69</paraID>
      <start>34</start>
      <end>35</end>
      <status>unmodified</status>
      <modifiedWord/>
      <trackRevisions>false</trackRevisions>
    </reviewItem>
    <reviewItem>
      <errorID>9eb6c39b-3565-44e1-be24-83782b88b8d8</errorID>
      <errorWord>,</errorWord>
      <group>L1_Format</group>
      <groupName>格式问题</groupName>
      <ability>L2_HalfPunc_CN</ability>
      <abilityName>全半角问题</abilityName>
      <candidateList>
        <item>，</item>
      </candidateList>
      <explain>文本全半角错误。</explain>
      <paraID>496C9C69</paraID>
      <start>55</start>
      <end>56</end>
      <status>unmodified</status>
      <modifiedWord/>
      <trackRevisions>false</trackRevisions>
    </reviewItem>
    <reviewItem>
      <errorID>eb3a4a19-436d-44d3-bd97-02aa34713c83</errorID>
      <errorWord>,</errorWord>
      <group>L1_Format</group>
      <groupName>格式问题</groupName>
      <ability>L2_HalfPunc_CN</ability>
      <abilityName>全半角问题</abilityName>
      <candidateList>
        <item>，</item>
      </candidateList>
      <explain>文本全半角错误。</explain>
      <paraID>496C9C69</paraID>
      <start>91</start>
      <end>92</end>
      <status>unmodified</status>
      <modifiedWord/>
      <trackRevisions>false</trackRevisions>
    </reviewItem>
    <reviewItem>
      <errorID>d4616630-b3c3-40ea-ac68-2f6b9e35130d</errorID>
      <errorWord>-</errorWord>
      <group>L1_Format</group>
      <groupName>格式问题</groupName>
      <ability>L2_HalfPunc_CN</ability>
      <abilityName>全半角问题</abilityName>
      <candidateList>
        <item>－</item>
      </candidateList>
      <explain>文本全半角错误。</explain>
      <paraID>7F4407BB</paraID>
      <start>87</start>
      <end>88</end>
      <status>unmodified</status>
      <modifiedWord/>
      <trackRevisions>false</trackRevisions>
    </reviewItem>
    <reviewItem>
      <errorID>e8ae1c2b-7164-4d5d-9e44-63f53ac0b8c7</errorID>
      <errorWord>,</errorWord>
      <group>L1_Format</group>
      <groupName>格式问题</groupName>
      <ability>L2_HalfPunc_CN</ability>
      <abilityName>全半角问题</abilityName>
      <candidateList>
        <item>，</item>
      </candidateList>
      <explain>文本全半角错误。</explain>
      <paraID>5AE4073B</paraID>
      <start>88</start>
      <end>89</end>
      <status>unmodified</status>
      <modifiedWord/>
      <trackRevisions>false</trackRevisions>
    </reviewItem>
    <reviewItem>
      <errorID>2195e0c9-1be1-4172-a980-6d140299b883</errorID>
      <errorWord>;</errorWord>
      <group>L1_Format</group>
      <groupName>格式问题</groupName>
      <ability>L2_HalfPunc_CN</ability>
      <abilityName>全半角问题</abilityName>
      <candidateList>
        <item>；</item>
      </candidateList>
      <explain>文本全半角错误。</explain>
      <paraID>  4361E0</paraID>
      <start>157</start>
      <end>158</end>
      <status>unmodified</status>
      <modifiedWord/>
      <trackRevisions>false</trackRevisions>
    </reviewItem>
  </reviewItems>
  <config/>
</contractReview>
</file>

<file path=customXml/itemProps1.xml><?xml version="1.0" encoding="utf-8"?>
<ds:datastoreItem xmlns:ds="http://schemas.openxmlformats.org/officeDocument/2006/customXml" ds:itemID="{5f13331b-f302-4e63-9243-f93ba44528ed}">
  <ds:schemaRefs/>
</ds:datastoreItem>
</file>

<file path=docProps/app.xml><?xml version="1.0" encoding="utf-8"?>
<Properties xmlns="http://schemas.openxmlformats.org/officeDocument/2006/extended-properties" xmlns:vt="http://schemas.openxmlformats.org/officeDocument/2006/docPropsVTypes">
  <Pages>17</Pages>
  <Words>6462</Words>
  <Characters>7157</Characters>
  <TotalTime>4</TotalTime>
  <ScaleCrop>false</ScaleCrop>
  <LinksUpToDate>false</LinksUpToDate>
  <CharactersWithSpaces>7168</CharactersWithSpaces>
  <Application>WPS Office_12.1.0.28022_F1E327BC-269C-435d-A152-05C5408002CA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2026-08-18T04:10:00Z</dcterms:created>
  <dc:creator>ldan</dc:creator>
  <cp:lastModifiedBy>默水</cp:lastModifiedBy>
  <dcterms:modified xsi:type="dcterms:W3CDTF">2026-08-25T10:55:07Z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01033BBB5B734F86B1E1DBAFC0E3102B_12</vt:lpwstr>
  </property>
  <property fmtid="{D5CDD505-2E9C-101B-9397-08002B2CF9AE}" pid="4" name="KSOTemplateDocerSaveRecord">
    <vt:lpwstr>eyJoZGlkIjoiN2ZkN2U0NTE2ZWZjNGNkOGYwMTY5ODIwZjEyYjUxNGMiLCJ1c2VySWQiOiI0MDc2MTk2NTAifQ==</vt:lpwstr>
  </property>
</Properties>
</file>