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黑体" w:hAnsi="黑体" w:eastAsia="黑体" w:cs="黑体"/>
          <w:b w:val="0"/>
          <w:bCs/>
          <w:kern w:val="0"/>
          <w:sz w:val="32"/>
          <w:szCs w:val="32"/>
          <w:lang w:val="en-US" w:eastAsia="zh-CN"/>
        </w:rPr>
      </w:pPr>
      <w:r>
        <w:rPr>
          <w:rFonts w:hint="eastAsia" w:ascii="黑体" w:hAnsi="黑体" w:eastAsia="黑体" w:cs="黑体"/>
          <w:b w:val="0"/>
          <w:bCs/>
          <w:kern w:val="0"/>
          <w:sz w:val="32"/>
          <w:szCs w:val="32"/>
          <w:lang w:eastAsia="zh-CN"/>
        </w:rPr>
        <w:t>附件</w:t>
      </w:r>
      <w:r>
        <w:rPr>
          <w:rFonts w:hint="eastAsia" w:ascii="黑体" w:hAnsi="黑体" w:eastAsia="黑体" w:cs="黑体"/>
          <w:b w:val="0"/>
          <w:bCs/>
          <w:kern w:val="0"/>
          <w:sz w:val="32"/>
          <w:szCs w:val="32"/>
          <w:lang w:val="en-US" w:eastAsia="zh-CN"/>
        </w:rPr>
        <w:t>4：</w:t>
      </w:r>
    </w:p>
    <w:p>
      <w:pPr>
        <w:spacing w:line="540" w:lineRule="exact"/>
        <w:rPr>
          <w:rFonts w:eastAsia="华文中宋"/>
          <w:b/>
          <w:kern w:val="0"/>
          <w:sz w:val="72"/>
          <w:szCs w:val="7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eastAsia="方正小标宋_GBK"/>
          <w:kern w:val="0"/>
          <w:sz w:val="48"/>
          <w:szCs w:val="48"/>
          <w:lang w:eastAsia="zh-CN"/>
        </w:rPr>
        <w:t>自治区农业农村发展创新与服务</w:t>
      </w:r>
      <w:r>
        <w:rPr>
          <w:rFonts w:eastAsia="方正小标宋_GBK"/>
          <w:kern w:val="0"/>
          <w:sz w:val="48"/>
          <w:szCs w:val="48"/>
        </w:rPr>
        <w:t>资金项目支出绩效评价报告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5</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项目名称：</w:t>
      </w:r>
      <w:r>
        <w:rPr>
          <w:rFonts w:hint="eastAsia" w:eastAsia="仿宋_GB2312"/>
          <w:kern w:val="0"/>
          <w:sz w:val="36"/>
          <w:szCs w:val="36"/>
          <w:lang w:eastAsia="zh-CN"/>
        </w:rPr>
        <w:t>自治区农业农村发展创新与服务</w:t>
      </w:r>
    </w:p>
    <w:p>
      <w:pPr>
        <w:spacing w:line="700" w:lineRule="exact"/>
        <w:ind w:firstLine="1440" w:firstLineChars="400"/>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lang w:val="en-US" w:eastAsia="zh-CN"/>
        </w:rPr>
        <w:t>新疆维吾尔自治区农业农村机械化发展中心</w:t>
      </w:r>
    </w:p>
    <w:p>
      <w:pPr>
        <w:spacing w:line="700" w:lineRule="exact"/>
        <w:ind w:firstLine="1440" w:firstLineChars="400"/>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lang w:val="en-US" w:eastAsia="zh-CN"/>
        </w:rPr>
        <w:t>新疆维吾尔自治区农业农村机械化发展中心</w:t>
      </w:r>
    </w:p>
    <w:p>
      <w:pPr>
        <w:spacing w:line="700" w:lineRule="exact"/>
        <w:ind w:firstLine="1440" w:firstLineChars="400"/>
        <w:jc w:val="left"/>
        <w:rPr>
          <w:rFonts w:hint="default" w:eastAsia="仿宋_GB2312"/>
          <w:kern w:val="0"/>
          <w:sz w:val="36"/>
          <w:szCs w:val="36"/>
          <w:lang w:val="en-US" w:eastAsia="zh-CN"/>
        </w:rPr>
      </w:pPr>
      <w:r>
        <w:rPr>
          <w:rFonts w:eastAsia="仿宋_GB2312"/>
          <w:kern w:val="0"/>
          <w:sz w:val="36"/>
          <w:szCs w:val="36"/>
        </w:rPr>
        <w:t>项目负责人（签章）：</w:t>
      </w:r>
      <w:r>
        <w:rPr>
          <w:rFonts w:hint="eastAsia" w:eastAsia="仿宋_GB2312"/>
          <w:kern w:val="0"/>
          <w:sz w:val="36"/>
          <w:szCs w:val="36"/>
          <w:lang w:eastAsia="zh-CN"/>
        </w:rPr>
        <w:t>陈学庚</w:t>
      </w:r>
    </w:p>
    <w:p>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2026</w:t>
      </w:r>
      <w:r>
        <w:rPr>
          <w:rFonts w:eastAsia="仿宋_GB2312"/>
          <w:kern w:val="0"/>
          <w:sz w:val="36"/>
          <w:szCs w:val="36"/>
        </w:rPr>
        <w:t>年</w:t>
      </w:r>
      <w:r>
        <w:rPr>
          <w:rFonts w:hint="eastAsia" w:eastAsia="仿宋_GB2312"/>
          <w:kern w:val="0"/>
          <w:sz w:val="36"/>
          <w:szCs w:val="36"/>
          <w:lang w:val="en-US" w:eastAsia="zh-CN"/>
        </w:rPr>
        <w:t>3</w:t>
      </w:r>
      <w:r>
        <w:rPr>
          <w:rFonts w:eastAsia="仿宋_GB2312"/>
          <w:kern w:val="0"/>
          <w:sz w:val="36"/>
          <w:szCs w:val="36"/>
        </w:rPr>
        <w:t>月</w:t>
      </w:r>
      <w:r>
        <w:rPr>
          <w:rFonts w:hint="eastAsia" w:eastAsia="仿宋_GB2312"/>
          <w:kern w:val="0"/>
          <w:sz w:val="36"/>
          <w:szCs w:val="36"/>
          <w:lang w:val="en-US" w:eastAsia="zh-CN"/>
        </w:rPr>
        <w:t>25</w:t>
      </w:r>
      <w:r>
        <w:rPr>
          <w:rFonts w:eastAsia="仿宋_GB2312"/>
          <w:kern w:val="0"/>
          <w:sz w:val="36"/>
          <w:szCs w:val="36"/>
        </w:rPr>
        <w:t>日</w:t>
      </w:r>
    </w:p>
    <w:p>
      <w:pPr>
        <w:spacing w:line="540" w:lineRule="exact"/>
        <w:jc w:val="center"/>
        <w:rPr>
          <w:rFonts w:eastAsia="仿宋_GB2312"/>
          <w:kern w:val="0"/>
          <w:sz w:val="30"/>
          <w:szCs w:val="30"/>
        </w:rPr>
      </w:pPr>
    </w:p>
    <w:p>
      <w:pPr>
        <w:spacing w:line="540" w:lineRule="exact"/>
        <w:rPr>
          <w:rStyle w:val="23"/>
          <w:rFonts w:eastAsia="黑体"/>
          <w:b w:val="0"/>
          <w:spacing w:val="-4"/>
          <w:sz w:val="32"/>
          <w:szCs w:val="32"/>
        </w:rPr>
      </w:pPr>
    </w:p>
    <w:p>
      <w:pPr>
        <w:spacing w:line="540" w:lineRule="exact"/>
        <w:ind w:firstLine="640"/>
        <w:rPr>
          <w:rStyle w:val="23"/>
          <w:rFonts w:eastAsia="黑体"/>
          <w:b w:val="0"/>
          <w:spacing w:val="-4"/>
          <w:sz w:val="32"/>
          <w:szCs w:val="32"/>
        </w:rPr>
      </w:pPr>
    </w:p>
    <w:p>
      <w:pPr>
        <w:spacing w:line="540" w:lineRule="exact"/>
        <w:rPr>
          <w:rStyle w:val="23"/>
          <w:rFonts w:eastAsia="黑体"/>
          <w:b w:val="0"/>
          <w:spacing w:val="-4"/>
          <w:sz w:val="32"/>
          <w:szCs w:val="32"/>
        </w:rPr>
      </w:pPr>
    </w:p>
    <w:p>
      <w:pPr>
        <w:spacing w:line="600" w:lineRule="exact"/>
        <w:jc w:val="center"/>
        <w:rPr>
          <w:rFonts w:eastAsia="黑体"/>
          <w:bCs/>
          <w:sz w:val="32"/>
          <w:szCs w:val="32"/>
        </w:rPr>
      </w:pPr>
    </w:p>
    <w:p>
      <w:pPr>
        <w:spacing w:line="600" w:lineRule="exact"/>
        <w:rPr>
          <w:rFonts w:eastAsia="黑体"/>
          <w:bCs/>
          <w:sz w:val="32"/>
          <w:szCs w:val="32"/>
        </w:rPr>
      </w:pPr>
    </w:p>
    <w:p>
      <w:pPr>
        <w:spacing w:line="600" w:lineRule="exact"/>
        <w:rPr>
          <w:rFonts w:eastAsia="黑体"/>
          <w:bCs/>
          <w:sz w:val="32"/>
          <w:szCs w:val="32"/>
        </w:rPr>
      </w:pPr>
      <w:r>
        <w:rPr>
          <w:rFonts w:eastAsia="黑体"/>
          <w:bCs/>
          <w:sz w:val="32"/>
          <w:szCs w:val="32"/>
        </w:rPr>
        <w:t>一、基本情况</w:t>
      </w:r>
    </w:p>
    <w:p>
      <w:pPr>
        <w:spacing w:line="600" w:lineRule="exact"/>
        <w:ind w:firstLine="641"/>
        <w:rPr>
          <w:rFonts w:eastAsia="楷体_GB2312"/>
          <w:b/>
          <w:bCs/>
          <w:sz w:val="32"/>
          <w:szCs w:val="32"/>
        </w:rPr>
      </w:pPr>
      <w:r>
        <w:rPr>
          <w:rFonts w:eastAsia="楷体_GB2312"/>
          <w:b/>
          <w:bCs/>
          <w:sz w:val="32"/>
          <w:szCs w:val="32"/>
        </w:rPr>
        <w:t>（一）项目概况</w:t>
      </w:r>
    </w:p>
    <w:p>
      <w:pPr>
        <w:spacing w:line="600" w:lineRule="exact"/>
        <w:ind w:firstLine="641"/>
        <w:rPr>
          <w:rFonts w:eastAsia="仿宋_GB2312"/>
          <w:b/>
          <w:bCs/>
          <w:sz w:val="32"/>
          <w:szCs w:val="32"/>
        </w:rPr>
      </w:pPr>
      <w:r>
        <w:rPr>
          <w:rFonts w:eastAsia="仿宋_GB2312"/>
          <w:b/>
          <w:bCs/>
          <w:sz w:val="32"/>
          <w:szCs w:val="32"/>
        </w:rPr>
        <w:t>1、项目背景</w:t>
      </w:r>
    </w:p>
    <w:p>
      <w:pPr>
        <w:spacing w:line="540" w:lineRule="exact"/>
        <w:ind w:firstLine="640" w:firstLineChars="200"/>
        <w:rPr>
          <w:rStyle w:val="23"/>
          <w:rFonts w:eastAsia="黑体"/>
          <w:bCs w:val="0"/>
          <w:color w:val="FF0000"/>
          <w:spacing w:val="-4"/>
          <w:sz w:val="32"/>
          <w:szCs w:val="32"/>
          <w:highlight w:val="yellow"/>
        </w:rPr>
      </w:pPr>
      <w:r>
        <w:rPr>
          <w:rFonts w:hint="eastAsia" w:ascii="仿宋_GB2312" w:hAnsi="仿宋_GB2312" w:eastAsia="仿宋_GB2312" w:cs="仿宋_GB2312"/>
          <w:sz w:val="32"/>
          <w:szCs w:val="32"/>
          <w:lang w:val="en-US" w:eastAsia="zh-CN"/>
        </w:rPr>
        <w:t>根据2025年年初自治区党委农办《关于下达2025年自治区农业农村发展创新与服务项目立项计划及做好项目实施工作的通知》，我中心承担“小麦玉米套种全程机械化生产技术体系构建与示范”项目，项目财政补助资金1000万元，项目实施期限2025年1月至2025年12月。</w:t>
      </w:r>
    </w:p>
    <w:p>
      <w:pPr>
        <w:pStyle w:val="2"/>
        <w:numPr>
          <w:ilvl w:val="0"/>
          <w:numId w:val="1"/>
        </w:numPr>
        <w:spacing w:before="0" w:after="0" w:line="60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项目开展，一是完成小麦玉米套种全程机械化种植模式试验示范；二是完成小麦玉米套种品种选择和配套技术试点示范；三是完成小米玉米套种全程机械化配套技术装备创制示范；四是完成小麦玉米套种病虫草害防治关键技术应用示范；五是完成小麦玉米套种全程机械化技术推广示范。</w:t>
      </w:r>
    </w:p>
    <w:p>
      <w:pPr>
        <w:spacing w:line="600" w:lineRule="exact"/>
        <w:ind w:firstLine="640" w:firstLineChars="200"/>
        <w:rPr>
          <w:rFonts w:hint="eastAsia" w:eastAsia="仿宋_GB2312"/>
          <w:sz w:val="32"/>
          <w:szCs w:val="32"/>
        </w:rPr>
      </w:pPr>
      <w:r>
        <w:rPr>
          <w:rFonts w:eastAsia="仿宋_GB2312"/>
          <w:sz w:val="32"/>
          <w:szCs w:val="32"/>
        </w:rPr>
        <w:t>项目实施情况：</w:t>
      </w:r>
      <w:r>
        <w:rPr>
          <w:rFonts w:hint="eastAsia" w:eastAsia="仿宋_GB2312"/>
          <w:sz w:val="32"/>
          <w:szCs w:val="32"/>
          <w:lang w:eastAsia="zh-CN"/>
        </w:rPr>
        <w:t>一是</w:t>
      </w:r>
      <w:r>
        <w:rPr>
          <w:rFonts w:hint="eastAsia" w:eastAsia="仿宋_GB2312"/>
          <w:sz w:val="32"/>
          <w:szCs w:val="32"/>
        </w:rPr>
        <w:t>形成南北疆小麦玉米套种全程机械化生产模式2种；</w:t>
      </w:r>
      <w:r>
        <w:rPr>
          <w:rFonts w:hint="eastAsia" w:eastAsia="仿宋_GB2312"/>
          <w:sz w:val="32"/>
          <w:szCs w:val="32"/>
          <w:lang w:eastAsia="zh-CN"/>
        </w:rPr>
        <w:t>二是</w:t>
      </w:r>
      <w:r>
        <w:rPr>
          <w:rFonts w:hint="eastAsia" w:eastAsia="仿宋_GB2312"/>
          <w:sz w:val="32"/>
          <w:szCs w:val="32"/>
        </w:rPr>
        <w:t>筛选适合各地州株高适宜、抗逆性强的高产优质小麦品种5种和玉米品种9种；</w:t>
      </w:r>
      <w:r>
        <w:rPr>
          <w:rFonts w:hint="eastAsia" w:eastAsia="仿宋_GB2312"/>
          <w:sz w:val="32"/>
          <w:szCs w:val="32"/>
          <w:lang w:eastAsia="zh-CN"/>
        </w:rPr>
        <w:t>三是</w:t>
      </w:r>
      <w:r>
        <w:rPr>
          <w:rFonts w:hint="eastAsia" w:eastAsia="仿宋_GB2312"/>
          <w:sz w:val="32"/>
          <w:szCs w:val="32"/>
        </w:rPr>
        <w:t>开展</w:t>
      </w:r>
      <w:r>
        <w:rPr>
          <w:rFonts w:hint="eastAsia" w:eastAsia="仿宋_GB2312"/>
          <w:sz w:val="32"/>
          <w:szCs w:val="32"/>
          <w:lang w:eastAsia="zh-CN"/>
        </w:rPr>
        <w:t>小麦玉米套种全程机械化配套技术装备创制示范</w:t>
      </w:r>
      <w:r>
        <w:rPr>
          <w:rFonts w:hint="eastAsia" w:eastAsia="仿宋_GB2312"/>
          <w:sz w:val="32"/>
          <w:szCs w:val="32"/>
        </w:rPr>
        <w:t>，创制套种配套中耕除草灭茬机10台，玉米套种精量播种机14台，套种小麦联合收获机36台，配套拖拉机改造50台；</w:t>
      </w:r>
      <w:r>
        <w:rPr>
          <w:rFonts w:hint="eastAsia" w:eastAsia="仿宋_GB2312"/>
          <w:sz w:val="32"/>
          <w:szCs w:val="32"/>
          <w:lang w:eastAsia="zh-CN"/>
        </w:rPr>
        <w:t>四是</w:t>
      </w:r>
      <w:r>
        <w:rPr>
          <w:rFonts w:hint="eastAsia" w:eastAsia="仿宋_GB2312"/>
          <w:sz w:val="32"/>
          <w:szCs w:val="32"/>
        </w:rPr>
        <w:t>形成新疆小麦玉米套种模式病虫害监测调查报告1份；</w:t>
      </w:r>
      <w:r>
        <w:rPr>
          <w:rFonts w:hint="eastAsia" w:eastAsia="仿宋_GB2312"/>
          <w:sz w:val="32"/>
          <w:szCs w:val="32"/>
          <w:lang w:eastAsia="zh-CN"/>
        </w:rPr>
        <w:t>五是</w:t>
      </w:r>
      <w:r>
        <w:rPr>
          <w:rFonts w:hint="eastAsia" w:eastAsia="仿宋_GB2312"/>
          <w:sz w:val="32"/>
          <w:szCs w:val="32"/>
        </w:rPr>
        <w:t>开展小麦玉米套种全程机械化技术推广示范，参加现场演示会、技术研讨会10余次。</w:t>
      </w:r>
    </w:p>
    <w:p>
      <w:pPr>
        <w:spacing w:line="600" w:lineRule="exact"/>
        <w:ind w:firstLine="640" w:firstLineChars="200"/>
        <w:rPr>
          <w:rFonts w:eastAsia="仿宋_GB2312"/>
          <w:sz w:val="32"/>
          <w:szCs w:val="32"/>
        </w:rPr>
      </w:pPr>
      <w:r>
        <w:rPr>
          <w:rFonts w:eastAsia="仿宋_GB2312"/>
          <w:sz w:val="32"/>
          <w:szCs w:val="32"/>
        </w:rPr>
        <w:t>本项目总</w:t>
      </w:r>
      <w:r>
        <w:rPr>
          <w:rFonts w:ascii="Times New Roman" w:hAnsi="Times New Roman" w:eastAsia="仿宋_GB2312" w:cs="Times New Roman"/>
          <w:sz w:val="32"/>
          <w:szCs w:val="32"/>
        </w:rPr>
        <w:t>投资</w:t>
      </w:r>
      <w:r>
        <w:rPr>
          <w:rFonts w:hint="eastAsia" w:eastAsia="仿宋_GB2312" w:cs="Times New Roman"/>
          <w:sz w:val="32"/>
          <w:szCs w:val="32"/>
          <w:lang w:val="en-US" w:eastAsia="zh-CN"/>
        </w:rPr>
        <w:t>1000</w:t>
      </w:r>
      <w:r>
        <w:rPr>
          <w:rFonts w:ascii="Times New Roman" w:hAnsi="Times New Roman" w:eastAsia="仿宋_GB2312" w:cs="Times New Roman"/>
          <w:sz w:val="32"/>
          <w:szCs w:val="32"/>
        </w:rPr>
        <w:t>万元，其中：财政本级资金</w:t>
      </w:r>
      <w:r>
        <w:rPr>
          <w:rFonts w:hint="eastAsia" w:eastAsia="仿宋_GB2312" w:cs="Times New Roman"/>
          <w:sz w:val="32"/>
          <w:szCs w:val="32"/>
          <w:lang w:val="en-US" w:eastAsia="zh-CN"/>
        </w:rPr>
        <w:t>1000</w:t>
      </w:r>
      <w:r>
        <w:rPr>
          <w:rFonts w:ascii="Times New Roman" w:hAnsi="Times New Roman" w:eastAsia="仿宋_GB2312" w:cs="Times New Roman"/>
          <w:sz w:val="32"/>
          <w:szCs w:val="32"/>
        </w:rPr>
        <w:t>万元。项目实际支出</w:t>
      </w:r>
      <w:r>
        <w:rPr>
          <w:rFonts w:hint="eastAsia" w:eastAsia="仿宋_GB2312" w:cs="Times New Roman"/>
          <w:sz w:val="32"/>
          <w:szCs w:val="32"/>
          <w:lang w:val="en-US" w:eastAsia="zh-CN"/>
        </w:rPr>
        <w:t>981.41</w:t>
      </w:r>
      <w:r>
        <w:rPr>
          <w:rFonts w:ascii="Times New Roman" w:hAnsi="Times New Roman" w:eastAsia="仿宋_GB2312" w:cs="Times New Roman"/>
          <w:sz w:val="32"/>
          <w:szCs w:val="32"/>
        </w:rPr>
        <w:t>万元，支</w:t>
      </w:r>
      <w:r>
        <w:rPr>
          <w:rFonts w:eastAsia="仿宋_GB2312"/>
          <w:sz w:val="32"/>
          <w:szCs w:val="32"/>
        </w:rPr>
        <w:t>出率为</w:t>
      </w:r>
      <w:r>
        <w:rPr>
          <w:rFonts w:hint="eastAsia" w:eastAsia="仿宋_GB2312"/>
          <w:sz w:val="32"/>
          <w:szCs w:val="32"/>
        </w:rPr>
        <w:t>98.14</w:t>
      </w:r>
      <w:r>
        <w:rPr>
          <w:rFonts w:eastAsia="仿宋_GB2312"/>
          <w:sz w:val="32"/>
          <w:szCs w:val="32"/>
        </w:rPr>
        <w:t>%。</w:t>
      </w:r>
    </w:p>
    <w:p>
      <w:pPr>
        <w:spacing w:line="600" w:lineRule="exact"/>
        <w:ind w:firstLine="643" w:firstLineChars="200"/>
        <w:rPr>
          <w:rFonts w:eastAsia="仿宋_GB2312"/>
          <w:b/>
          <w:bCs/>
          <w:sz w:val="32"/>
          <w:szCs w:val="32"/>
        </w:rPr>
      </w:pPr>
      <w:r>
        <w:rPr>
          <w:rFonts w:eastAsia="仿宋_GB2312"/>
          <w:b/>
          <w:bCs/>
          <w:sz w:val="32"/>
          <w:szCs w:val="32"/>
        </w:rPr>
        <w:t>3、资金投入和使用情况</w:t>
      </w:r>
    </w:p>
    <w:p>
      <w:pPr>
        <w:spacing w:line="600" w:lineRule="exact"/>
        <w:ind w:firstLine="640" w:firstLineChars="200"/>
        <w:rPr>
          <w:rFonts w:eastAsia="仿宋_GB2312"/>
          <w:sz w:val="20"/>
          <w:szCs w:val="20"/>
        </w:rPr>
      </w:pPr>
      <w:r>
        <w:rPr>
          <w:rFonts w:eastAsia="仿宋_GB2312"/>
          <w:sz w:val="32"/>
          <w:szCs w:val="32"/>
        </w:rPr>
        <w:t>（1）资金安排</w:t>
      </w:r>
    </w:p>
    <w:p>
      <w:pPr>
        <w:pStyle w:val="2"/>
        <w:spacing w:before="0" w:after="0" w:line="600" w:lineRule="exact"/>
        <w:ind w:firstLine="640" w:firstLineChars="200"/>
        <w:jc w:val="both"/>
        <w:rPr>
          <w:rFonts w:hint="eastAsia" w:ascii="Times New Roman" w:hAnsi="Times New Roman" w:eastAsia="仿宋_GB2312"/>
          <w:b w:val="0"/>
          <w:bCs w:val="0"/>
          <w:kern w:val="2"/>
          <w:lang w:eastAsia="zh-CN"/>
        </w:rPr>
      </w:pPr>
      <w:r>
        <w:rPr>
          <w:rFonts w:hint="eastAsia" w:ascii="Times New Roman" w:hAnsi="Times New Roman" w:eastAsia="仿宋_GB2312"/>
          <w:b w:val="0"/>
          <w:bCs w:val="0"/>
          <w:kern w:val="2"/>
          <w:lang w:val="en-US" w:eastAsia="zh-CN"/>
        </w:rPr>
        <w:t>该项目年初预算数1000万元，全年预算数1000万元，实际总投入1000万元，该项目资金已全部落实到位，资金来源为财政拨款</w:t>
      </w:r>
      <w:r>
        <w:rPr>
          <w:rFonts w:hint="eastAsia" w:ascii="Times New Roman" w:hAnsi="Times New Roman" w:eastAsia="仿宋_GB2312"/>
          <w:b w:val="0"/>
          <w:bCs w:val="0"/>
          <w:kern w:val="2"/>
          <w:lang w:eastAsia="zh-CN"/>
        </w:rPr>
        <w:t>。</w:t>
      </w:r>
    </w:p>
    <w:p>
      <w:pPr>
        <w:spacing w:line="600" w:lineRule="exact"/>
        <w:ind w:firstLine="640" w:firstLineChars="200"/>
        <w:rPr>
          <w:rFonts w:eastAsia="仿宋_GB2312"/>
          <w:sz w:val="32"/>
          <w:szCs w:val="32"/>
        </w:rPr>
      </w:pPr>
      <w:r>
        <w:rPr>
          <w:rFonts w:eastAsia="仿宋_GB2312"/>
          <w:sz w:val="32"/>
          <w:szCs w:val="32"/>
        </w:rPr>
        <w:t>（2）预算资金来源及使用情况</w:t>
      </w:r>
      <w:bookmarkStart w:id="0" w:name="page10"/>
      <w:bookmarkEnd w:id="0"/>
    </w:p>
    <w:p>
      <w:pPr>
        <w:pStyle w:val="2"/>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项目预算资金来源于</w:t>
      </w:r>
      <w:r>
        <w:rPr>
          <w:rFonts w:hint="eastAsia" w:ascii="Times New Roman" w:hAnsi="Times New Roman" w:eastAsia="仿宋_GB2312" w:cs="Times New Roman"/>
          <w:b w:val="0"/>
          <w:bCs w:val="0"/>
          <w:kern w:val="2"/>
          <w:sz w:val="32"/>
          <w:szCs w:val="32"/>
          <w:highlight w:val="none"/>
          <w:lang w:val="en-US" w:eastAsia="zh-CN" w:bidi="ar-SA"/>
        </w:rPr>
        <w:t>财政拨款</w:t>
      </w:r>
      <w:r>
        <w:rPr>
          <w:rFonts w:ascii="Times New Roman" w:hAnsi="Times New Roman" w:eastAsia="仿宋_GB2312"/>
          <w:b w:val="0"/>
          <w:bCs w:val="0"/>
          <w:kern w:val="2"/>
        </w:rPr>
        <w:t>，项目资金</w:t>
      </w:r>
      <w:r>
        <w:rPr>
          <w:rFonts w:hint="eastAsia" w:ascii="Times New Roman" w:hAnsi="Times New Roman" w:eastAsia="仿宋_GB2312" w:cs="Times New Roman"/>
          <w:b w:val="0"/>
          <w:bCs w:val="0"/>
          <w:kern w:val="2"/>
          <w:sz w:val="32"/>
          <w:szCs w:val="32"/>
          <w:highlight w:val="none"/>
          <w:lang w:val="en-US" w:eastAsia="zh-CN" w:bidi="ar-SA"/>
        </w:rPr>
        <w:t>到位1000万元，全年执行981.41万元，预算执行率为98.14%,主要用于</w:t>
      </w:r>
      <w:r>
        <w:rPr>
          <w:rFonts w:ascii="Times New Roman" w:hAnsi="Times New Roman" w:eastAsia="仿宋_GB2312"/>
          <w:b w:val="0"/>
          <w:bCs w:val="0"/>
          <w:kern w:val="2"/>
        </w:rPr>
        <w:t>支付项目实施进程中的各项费用。</w:t>
      </w:r>
    </w:p>
    <w:p>
      <w:pPr>
        <w:spacing w:line="600" w:lineRule="exact"/>
        <w:ind w:firstLine="643" w:firstLineChars="200"/>
        <w:rPr>
          <w:rFonts w:eastAsia="楷体_GB2312"/>
          <w:b/>
          <w:bCs/>
          <w:sz w:val="32"/>
          <w:szCs w:val="32"/>
        </w:rPr>
      </w:pPr>
      <w:r>
        <w:rPr>
          <w:rFonts w:eastAsia="楷体_GB2312"/>
          <w:b/>
          <w:bCs/>
          <w:sz w:val="32"/>
          <w:szCs w:val="32"/>
        </w:rPr>
        <w:t>（二）项目绩效目标</w:t>
      </w:r>
    </w:p>
    <w:p>
      <w:pPr>
        <w:spacing w:line="600" w:lineRule="exact"/>
        <w:ind w:firstLine="640" w:firstLineChars="200"/>
        <w:rPr>
          <w:rFonts w:eastAsia="仿宋_GB2312"/>
          <w:sz w:val="32"/>
          <w:szCs w:val="32"/>
        </w:rPr>
      </w:pPr>
      <w:r>
        <w:rPr>
          <w:rFonts w:eastAsia="仿宋_GB2312"/>
          <w:sz w:val="32"/>
          <w:szCs w:val="32"/>
        </w:rPr>
        <w:t>1、总体目标</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按计划</w:t>
      </w:r>
      <w:r>
        <w:rPr>
          <w:rFonts w:hint="eastAsia" w:eastAsia="仿宋_GB2312"/>
          <w:sz w:val="32"/>
          <w:szCs w:val="32"/>
        </w:rPr>
        <w:t>开展</w:t>
      </w:r>
      <w:r>
        <w:rPr>
          <w:rFonts w:hint="eastAsia" w:eastAsia="仿宋_GB2312"/>
          <w:sz w:val="32"/>
          <w:szCs w:val="32"/>
          <w:lang w:eastAsia="zh-CN"/>
        </w:rPr>
        <w:t>了小麦玉米套种全程机械化配套技术装备创制示范</w:t>
      </w:r>
      <w:r>
        <w:rPr>
          <w:rFonts w:hint="eastAsia" w:eastAsia="仿宋_GB2312"/>
          <w:sz w:val="32"/>
          <w:szCs w:val="32"/>
        </w:rPr>
        <w:t>，创制套种配套中耕除草灭茬机10台，玉米套种精量播种机14台，套种小麦联合收获机36台，配套拖拉机改造50台；形成新疆小麦玉米套种模式病虫害监测调查报告1份；开展小麦玉米套种全程机械化技术推广示范，参加现场演示会、技术研讨会10余次。</w:t>
      </w:r>
      <w:r>
        <w:rPr>
          <w:rFonts w:hint="eastAsia" w:ascii="Times New Roman" w:hAnsi="Times New Roman" w:eastAsia="仿宋_GB2312" w:cs="Times New Roman"/>
          <w:sz w:val="32"/>
          <w:szCs w:val="32"/>
        </w:rPr>
        <w:t>通过</w:t>
      </w:r>
      <w:r>
        <w:rPr>
          <w:rFonts w:hint="eastAsia" w:eastAsia="仿宋_GB2312" w:cs="Times New Roman"/>
          <w:sz w:val="32"/>
          <w:szCs w:val="32"/>
          <w:lang w:eastAsia="zh-CN"/>
        </w:rPr>
        <w:t>项目实施</w:t>
      </w:r>
      <w:r>
        <w:rPr>
          <w:rFonts w:hint="eastAsia" w:ascii="Times New Roman" w:hAnsi="Times New Roman" w:eastAsia="仿宋_GB2312" w:cs="Times New Roman"/>
          <w:sz w:val="32"/>
          <w:szCs w:val="32"/>
        </w:rPr>
        <w:t>，</w:t>
      </w:r>
      <w:r>
        <w:rPr>
          <w:rFonts w:hint="eastAsia" w:eastAsia="仿宋_GB2312"/>
          <w:sz w:val="32"/>
          <w:szCs w:val="32"/>
        </w:rPr>
        <w:t>形成南北疆小麦玉米套种全程机械化生产模式2种；筛选适合各地州株高适宜、抗逆性强的高产优质小麦品种5种和玉米品种9种</w:t>
      </w:r>
      <w:r>
        <w:rPr>
          <w:rFonts w:hint="eastAsia" w:ascii="Times New Roman" w:hAnsi="Times New Roman" w:eastAsia="仿宋_GB2312" w:cs="Times New Roman"/>
          <w:sz w:val="32"/>
          <w:szCs w:val="32"/>
        </w:rPr>
        <w:t>。</w:t>
      </w:r>
    </w:p>
    <w:p>
      <w:pPr>
        <w:spacing w:line="600" w:lineRule="exact"/>
        <w:ind w:firstLine="640" w:firstLineChars="200"/>
      </w:pPr>
      <w:r>
        <w:rPr>
          <w:rFonts w:eastAsia="仿宋_GB2312"/>
          <w:sz w:val="32"/>
          <w:szCs w:val="32"/>
        </w:rPr>
        <w:t>2、阶段性目标</w:t>
      </w:r>
    </w:p>
    <w:p>
      <w:pPr>
        <w:spacing w:line="60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pPr>
        <w:spacing w:line="600" w:lineRule="exact"/>
        <w:ind w:firstLine="640" w:firstLineChars="200"/>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（2）组织实施：资金一到位，立即根据项目要求实施项目。项目责任人按照项目实施方案要求逐一进行项目部署安排，提高项目质量及效率性。</w:t>
      </w:r>
    </w:p>
    <w:p>
      <w:pPr>
        <w:spacing w:line="600" w:lineRule="exact"/>
        <w:ind w:firstLine="640" w:firstLineChars="200"/>
        <w:rPr>
          <w:rFonts w:eastAsia="黑体"/>
          <w:sz w:val="32"/>
          <w:szCs w:val="32"/>
        </w:rPr>
      </w:pPr>
      <w:r>
        <w:rPr>
          <w:rFonts w:eastAsia="黑体"/>
          <w:sz w:val="32"/>
          <w:szCs w:val="32"/>
        </w:rPr>
        <w:t>二、绩效评价工作开展情况</w:t>
      </w:r>
    </w:p>
    <w:p>
      <w:pPr>
        <w:spacing w:line="600" w:lineRule="exact"/>
        <w:ind w:firstLine="643" w:firstLineChars="200"/>
        <w:rPr>
          <w:rFonts w:eastAsia="楷体_GB2312"/>
          <w:b/>
          <w:bCs/>
          <w:sz w:val="32"/>
          <w:szCs w:val="32"/>
        </w:rPr>
      </w:pPr>
      <w:r>
        <w:rPr>
          <w:rFonts w:eastAsia="楷体_GB2312"/>
          <w:b/>
          <w:bCs/>
          <w:sz w:val="32"/>
          <w:szCs w:val="32"/>
        </w:rPr>
        <w:t>（一）绩效评价目的、对象和范围</w:t>
      </w:r>
    </w:p>
    <w:p>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pPr>
        <w:spacing w:line="60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项目在实施前向项目负责人提供财政支出绩效方面的资金管理信息，促进项目支出严格按照资金管理规定进行。</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（2）项目绩效管理财政支出运行提供及时、有效的信息。</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综合来看，通过开展有效的财政支出绩效评价管理，达到改进预算管理、控制节约成本，提高预算资金使用效益的目的。</w:t>
      </w:r>
    </w:p>
    <w:p>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pPr>
        <w:spacing w:line="576" w:lineRule="exact"/>
        <w:ind w:firstLine="640" w:firstLineChars="200"/>
        <w:rPr>
          <w:rFonts w:hint="eastAsia" w:ascii="仿宋_GB2312" w:hAnsi="仿宋_GB2312" w:eastAsia="仿宋_GB2312" w:cs="仿宋_GB2312"/>
          <w:sz w:val="32"/>
          <w:szCs w:val="32"/>
          <w:highlight w:val="yellow"/>
          <w:lang w:eastAsia="zh-CN"/>
        </w:rPr>
      </w:pPr>
      <w:r>
        <w:rPr>
          <w:rFonts w:hint="eastAsia" w:eastAsia="仿宋_GB2312"/>
          <w:sz w:val="32"/>
          <w:szCs w:val="32"/>
          <w:lang w:eastAsia="zh-CN"/>
        </w:rPr>
        <w:t>开</w:t>
      </w:r>
      <w:r>
        <w:rPr>
          <w:rFonts w:hint="eastAsia" w:eastAsia="仿宋_GB2312"/>
          <w:sz w:val="32"/>
          <w:szCs w:val="32"/>
        </w:rPr>
        <w:t>展</w:t>
      </w:r>
      <w:r>
        <w:rPr>
          <w:rFonts w:hint="eastAsia" w:eastAsia="仿宋_GB2312"/>
          <w:sz w:val="32"/>
          <w:szCs w:val="32"/>
          <w:lang w:eastAsia="zh-CN"/>
        </w:rPr>
        <w:t>了小麦玉米套种全程机械化配套技术装备创制示范</w:t>
      </w:r>
      <w:r>
        <w:rPr>
          <w:rFonts w:hint="eastAsia" w:eastAsia="仿宋_GB2312"/>
          <w:sz w:val="32"/>
          <w:szCs w:val="32"/>
        </w:rPr>
        <w:t>，创制套种配套中耕除草灭茬机</w:t>
      </w:r>
      <w:r>
        <w:rPr>
          <w:rFonts w:hint="eastAsia" w:eastAsia="仿宋_GB2312"/>
          <w:sz w:val="32"/>
          <w:szCs w:val="32"/>
          <w:lang w:eastAsia="zh-CN"/>
        </w:rPr>
        <w:t>、</w:t>
      </w:r>
      <w:r>
        <w:rPr>
          <w:rFonts w:hint="eastAsia" w:eastAsia="仿宋_GB2312"/>
          <w:sz w:val="32"/>
          <w:szCs w:val="32"/>
        </w:rPr>
        <w:t>玉米套种精量播种机</w:t>
      </w:r>
      <w:r>
        <w:rPr>
          <w:rFonts w:hint="eastAsia" w:eastAsia="仿宋_GB2312"/>
          <w:sz w:val="32"/>
          <w:szCs w:val="32"/>
          <w:lang w:eastAsia="zh-CN"/>
        </w:rPr>
        <w:t>、</w:t>
      </w:r>
      <w:r>
        <w:rPr>
          <w:rFonts w:hint="eastAsia" w:eastAsia="仿宋_GB2312"/>
          <w:sz w:val="32"/>
          <w:szCs w:val="32"/>
        </w:rPr>
        <w:t>套种小麦联合收获机</w:t>
      </w:r>
      <w:r>
        <w:rPr>
          <w:rFonts w:hint="eastAsia" w:eastAsia="仿宋_GB2312"/>
          <w:sz w:val="32"/>
          <w:szCs w:val="32"/>
          <w:lang w:eastAsia="zh-CN"/>
        </w:rPr>
        <w:t>和</w:t>
      </w:r>
      <w:r>
        <w:rPr>
          <w:rFonts w:hint="eastAsia" w:eastAsia="仿宋_GB2312"/>
          <w:sz w:val="32"/>
          <w:szCs w:val="32"/>
        </w:rPr>
        <w:t>配套拖拉机改造</w:t>
      </w:r>
      <w:r>
        <w:rPr>
          <w:rFonts w:hint="eastAsia" w:eastAsia="仿宋_GB2312"/>
          <w:sz w:val="32"/>
          <w:szCs w:val="32"/>
          <w:lang w:eastAsia="zh-CN"/>
        </w:rPr>
        <w:t>，</w:t>
      </w:r>
      <w:r>
        <w:rPr>
          <w:rFonts w:hint="eastAsia" w:eastAsia="仿宋_GB2312"/>
          <w:sz w:val="32"/>
          <w:szCs w:val="32"/>
        </w:rPr>
        <w:t>形成新疆小麦玉米套种模式病虫害监测调查报告</w:t>
      </w:r>
      <w:r>
        <w:rPr>
          <w:rFonts w:hint="eastAsia" w:eastAsia="仿宋_GB2312" w:cs="Times New Roman"/>
          <w:sz w:val="32"/>
          <w:szCs w:val="32"/>
          <w:lang w:eastAsia="zh-CN"/>
        </w:rPr>
        <w:t>。</w:t>
      </w:r>
      <w:r>
        <w:rPr>
          <w:rFonts w:hint="eastAsia" w:ascii="Times New Roman" w:hAnsi="Times New Roman" w:eastAsia="仿宋_GB2312" w:cs="Times New Roman"/>
          <w:sz w:val="32"/>
          <w:szCs w:val="32"/>
        </w:rPr>
        <w:t>开展</w:t>
      </w:r>
      <w:r>
        <w:rPr>
          <w:rFonts w:hint="eastAsia" w:eastAsia="仿宋_GB2312"/>
          <w:sz w:val="32"/>
          <w:szCs w:val="32"/>
        </w:rPr>
        <w:t>小麦玉米套种全程机械化技术推广示范，参加现场演示会</w:t>
      </w:r>
      <w:r>
        <w:rPr>
          <w:rFonts w:hint="eastAsia" w:eastAsia="仿宋_GB2312"/>
          <w:sz w:val="32"/>
          <w:szCs w:val="32"/>
          <w:lang w:eastAsia="zh-CN"/>
        </w:rPr>
        <w:t>和</w:t>
      </w:r>
      <w:r>
        <w:rPr>
          <w:rFonts w:hint="eastAsia" w:eastAsia="仿宋_GB2312"/>
          <w:sz w:val="32"/>
          <w:szCs w:val="32"/>
        </w:rPr>
        <w:t>技术研讨会</w:t>
      </w:r>
      <w:r>
        <w:rPr>
          <w:rFonts w:hint="eastAsia" w:ascii="Times New Roman" w:hAnsi="Times New Roman" w:eastAsia="仿宋_GB2312" w:cs="Times New Roman"/>
          <w:sz w:val="32"/>
          <w:szCs w:val="32"/>
        </w:rPr>
        <w:t>等工作</w:t>
      </w:r>
      <w:r>
        <w:rPr>
          <w:rFonts w:hint="eastAsia" w:ascii="Times New Roman" w:hAnsi="Times New Roman" w:eastAsia="仿宋_GB2312" w:cs="Times New Roman"/>
          <w:sz w:val="32"/>
          <w:szCs w:val="32"/>
          <w:lang w:eastAsia="zh-CN"/>
        </w:rPr>
        <w:t>。</w:t>
      </w:r>
    </w:p>
    <w:p>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pPr>
        <w:spacing w:line="576" w:lineRule="exact"/>
        <w:ind w:firstLine="640" w:firstLineChars="200"/>
        <w:rPr>
          <w:rFonts w:hint="eastAsia" w:ascii="Times New Roman" w:hAnsi="Times New Roman" w:eastAsia="仿宋_GB2312" w:cs="Times New Roman"/>
          <w:sz w:val="32"/>
          <w:szCs w:val="32"/>
        </w:rPr>
      </w:pPr>
      <w:r>
        <w:rPr>
          <w:rFonts w:hint="eastAsia" w:eastAsia="仿宋_GB2312" w:cs="Times New Roman"/>
          <w:sz w:val="32"/>
          <w:szCs w:val="32"/>
          <w:lang w:eastAsia="zh-CN"/>
        </w:rPr>
        <w:t>自治区农业农村发展创新与服务</w:t>
      </w:r>
      <w:r>
        <w:rPr>
          <w:rFonts w:hint="eastAsia" w:ascii="Times New Roman" w:hAnsi="Times New Roman" w:eastAsia="仿宋_GB2312" w:cs="Times New Roman"/>
          <w:sz w:val="32"/>
          <w:szCs w:val="32"/>
        </w:rPr>
        <w:t>项目的决策、过程、产出、效益等。</w:t>
      </w:r>
    </w:p>
    <w:p>
      <w:pPr>
        <w:shd w:val="clear"/>
        <w:spacing w:line="600" w:lineRule="exact"/>
        <w:ind w:firstLine="643" w:firstLineChars="200"/>
        <w:rPr>
          <w:color w:val="auto"/>
          <w:highlight w:val="none"/>
          <w:shd w:val="clear" w:color="auto" w:fill="auto"/>
        </w:rPr>
      </w:pPr>
      <w:r>
        <w:rPr>
          <w:rFonts w:eastAsia="楷体_GB2312"/>
          <w:b/>
          <w:bCs/>
          <w:color w:val="auto"/>
          <w:sz w:val="32"/>
          <w:szCs w:val="32"/>
          <w:shd w:val="clear" w:color="auto" w:fill="auto"/>
        </w:rPr>
        <w:t>（</w:t>
      </w:r>
      <w:r>
        <w:rPr>
          <w:rFonts w:eastAsia="楷体_GB2312"/>
          <w:b/>
          <w:bCs/>
          <w:color w:val="auto"/>
          <w:sz w:val="32"/>
          <w:szCs w:val="32"/>
          <w:highlight w:val="none"/>
          <w:shd w:val="clear" w:color="auto" w:fill="auto"/>
        </w:rPr>
        <w:t>二）绩效评价原则、评价指标体系（详情见表1）、评价方法、评价标准。</w:t>
      </w:r>
    </w:p>
    <w:p>
      <w:pPr>
        <w:pStyle w:val="2"/>
        <w:widowControl w:val="0"/>
        <w:shd w:val="clear"/>
        <w:spacing w:before="0" w:after="0" w:line="600" w:lineRule="exact"/>
        <w:ind w:firstLine="640" w:firstLineChars="200"/>
        <w:jc w:val="both"/>
        <w:outlineLvl w:val="9"/>
        <w:rPr>
          <w:rFonts w:ascii="Times New Roman" w:hAnsi="Times New Roman" w:eastAsia="仿宋_GB2312"/>
          <w:b w:val="0"/>
          <w:bCs w:val="0"/>
          <w:color w:val="auto"/>
          <w:highlight w:val="none"/>
          <w:shd w:val="clear" w:color="auto" w:fill="auto"/>
        </w:rPr>
      </w:pPr>
      <w:r>
        <w:rPr>
          <w:rFonts w:ascii="Times New Roman" w:hAnsi="Times New Roman" w:eastAsia="仿宋_GB2312"/>
          <w:b w:val="0"/>
          <w:bCs w:val="0"/>
          <w:color w:val="auto"/>
          <w:highlight w:val="none"/>
          <w:shd w:val="clear" w:color="auto" w:fill="auto"/>
        </w:rPr>
        <w:t>1、绩效评价原则</w:t>
      </w:r>
    </w:p>
    <w:p>
      <w:pPr>
        <w:shd w:val="clear"/>
        <w:spacing w:line="600" w:lineRule="exact"/>
        <w:ind w:firstLine="640" w:firstLineChars="200"/>
        <w:rPr>
          <w:rFonts w:eastAsia="仿宋_GB2312"/>
          <w:color w:val="auto"/>
          <w:sz w:val="32"/>
          <w:szCs w:val="32"/>
          <w:highlight w:val="none"/>
          <w:shd w:val="clear" w:color="auto" w:fill="auto"/>
        </w:rPr>
      </w:pPr>
      <w:r>
        <w:rPr>
          <w:rFonts w:eastAsia="仿宋_GB2312"/>
          <w:color w:val="auto"/>
          <w:sz w:val="32"/>
          <w:szCs w:val="32"/>
          <w:highlight w:val="none"/>
          <w:shd w:val="clear" w:color="auto" w:fill="auto"/>
        </w:rPr>
        <w:t>本次项目绩效评价遵循以下基本原则：</w:t>
      </w:r>
    </w:p>
    <w:p>
      <w:pPr>
        <w:pStyle w:val="2"/>
        <w:shd w:val="clear"/>
        <w:spacing w:before="0" w:after="0" w:line="600" w:lineRule="exact"/>
        <w:ind w:firstLine="640" w:firstLineChars="200"/>
        <w:jc w:val="both"/>
        <w:outlineLvl w:val="9"/>
        <w:rPr>
          <w:rFonts w:ascii="Times New Roman" w:hAnsi="Times New Roman" w:eastAsia="仿宋_GB2312"/>
          <w:b w:val="0"/>
          <w:bCs w:val="0"/>
          <w:color w:val="auto"/>
          <w:highlight w:val="none"/>
          <w:shd w:val="clear" w:color="auto" w:fill="auto"/>
        </w:rPr>
      </w:pPr>
      <w:r>
        <w:rPr>
          <w:rFonts w:ascii="Times New Roman" w:hAnsi="Times New Roman" w:eastAsia="仿宋_GB2312"/>
          <w:b w:val="0"/>
          <w:bCs w:val="0"/>
          <w:color w:val="auto"/>
          <w:highlight w:val="none"/>
          <w:shd w:val="clear" w:color="auto" w:fill="auto"/>
        </w:rPr>
        <w:t>（1）科学公正。绩效评价应当运用科学合理的方法，按照规范的程序，对项目绩效进行客观、公正的反映。</w:t>
      </w:r>
    </w:p>
    <w:p>
      <w:pPr>
        <w:pStyle w:val="2"/>
        <w:shd w:val="clear"/>
        <w:spacing w:before="0" w:after="0" w:line="600" w:lineRule="exact"/>
        <w:ind w:firstLine="640" w:firstLineChars="200"/>
        <w:jc w:val="both"/>
        <w:outlineLvl w:val="9"/>
        <w:rPr>
          <w:rFonts w:ascii="Times New Roman" w:hAnsi="Times New Roman" w:eastAsia="仿宋_GB2312"/>
          <w:b w:val="0"/>
          <w:bCs w:val="0"/>
          <w:color w:val="auto"/>
          <w:highlight w:val="none"/>
          <w:shd w:val="clear" w:color="auto" w:fill="auto"/>
        </w:rPr>
      </w:pPr>
      <w:r>
        <w:rPr>
          <w:rFonts w:ascii="Times New Roman" w:hAnsi="Times New Roman" w:eastAsia="仿宋_GB2312"/>
          <w:b w:val="0"/>
          <w:bCs w:val="0"/>
          <w:color w:val="auto"/>
          <w:highlight w:val="none"/>
          <w:shd w:val="clear" w:color="auto" w:fill="auto"/>
        </w:rPr>
        <w:t>（2）统筹兼顾。单位自评、部门评价和财政评价应职责明确，各有侧重，相互衔接。单位自评应由项目单位自主实施，即“谁支出、谁自评”。部门评价和财政评价应在单位自评的基础上开展。</w:t>
      </w:r>
    </w:p>
    <w:p>
      <w:pPr>
        <w:pStyle w:val="2"/>
        <w:shd w:val="clear"/>
        <w:spacing w:before="0" w:after="0" w:line="600" w:lineRule="exact"/>
        <w:ind w:firstLine="640" w:firstLineChars="200"/>
        <w:jc w:val="both"/>
        <w:outlineLvl w:val="9"/>
        <w:rPr>
          <w:rFonts w:ascii="Times New Roman" w:hAnsi="Times New Roman" w:eastAsia="仿宋_GB2312"/>
          <w:b w:val="0"/>
          <w:bCs w:val="0"/>
          <w:color w:val="auto"/>
          <w:highlight w:val="none"/>
          <w:shd w:val="clear" w:color="auto" w:fill="auto"/>
        </w:rPr>
      </w:pPr>
      <w:r>
        <w:rPr>
          <w:rFonts w:ascii="Times New Roman" w:hAnsi="Times New Roman" w:eastAsia="仿宋_GB2312"/>
          <w:b w:val="0"/>
          <w:bCs w:val="0"/>
          <w:color w:val="auto"/>
          <w:highlight w:val="none"/>
          <w:shd w:val="clear" w:color="auto" w:fill="auto"/>
        </w:rPr>
        <w:t>（3）激励约束。绩效评价结果应与预算安排、政策调整、改进管理实质性挂钩，体现奖优罚劣和激励相容导向，有效要安排、低效要压减、无效要问责。</w:t>
      </w:r>
    </w:p>
    <w:p>
      <w:pPr>
        <w:pStyle w:val="2"/>
        <w:shd w:val="clear"/>
        <w:spacing w:before="0" w:after="0" w:line="600" w:lineRule="exact"/>
        <w:ind w:firstLine="640" w:firstLineChars="200"/>
        <w:jc w:val="both"/>
        <w:outlineLvl w:val="9"/>
        <w:rPr>
          <w:rFonts w:ascii="Times New Roman" w:hAnsi="Times New Roman" w:eastAsia="仿宋_GB2312"/>
          <w:b w:val="0"/>
          <w:bCs w:val="0"/>
          <w:color w:val="auto"/>
          <w:highlight w:val="none"/>
          <w:shd w:val="clear" w:color="auto" w:fill="auto"/>
        </w:rPr>
      </w:pPr>
      <w:r>
        <w:rPr>
          <w:rFonts w:ascii="Times New Roman" w:hAnsi="Times New Roman" w:eastAsia="仿宋_GB2312"/>
          <w:b w:val="0"/>
          <w:bCs w:val="0"/>
          <w:color w:val="auto"/>
          <w:highlight w:val="none"/>
          <w:shd w:val="clear" w:color="auto" w:fill="auto"/>
        </w:rPr>
        <w:t>（4）公开透明。绩效评价结果应依法依规公开，并自觉接受社会监督。</w:t>
      </w:r>
    </w:p>
    <w:p>
      <w:pPr>
        <w:pStyle w:val="2"/>
        <w:widowControl w:val="0"/>
        <w:shd w:val="clear"/>
        <w:spacing w:before="0" w:after="0" w:line="600" w:lineRule="exact"/>
        <w:ind w:firstLine="640" w:firstLineChars="200"/>
        <w:jc w:val="both"/>
        <w:outlineLvl w:val="9"/>
        <w:rPr>
          <w:rFonts w:ascii="Times New Roman" w:hAnsi="Times New Roman" w:eastAsia="仿宋_GB2312"/>
          <w:b w:val="0"/>
          <w:bCs w:val="0"/>
          <w:color w:val="auto"/>
          <w:highlight w:val="none"/>
          <w:shd w:val="clear" w:color="auto" w:fill="auto"/>
        </w:rPr>
      </w:pPr>
      <w:r>
        <w:rPr>
          <w:rFonts w:ascii="Times New Roman" w:hAnsi="Times New Roman" w:eastAsia="仿宋_GB2312"/>
          <w:b w:val="0"/>
          <w:bCs w:val="0"/>
          <w:color w:val="auto"/>
          <w:highlight w:val="none"/>
          <w:shd w:val="clear" w:color="auto" w:fill="auto"/>
        </w:rPr>
        <w:t>2、评价指标体系</w:t>
      </w:r>
    </w:p>
    <w:p>
      <w:pPr>
        <w:shd w:val="clear"/>
        <w:spacing w:line="600" w:lineRule="exact"/>
        <w:ind w:firstLine="708" w:firstLineChars="200"/>
        <w:rPr>
          <w:color w:val="auto"/>
          <w:spacing w:val="17"/>
          <w:sz w:val="32"/>
          <w:szCs w:val="32"/>
          <w:highlight w:val="none"/>
          <w:shd w:val="clear" w:color="auto" w:fill="auto"/>
        </w:rPr>
      </w:pPr>
      <w:r>
        <w:rPr>
          <w:rFonts w:eastAsia="仿宋_GB2312"/>
          <w:color w:val="auto"/>
          <w:spacing w:val="17"/>
          <w:sz w:val="32"/>
          <w:szCs w:val="32"/>
          <w:highlight w:val="none"/>
          <w:shd w:val="clear" w:color="auto" w:fill="auto"/>
        </w:rPr>
        <w:t>绩效评价框架是开展绩效评价的核心。绩效评价框架包括评价准则、关键评价问题、评价指标、数据来源、数据收集方法等。指标体系建立过程如下：</w:t>
      </w:r>
    </w:p>
    <w:p>
      <w:pPr>
        <w:shd w:val="clear"/>
        <w:spacing w:line="600" w:lineRule="exact"/>
        <w:ind w:firstLine="708" w:firstLineChars="200"/>
        <w:rPr>
          <w:rFonts w:eastAsia="仿宋_GB2312"/>
          <w:color w:val="auto"/>
          <w:spacing w:val="17"/>
          <w:sz w:val="32"/>
          <w:szCs w:val="32"/>
          <w:highlight w:val="none"/>
          <w:shd w:val="clear" w:color="auto" w:fill="auto"/>
        </w:rPr>
      </w:pPr>
      <w:r>
        <w:rPr>
          <w:rFonts w:eastAsia="仿宋_GB2312"/>
          <w:color w:val="auto"/>
          <w:spacing w:val="17"/>
          <w:sz w:val="32"/>
          <w:szCs w:val="32"/>
          <w:highlight w:val="none"/>
          <w:shd w:val="clear" w:color="auto" w:fill="auto"/>
        </w:rPr>
        <w:t>（1）确定评价指标</w:t>
      </w:r>
    </w:p>
    <w:p>
      <w:pPr>
        <w:shd w:val="clear"/>
        <w:spacing w:line="600" w:lineRule="exact"/>
        <w:ind w:firstLine="708" w:firstLineChars="200"/>
        <w:rPr>
          <w:rFonts w:eastAsia="仿宋_GB2312"/>
          <w:color w:val="auto"/>
          <w:spacing w:val="17"/>
          <w:sz w:val="32"/>
          <w:szCs w:val="32"/>
          <w:highlight w:val="none"/>
          <w:shd w:val="clear" w:color="auto" w:fill="auto"/>
        </w:rPr>
      </w:pPr>
      <w:r>
        <w:rPr>
          <w:rFonts w:eastAsia="仿宋_GB2312"/>
          <w:color w:val="auto"/>
          <w:spacing w:val="17"/>
          <w:sz w:val="32"/>
          <w:szCs w:val="32"/>
          <w:highlight w:val="none"/>
          <w:shd w:val="clear" w:color="auto" w:fill="auto"/>
        </w:rPr>
        <w:t>采用层次分析法，建立评价指标体系。绩效评价将指标分为项目决策指标、项目过程指标、项目产出指标、项目效益指标四个维度，最终形成一个由多个相互联系的指标组成的多层次指标体系。</w:t>
      </w:r>
    </w:p>
    <w:p>
      <w:pPr>
        <w:shd w:val="clear"/>
        <w:spacing w:line="600" w:lineRule="exact"/>
        <w:ind w:firstLine="708" w:firstLineChars="200"/>
        <w:rPr>
          <w:rFonts w:eastAsia="仿宋_GB2312"/>
          <w:color w:val="auto"/>
          <w:spacing w:val="17"/>
          <w:sz w:val="32"/>
          <w:szCs w:val="32"/>
          <w:highlight w:val="none"/>
          <w:shd w:val="clear" w:color="auto" w:fill="auto"/>
        </w:rPr>
      </w:pPr>
      <w:r>
        <w:rPr>
          <w:rFonts w:eastAsia="仿宋_GB2312"/>
          <w:color w:val="auto"/>
          <w:spacing w:val="17"/>
          <w:sz w:val="32"/>
          <w:szCs w:val="32"/>
          <w:highlight w:val="none"/>
          <w:shd w:val="clear" w:color="auto" w:fill="auto"/>
        </w:rPr>
        <w:t>（2）确定权重</w:t>
      </w:r>
    </w:p>
    <w:p>
      <w:pPr>
        <w:shd w:val="clear"/>
        <w:spacing w:line="600" w:lineRule="exact"/>
        <w:ind w:firstLine="708" w:firstLineChars="200"/>
        <w:rPr>
          <w:rFonts w:eastAsia="仿宋_GB2312"/>
          <w:color w:val="auto"/>
          <w:spacing w:val="17"/>
          <w:sz w:val="32"/>
          <w:szCs w:val="32"/>
          <w:highlight w:val="none"/>
          <w:shd w:val="clear" w:color="auto" w:fill="auto"/>
        </w:rPr>
      </w:pPr>
      <w:r>
        <w:rPr>
          <w:rFonts w:eastAsia="仿宋_GB2312"/>
          <w:color w:val="auto"/>
          <w:spacing w:val="17"/>
          <w:sz w:val="32"/>
          <w:szCs w:val="32"/>
          <w:highlight w:val="none"/>
          <w:shd w:val="clear" w:color="auto" w:fill="auto"/>
        </w:rPr>
        <w:t>确定各个指标相对于项目总体绩效的权重分值。在绩效评价指标体系中，项目决策权重为</w:t>
      </w:r>
      <w:r>
        <w:rPr>
          <w:rFonts w:hint="eastAsia" w:eastAsia="仿宋_GB2312"/>
          <w:color w:val="auto"/>
          <w:spacing w:val="17"/>
          <w:sz w:val="32"/>
          <w:szCs w:val="32"/>
          <w:highlight w:val="none"/>
          <w:shd w:val="clear" w:color="auto" w:fill="auto"/>
          <w:lang w:val="en-US" w:eastAsia="zh-CN"/>
        </w:rPr>
        <w:t>20</w:t>
      </w:r>
      <w:r>
        <w:rPr>
          <w:rFonts w:eastAsia="仿宋_GB2312"/>
          <w:color w:val="auto"/>
          <w:spacing w:val="17"/>
          <w:sz w:val="32"/>
          <w:szCs w:val="32"/>
          <w:highlight w:val="none"/>
          <w:shd w:val="clear" w:color="auto" w:fill="auto"/>
        </w:rPr>
        <w:t>分，项目过程权重为</w:t>
      </w:r>
      <w:r>
        <w:rPr>
          <w:rFonts w:hint="eastAsia" w:eastAsia="仿宋_GB2312"/>
          <w:color w:val="auto"/>
          <w:spacing w:val="17"/>
          <w:sz w:val="32"/>
          <w:szCs w:val="32"/>
          <w:highlight w:val="none"/>
          <w:shd w:val="clear" w:color="auto" w:fill="auto"/>
          <w:lang w:val="en-US" w:eastAsia="zh-CN"/>
        </w:rPr>
        <w:t>20</w:t>
      </w:r>
      <w:r>
        <w:rPr>
          <w:rFonts w:eastAsia="仿宋_GB2312"/>
          <w:color w:val="auto"/>
          <w:spacing w:val="17"/>
          <w:sz w:val="32"/>
          <w:szCs w:val="32"/>
          <w:highlight w:val="none"/>
          <w:shd w:val="clear" w:color="auto" w:fill="auto"/>
        </w:rPr>
        <w:t>分，项目产出权重为</w:t>
      </w:r>
      <w:r>
        <w:rPr>
          <w:rFonts w:hint="eastAsia" w:eastAsia="仿宋_GB2312"/>
          <w:color w:val="auto"/>
          <w:spacing w:val="17"/>
          <w:sz w:val="32"/>
          <w:szCs w:val="32"/>
          <w:highlight w:val="none"/>
          <w:shd w:val="clear" w:color="auto" w:fill="auto"/>
          <w:lang w:val="en-US" w:eastAsia="zh-CN"/>
        </w:rPr>
        <w:t>40</w:t>
      </w:r>
      <w:r>
        <w:rPr>
          <w:rFonts w:eastAsia="仿宋_GB2312"/>
          <w:color w:val="auto"/>
          <w:spacing w:val="17"/>
          <w:sz w:val="32"/>
          <w:szCs w:val="32"/>
          <w:highlight w:val="none"/>
          <w:shd w:val="clear" w:color="auto" w:fill="auto"/>
        </w:rPr>
        <w:t>分，项目效益权重为</w:t>
      </w:r>
      <w:r>
        <w:rPr>
          <w:rFonts w:hint="eastAsia" w:eastAsia="仿宋_GB2312"/>
          <w:color w:val="auto"/>
          <w:spacing w:val="17"/>
          <w:sz w:val="32"/>
          <w:szCs w:val="32"/>
          <w:highlight w:val="none"/>
          <w:shd w:val="clear" w:color="auto" w:fill="auto"/>
          <w:lang w:val="en-US" w:eastAsia="zh-CN"/>
        </w:rPr>
        <w:t>20</w:t>
      </w:r>
      <w:r>
        <w:rPr>
          <w:rFonts w:eastAsia="仿宋_GB2312"/>
          <w:color w:val="auto"/>
          <w:spacing w:val="17"/>
          <w:sz w:val="32"/>
          <w:szCs w:val="32"/>
          <w:highlight w:val="none"/>
          <w:shd w:val="clear" w:color="auto" w:fill="auto"/>
        </w:rPr>
        <w:t>分。</w:t>
      </w:r>
    </w:p>
    <w:p>
      <w:pPr>
        <w:shd w:val="clear"/>
        <w:spacing w:line="600" w:lineRule="exact"/>
        <w:ind w:firstLine="708" w:firstLineChars="200"/>
        <w:rPr>
          <w:rFonts w:eastAsia="仿宋_GB2312"/>
          <w:color w:val="auto"/>
          <w:spacing w:val="17"/>
          <w:sz w:val="32"/>
          <w:szCs w:val="32"/>
          <w:highlight w:val="none"/>
          <w:shd w:val="clear" w:color="auto" w:fill="auto"/>
        </w:rPr>
      </w:pPr>
      <w:r>
        <w:rPr>
          <w:rFonts w:eastAsia="仿宋_GB2312"/>
          <w:color w:val="auto"/>
          <w:spacing w:val="17"/>
          <w:sz w:val="32"/>
          <w:szCs w:val="32"/>
          <w:highlight w:val="none"/>
          <w:shd w:val="clear" w:color="auto" w:fill="auto"/>
        </w:rPr>
        <w:t>（3）确定指标标准值</w:t>
      </w:r>
    </w:p>
    <w:p>
      <w:pPr>
        <w:shd w:val="clear"/>
        <w:spacing w:line="600" w:lineRule="exact"/>
        <w:ind w:firstLine="708" w:firstLineChars="200"/>
        <w:rPr>
          <w:rFonts w:eastAsia="仿宋_GB2312"/>
          <w:color w:val="auto"/>
          <w:spacing w:val="17"/>
          <w:sz w:val="32"/>
          <w:szCs w:val="32"/>
          <w:highlight w:val="none"/>
          <w:shd w:val="clear" w:color="auto" w:fill="auto"/>
        </w:rPr>
      </w:pPr>
      <w:r>
        <w:rPr>
          <w:rFonts w:eastAsia="仿宋_GB2312"/>
          <w:color w:val="auto"/>
          <w:spacing w:val="17"/>
          <w:sz w:val="32"/>
          <w:szCs w:val="32"/>
          <w:highlight w:val="none"/>
          <w:shd w:val="clear" w:color="auto" w:fill="auto"/>
        </w:rPr>
        <w:t>指标标准值是绩效评价指标的尺度，既要反映同类项目的先进水平，又要符合项目的实际绩效水平。具体采用计划标准等确定此次绩效评价指标标准值。</w:t>
      </w:r>
    </w:p>
    <w:p>
      <w:pPr>
        <w:pStyle w:val="2"/>
        <w:shd w:val="clear"/>
        <w:spacing w:before="0" w:after="0" w:line="600" w:lineRule="exact"/>
        <w:ind w:firstLine="708" w:firstLineChars="200"/>
        <w:jc w:val="both"/>
        <w:rPr>
          <w:rFonts w:ascii="Times New Roman" w:hAnsi="Times New Roman" w:eastAsia="仿宋_GB2312"/>
          <w:b w:val="0"/>
          <w:bCs w:val="0"/>
          <w:color w:val="auto"/>
          <w:spacing w:val="17"/>
          <w:kern w:val="2"/>
          <w:highlight w:val="none"/>
          <w:shd w:val="clear" w:color="auto" w:fill="auto"/>
        </w:rPr>
      </w:pPr>
      <w:r>
        <w:rPr>
          <w:rFonts w:ascii="Times New Roman" w:hAnsi="Times New Roman" w:eastAsia="仿宋_GB2312"/>
          <w:b w:val="0"/>
          <w:bCs w:val="0"/>
          <w:color w:val="auto"/>
          <w:spacing w:val="17"/>
          <w:kern w:val="2"/>
          <w:highlight w:val="none"/>
          <w:shd w:val="clear" w:color="auto" w:fill="auto"/>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hd w:val="clear"/>
        <w:spacing w:before="0" w:after="0" w:line="600" w:lineRule="exact"/>
        <w:ind w:firstLine="708" w:firstLineChars="200"/>
        <w:jc w:val="both"/>
        <w:outlineLvl w:val="9"/>
        <w:rPr>
          <w:rFonts w:ascii="Times New Roman" w:hAnsi="Times New Roman" w:eastAsia="仿宋_GB2312"/>
          <w:b w:val="0"/>
          <w:bCs w:val="0"/>
          <w:color w:val="auto"/>
          <w:spacing w:val="17"/>
          <w:highlight w:val="none"/>
          <w:shd w:val="clear" w:color="auto" w:fill="auto"/>
        </w:rPr>
      </w:pPr>
      <w:r>
        <w:rPr>
          <w:rFonts w:ascii="Times New Roman" w:hAnsi="Times New Roman" w:eastAsia="仿宋_GB2312"/>
          <w:b w:val="0"/>
          <w:bCs w:val="0"/>
          <w:color w:val="auto"/>
          <w:spacing w:val="17"/>
          <w:highlight w:val="none"/>
          <w:shd w:val="clear" w:color="auto" w:fill="auto"/>
        </w:rPr>
        <w:t>具体评价指标体系详情见附件1</w:t>
      </w:r>
    </w:p>
    <w:p>
      <w:pPr>
        <w:pStyle w:val="2"/>
        <w:widowControl w:val="0"/>
        <w:shd w:val="clear"/>
        <w:spacing w:before="0" w:after="0" w:line="600" w:lineRule="exact"/>
        <w:ind w:firstLine="640" w:firstLineChars="200"/>
        <w:jc w:val="both"/>
        <w:outlineLvl w:val="9"/>
        <w:rPr>
          <w:rFonts w:ascii="Times New Roman" w:hAnsi="Times New Roman" w:eastAsia="仿宋_GB2312"/>
          <w:b w:val="0"/>
          <w:bCs w:val="0"/>
          <w:color w:val="auto"/>
          <w:highlight w:val="none"/>
          <w:shd w:val="clear" w:color="auto" w:fill="auto"/>
        </w:rPr>
      </w:pPr>
      <w:r>
        <w:rPr>
          <w:rFonts w:ascii="Times New Roman" w:hAnsi="Times New Roman" w:eastAsia="仿宋_GB2312"/>
          <w:b w:val="0"/>
          <w:bCs w:val="0"/>
          <w:color w:val="auto"/>
          <w:highlight w:val="none"/>
          <w:shd w:val="clear" w:color="auto" w:fill="auto"/>
        </w:rPr>
        <w:t>3、绩效评价方法</w:t>
      </w:r>
    </w:p>
    <w:p>
      <w:pPr>
        <w:shd w:val="clear"/>
        <w:spacing w:line="600" w:lineRule="exact"/>
        <w:ind w:firstLine="708" w:firstLineChars="200"/>
        <w:rPr>
          <w:rFonts w:eastAsia="仿宋_GB2312"/>
          <w:color w:val="auto"/>
          <w:spacing w:val="17"/>
          <w:sz w:val="32"/>
          <w:szCs w:val="32"/>
          <w:highlight w:val="none"/>
          <w:shd w:val="clear" w:color="auto" w:fill="auto"/>
        </w:rPr>
      </w:pPr>
      <w:r>
        <w:rPr>
          <w:rFonts w:eastAsia="仿宋_GB2312"/>
          <w:color w:val="auto"/>
          <w:spacing w:val="17"/>
          <w:sz w:val="32"/>
          <w:szCs w:val="32"/>
          <w:highlight w:val="none"/>
          <w:shd w:val="clear" w:color="auto" w:fill="auto"/>
        </w:rPr>
        <w:t>绩效评价从项目决策、项目过程、项目产出、项目效益四个维度进行评价。评价对象为项目目标实施情况，  评价核心为资金的支出完成情况和项目的产出效益。</w:t>
      </w:r>
    </w:p>
    <w:p>
      <w:pPr>
        <w:shd w:val="clear"/>
        <w:spacing w:line="600" w:lineRule="exact"/>
        <w:ind w:firstLine="708" w:firstLineChars="200"/>
        <w:rPr>
          <w:rFonts w:eastAsia="仿宋_GB2312"/>
          <w:color w:val="auto"/>
          <w:spacing w:val="17"/>
          <w:sz w:val="32"/>
          <w:szCs w:val="32"/>
          <w:highlight w:val="none"/>
          <w:shd w:val="clear" w:color="auto" w:fill="auto"/>
        </w:rPr>
      </w:pPr>
      <w:r>
        <w:rPr>
          <w:rFonts w:eastAsia="仿宋_GB2312"/>
          <w:color w:val="auto"/>
          <w:spacing w:val="17"/>
          <w:sz w:val="32"/>
          <w:szCs w:val="32"/>
          <w:highlight w:val="none"/>
          <w:shd w:val="clear" w:color="auto" w:fill="auto"/>
        </w:rPr>
        <w:t>本次评价指标中，既有定性指标又有定量指标，各类指标因考核内容不同和客观标准不同存在较大差异，因此核定具体指标时采用了不同方法，具体评价方法如下：</w:t>
      </w:r>
    </w:p>
    <w:p>
      <w:pPr>
        <w:shd w:val="clear"/>
        <w:spacing w:line="600" w:lineRule="exact"/>
        <w:ind w:firstLine="708" w:firstLineChars="200"/>
        <w:rPr>
          <w:rFonts w:eastAsia="仿宋_GB2312"/>
          <w:color w:val="auto"/>
          <w:spacing w:val="17"/>
          <w:sz w:val="32"/>
          <w:szCs w:val="32"/>
          <w:highlight w:val="none"/>
          <w:shd w:val="clear" w:color="auto" w:fill="auto"/>
        </w:rPr>
      </w:pPr>
      <w:r>
        <w:rPr>
          <w:rFonts w:eastAsia="仿宋_GB2312"/>
          <w:color w:val="auto"/>
          <w:spacing w:val="17"/>
          <w:sz w:val="32"/>
          <w:szCs w:val="32"/>
          <w:highlight w:val="none"/>
          <w:shd w:val="clear" w:color="auto" w:fill="auto"/>
        </w:rPr>
        <w:t>（1）比较法</w:t>
      </w:r>
    </w:p>
    <w:p>
      <w:pPr>
        <w:shd w:val="clear"/>
        <w:spacing w:line="600" w:lineRule="exact"/>
        <w:ind w:firstLine="708" w:firstLineChars="200"/>
        <w:rPr>
          <w:rFonts w:eastAsia="仿宋_GB2312"/>
          <w:color w:val="auto"/>
          <w:spacing w:val="17"/>
          <w:sz w:val="32"/>
          <w:szCs w:val="32"/>
          <w:highlight w:val="none"/>
          <w:shd w:val="clear" w:color="auto" w:fill="auto"/>
        </w:rPr>
      </w:pPr>
      <w:r>
        <w:rPr>
          <w:rFonts w:eastAsia="仿宋_GB2312"/>
          <w:color w:val="auto"/>
          <w:spacing w:val="17"/>
          <w:sz w:val="32"/>
          <w:szCs w:val="32"/>
          <w:highlight w:val="none"/>
          <w:shd w:val="clear" w:color="auto" w:fill="auto"/>
        </w:rPr>
        <w:t>通过对绩效目标与实施效果、历史与当期情况，综合分析绩效目标实现程度。对</w:t>
      </w:r>
      <w:r>
        <w:rPr>
          <w:rFonts w:eastAsia="仿宋_GB2312"/>
          <w:color w:val="auto"/>
          <w:sz w:val="32"/>
          <w:szCs w:val="32"/>
          <w:highlight w:val="none"/>
          <w:shd w:val="clear" w:color="auto" w:fill="auto"/>
        </w:rPr>
        <w:t>项目</w:t>
      </w:r>
      <w:r>
        <w:rPr>
          <w:rFonts w:eastAsia="仿宋_GB2312"/>
          <w:color w:val="auto"/>
          <w:spacing w:val="17"/>
          <w:sz w:val="32"/>
          <w:szCs w:val="32"/>
          <w:highlight w:val="none"/>
          <w:shd w:val="clear" w:color="auto" w:fill="auto"/>
        </w:rPr>
        <w:t>最终验收情况与年度绩效目标对比、预算资金执行情况等相关因素进行比较。</w:t>
      </w:r>
    </w:p>
    <w:p>
      <w:pPr>
        <w:shd w:val="clear"/>
        <w:spacing w:line="600" w:lineRule="exact"/>
        <w:ind w:firstLine="708" w:firstLineChars="200"/>
        <w:rPr>
          <w:rFonts w:eastAsia="仿宋_GB2312"/>
          <w:color w:val="auto"/>
          <w:spacing w:val="17"/>
          <w:sz w:val="32"/>
          <w:szCs w:val="32"/>
          <w:highlight w:val="none"/>
          <w:shd w:val="clear" w:color="auto" w:fill="auto"/>
        </w:rPr>
      </w:pPr>
      <w:r>
        <w:rPr>
          <w:rFonts w:eastAsia="仿宋_GB2312"/>
          <w:color w:val="auto"/>
          <w:spacing w:val="17"/>
          <w:sz w:val="32"/>
          <w:szCs w:val="32"/>
          <w:highlight w:val="none"/>
          <w:shd w:val="clear" w:color="auto" w:fill="auto"/>
        </w:rPr>
        <w:t>（2）因素分析法</w:t>
      </w:r>
    </w:p>
    <w:p>
      <w:pPr>
        <w:shd w:val="clear"/>
        <w:spacing w:line="600" w:lineRule="exact"/>
        <w:ind w:firstLine="708" w:firstLineChars="200"/>
        <w:rPr>
          <w:rFonts w:eastAsia="仿宋_GB2312"/>
          <w:color w:val="auto"/>
          <w:spacing w:val="17"/>
          <w:sz w:val="32"/>
          <w:szCs w:val="32"/>
          <w:highlight w:val="none"/>
          <w:shd w:val="clear" w:color="auto" w:fill="auto"/>
        </w:rPr>
      </w:pPr>
      <w:r>
        <w:rPr>
          <w:rFonts w:eastAsia="仿宋_GB2312"/>
          <w:color w:val="auto"/>
          <w:spacing w:val="17"/>
          <w:sz w:val="32"/>
          <w:szCs w:val="32"/>
          <w:highlight w:val="none"/>
          <w:shd w:val="clear" w:color="auto" w:fill="auto"/>
        </w:rPr>
        <w:t>通过综合分析影响绩效目标实现、实施效果的内外因素，评价绩效目标实现程度。通过对</w:t>
      </w:r>
      <w:r>
        <w:rPr>
          <w:rFonts w:eastAsia="仿宋_GB2312"/>
          <w:color w:val="auto"/>
          <w:sz w:val="32"/>
          <w:szCs w:val="32"/>
          <w:highlight w:val="none"/>
          <w:shd w:val="clear" w:color="auto" w:fill="auto"/>
        </w:rPr>
        <w:t>项目</w:t>
      </w:r>
      <w:r>
        <w:rPr>
          <w:rFonts w:eastAsia="仿宋_GB2312"/>
          <w:color w:val="auto"/>
          <w:spacing w:val="17"/>
          <w:sz w:val="32"/>
          <w:szCs w:val="32"/>
          <w:highlight w:val="none"/>
          <w:shd w:val="clear" w:color="auto" w:fill="auto"/>
        </w:rPr>
        <w:t>的开展情况、项目产出数量、成本控制、资金拨付文件及自评报告等相关资料的收集和审核，综合分析各因素对绩效目标实现的影响。</w:t>
      </w:r>
    </w:p>
    <w:p>
      <w:pPr>
        <w:pStyle w:val="2"/>
        <w:widowControl w:val="0"/>
        <w:shd w:val="clear"/>
        <w:spacing w:before="0" w:after="0" w:line="600" w:lineRule="exact"/>
        <w:ind w:firstLine="640" w:firstLineChars="200"/>
        <w:jc w:val="both"/>
        <w:outlineLvl w:val="9"/>
        <w:rPr>
          <w:rFonts w:ascii="Times New Roman" w:hAnsi="Times New Roman" w:eastAsia="仿宋_GB2312"/>
          <w:b w:val="0"/>
          <w:bCs w:val="0"/>
          <w:color w:val="auto"/>
          <w:highlight w:val="none"/>
          <w:shd w:val="clear" w:color="auto" w:fill="auto"/>
        </w:rPr>
      </w:pPr>
      <w:r>
        <w:rPr>
          <w:rFonts w:ascii="Times New Roman" w:hAnsi="Times New Roman" w:eastAsia="仿宋_GB2312"/>
          <w:b w:val="0"/>
          <w:bCs w:val="0"/>
          <w:color w:val="auto"/>
          <w:highlight w:val="none"/>
          <w:shd w:val="clear" w:color="auto" w:fill="auto"/>
        </w:rPr>
        <w:t>4、评价标准</w:t>
      </w:r>
    </w:p>
    <w:p>
      <w:pPr>
        <w:shd w:val="clear"/>
        <w:spacing w:line="560" w:lineRule="exact"/>
        <w:ind w:firstLine="640"/>
        <w:rPr>
          <w:rFonts w:eastAsia="仿宋_GB2312"/>
          <w:color w:val="auto"/>
          <w:spacing w:val="17"/>
          <w:sz w:val="32"/>
          <w:szCs w:val="32"/>
          <w:highlight w:val="none"/>
          <w:shd w:val="clear" w:color="auto" w:fill="auto"/>
        </w:rPr>
      </w:pPr>
      <w:r>
        <w:rPr>
          <w:rFonts w:eastAsia="仿宋_GB2312"/>
          <w:color w:val="auto"/>
          <w:spacing w:val="17"/>
          <w:sz w:val="32"/>
          <w:szCs w:val="32"/>
          <w:highlight w:val="none"/>
          <w:shd w:val="clear" w:color="auto" w:fill="auto"/>
        </w:rPr>
        <w:t>绩效评价标准通常包括计划标准、行业标准、历史标准等，用于对绩效指标完成情况进行比较。本次评价主要采用了计划标准和行业标准。</w:t>
      </w:r>
      <w:bookmarkStart w:id="1" w:name="_Toc17882"/>
      <w:bookmarkStart w:id="2" w:name="_Toc31464"/>
    </w:p>
    <w:p>
      <w:pPr>
        <w:shd w:val="clear"/>
        <w:spacing w:line="560" w:lineRule="exact"/>
        <w:ind w:firstLine="640"/>
        <w:rPr>
          <w:rFonts w:eastAsia="方正仿宋_GBK" w:cs="方正仿宋_GBK"/>
          <w:color w:val="auto"/>
          <w:sz w:val="32"/>
          <w:szCs w:val="32"/>
          <w:highlight w:val="none"/>
          <w:shd w:val="clear" w:color="auto" w:fill="auto"/>
        </w:rPr>
      </w:pPr>
      <w:r>
        <w:rPr>
          <w:rFonts w:hint="eastAsia" w:eastAsia="方正仿宋_GBK" w:cs="方正仿宋_GBK"/>
          <w:b/>
          <w:bCs/>
          <w:color w:val="auto"/>
          <w:sz w:val="32"/>
          <w:szCs w:val="32"/>
          <w:highlight w:val="none"/>
          <w:shd w:val="clear" w:color="auto" w:fill="auto"/>
        </w:rPr>
        <w:t>计划标准：</w:t>
      </w:r>
      <w:r>
        <w:rPr>
          <w:rFonts w:hint="eastAsia" w:eastAsia="方正仿宋_GBK" w:cs="方正仿宋_GBK"/>
          <w:color w:val="auto"/>
          <w:sz w:val="32"/>
          <w:szCs w:val="32"/>
          <w:highlight w:val="none"/>
          <w:shd w:val="clear" w:color="auto" w:fill="auto"/>
        </w:rPr>
        <w:t>指以预先制定的目标、计划、预算、定额等作为评价标准。</w:t>
      </w:r>
      <w:bookmarkEnd w:id="1"/>
      <w:bookmarkEnd w:id="2"/>
    </w:p>
    <w:p>
      <w:pPr>
        <w:shd w:val="clear"/>
        <w:spacing w:line="560" w:lineRule="exact"/>
        <w:ind w:firstLine="640"/>
        <w:rPr>
          <w:rFonts w:eastAsia="方正仿宋_GBK" w:cs="方正仿宋_GBK"/>
          <w:color w:val="auto"/>
          <w:sz w:val="32"/>
          <w:szCs w:val="32"/>
          <w:highlight w:val="none"/>
          <w:shd w:val="clear" w:color="auto" w:fill="auto"/>
        </w:rPr>
      </w:pPr>
      <w:bookmarkStart w:id="3" w:name="_Toc2318"/>
      <w:bookmarkStart w:id="4" w:name="_Toc5633"/>
      <w:r>
        <w:rPr>
          <w:rFonts w:hint="eastAsia" w:eastAsia="方正仿宋_GBK" w:cs="方正仿宋_GBK"/>
          <w:b/>
          <w:bCs/>
          <w:color w:val="auto"/>
          <w:sz w:val="32"/>
          <w:szCs w:val="32"/>
          <w:highlight w:val="none"/>
          <w:shd w:val="clear" w:color="auto" w:fill="auto"/>
        </w:rPr>
        <w:t>行业标准：</w:t>
      </w:r>
      <w:r>
        <w:rPr>
          <w:rFonts w:hint="eastAsia" w:eastAsia="方正仿宋_GBK" w:cs="方正仿宋_GBK"/>
          <w:color w:val="auto"/>
          <w:sz w:val="32"/>
          <w:szCs w:val="32"/>
          <w:highlight w:val="none"/>
          <w:shd w:val="clear" w:color="auto" w:fill="auto"/>
        </w:rPr>
        <w:t>指参照国家公布的行业指标数据制定的评价标准。</w:t>
      </w:r>
      <w:bookmarkEnd w:id="3"/>
      <w:bookmarkEnd w:id="4"/>
    </w:p>
    <w:p>
      <w:pPr>
        <w:shd w:val="clear"/>
        <w:spacing w:line="600" w:lineRule="exact"/>
        <w:ind w:firstLine="643" w:firstLineChars="200"/>
        <w:rPr>
          <w:rFonts w:eastAsia="仿宋_GB2312"/>
          <w:color w:val="auto"/>
          <w:spacing w:val="17"/>
          <w:sz w:val="32"/>
          <w:szCs w:val="32"/>
          <w:highlight w:val="none"/>
          <w:shd w:val="clear" w:color="auto" w:fill="auto"/>
        </w:rPr>
      </w:pPr>
      <w:bookmarkStart w:id="5" w:name="_Toc430"/>
      <w:bookmarkStart w:id="6" w:name="_Toc16028"/>
      <w:r>
        <w:rPr>
          <w:rFonts w:hint="eastAsia" w:eastAsia="方正仿宋_GBK" w:cs="方正仿宋_GBK"/>
          <w:b/>
          <w:bCs/>
          <w:color w:val="auto"/>
          <w:sz w:val="32"/>
          <w:szCs w:val="32"/>
          <w:highlight w:val="none"/>
          <w:shd w:val="clear" w:color="auto" w:fill="auto"/>
        </w:rPr>
        <w:t>历史标准：</w:t>
      </w:r>
      <w:r>
        <w:rPr>
          <w:rFonts w:hint="eastAsia" w:eastAsia="方正仿宋_GBK" w:cs="方正仿宋_GBK"/>
          <w:color w:val="auto"/>
          <w:sz w:val="32"/>
          <w:szCs w:val="32"/>
          <w:highlight w:val="none"/>
          <w:shd w:val="clear" w:color="auto" w:fill="auto"/>
        </w:rPr>
        <w:t>指参照历史数据制定的评价标准，为体现绩效改进的原则，在可实现的条件下应当确定相对较高的评价标准。</w:t>
      </w:r>
      <w:bookmarkEnd w:id="5"/>
      <w:bookmarkEnd w:id="6"/>
    </w:p>
    <w:p>
      <w:pPr>
        <w:pStyle w:val="2"/>
        <w:numPr>
          <w:ilvl w:val="0"/>
          <w:numId w:val="2"/>
        </w:numPr>
        <w:shd w:val="clear"/>
        <w:spacing w:before="0" w:after="0" w:line="600" w:lineRule="exact"/>
        <w:ind w:firstLine="711" w:firstLineChars="200"/>
        <w:jc w:val="both"/>
        <w:rPr>
          <w:rFonts w:ascii="楷体" w:hAnsi="楷体" w:eastAsia="楷体" w:cs="楷体"/>
          <w:color w:val="auto"/>
          <w:spacing w:val="17"/>
          <w:highlight w:val="none"/>
          <w:shd w:val="clear" w:color="auto" w:fill="auto"/>
        </w:rPr>
      </w:pPr>
      <w:r>
        <w:rPr>
          <w:rFonts w:hint="eastAsia" w:ascii="楷体" w:hAnsi="楷体" w:eastAsia="楷体" w:cs="楷体"/>
          <w:color w:val="auto"/>
          <w:spacing w:val="17"/>
          <w:highlight w:val="none"/>
          <w:shd w:val="clear" w:color="auto" w:fill="auto"/>
        </w:rPr>
        <w:t>绩效评价工作过程</w:t>
      </w:r>
    </w:p>
    <w:p>
      <w:pPr>
        <w:numPr>
          <w:ilvl w:val="0"/>
          <w:numId w:val="3"/>
        </w:numPr>
        <w:shd w:val="clear"/>
        <w:spacing w:line="600" w:lineRule="exact"/>
        <w:ind w:firstLine="640" w:firstLineChars="200"/>
        <w:rPr>
          <w:rFonts w:eastAsia="仿宋_GB2312"/>
          <w:bCs/>
          <w:color w:val="auto"/>
          <w:sz w:val="32"/>
          <w:szCs w:val="32"/>
          <w:highlight w:val="none"/>
          <w:shd w:val="clear" w:color="auto" w:fill="auto"/>
        </w:rPr>
      </w:pPr>
      <w:r>
        <w:rPr>
          <w:rFonts w:hint="eastAsia" w:eastAsia="仿宋_GB2312"/>
          <w:bCs/>
          <w:color w:val="auto"/>
          <w:sz w:val="32"/>
          <w:szCs w:val="32"/>
          <w:highlight w:val="none"/>
          <w:shd w:val="clear" w:color="auto" w:fill="auto"/>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3"/>
        </w:numPr>
        <w:shd w:val="clear"/>
        <w:spacing w:line="600" w:lineRule="exact"/>
        <w:ind w:firstLine="640" w:firstLineChars="200"/>
        <w:rPr>
          <w:rFonts w:eastAsia="仿宋_GB2312"/>
          <w:bCs/>
          <w:color w:val="auto"/>
          <w:sz w:val="32"/>
          <w:szCs w:val="32"/>
          <w:highlight w:val="none"/>
          <w:shd w:val="clear" w:color="auto" w:fill="auto"/>
        </w:rPr>
      </w:pPr>
      <w:r>
        <w:rPr>
          <w:rFonts w:hint="eastAsia" w:eastAsia="仿宋_GB2312"/>
          <w:bCs/>
          <w:color w:val="auto"/>
          <w:sz w:val="32"/>
          <w:szCs w:val="32"/>
          <w:highlight w:val="none"/>
          <w:shd w:val="clear" w:color="auto" w:fill="auto"/>
        </w:rPr>
        <w:t>组织实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3"/>
        </w:numPr>
        <w:shd w:val="clear"/>
        <w:spacing w:line="600" w:lineRule="exact"/>
        <w:ind w:firstLine="640" w:firstLineChars="200"/>
        <w:rPr>
          <w:color w:val="auto"/>
          <w:sz w:val="32"/>
          <w:szCs w:val="32"/>
          <w:highlight w:val="none"/>
          <w:shd w:val="clear" w:color="auto" w:fill="auto"/>
        </w:rPr>
      </w:pPr>
      <w:r>
        <w:rPr>
          <w:rFonts w:hint="eastAsia" w:eastAsia="仿宋_GB2312"/>
          <w:bCs/>
          <w:color w:val="auto"/>
          <w:sz w:val="32"/>
          <w:szCs w:val="32"/>
          <w:highlight w:val="none"/>
          <w:shd w:val="clear" w:color="auto" w:fill="auto"/>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4"/>
        </w:numPr>
        <w:shd w:val="clear"/>
        <w:spacing w:line="600" w:lineRule="exact"/>
        <w:ind w:firstLine="640" w:firstLineChars="200"/>
        <w:rPr>
          <w:rFonts w:eastAsia="黑体"/>
          <w:color w:val="auto"/>
          <w:sz w:val="32"/>
          <w:szCs w:val="32"/>
          <w:highlight w:val="none"/>
          <w:shd w:val="clear" w:color="auto" w:fill="auto"/>
        </w:rPr>
      </w:pPr>
      <w:r>
        <w:rPr>
          <w:rFonts w:eastAsia="黑体"/>
          <w:color w:val="auto"/>
          <w:sz w:val="32"/>
          <w:szCs w:val="32"/>
          <w:highlight w:val="none"/>
          <w:shd w:val="clear" w:color="auto" w:fill="auto"/>
        </w:rPr>
        <w:t>综合评价情况及评价结论（附相关评分表）</w:t>
      </w:r>
    </w:p>
    <w:p>
      <w:pPr>
        <w:pStyle w:val="2"/>
        <w:widowControl w:val="0"/>
        <w:shd w:val="clear"/>
        <w:spacing w:before="0" w:after="0" w:line="600" w:lineRule="exact"/>
        <w:ind w:firstLine="640" w:firstLineChars="200"/>
        <w:jc w:val="both"/>
        <w:outlineLvl w:val="9"/>
        <w:rPr>
          <w:rFonts w:ascii="Times New Roman" w:hAnsi="Times New Roman" w:eastAsia="仿宋_GB2312"/>
          <w:color w:val="auto"/>
          <w:sz w:val="30"/>
          <w:szCs w:val="30"/>
          <w:highlight w:val="none"/>
          <w:shd w:val="clear" w:color="auto" w:fill="auto"/>
        </w:rPr>
      </w:pPr>
      <w:r>
        <w:rPr>
          <w:rFonts w:ascii="Times New Roman" w:hAnsi="Times New Roman" w:eastAsia="仿宋_GB2312"/>
          <w:b w:val="0"/>
          <w:bCs w:val="0"/>
          <w:color w:val="auto"/>
          <w:highlight w:val="none"/>
          <w:shd w:val="clear" w:color="auto" w:fill="auto"/>
        </w:rPr>
        <w:t>对</w:t>
      </w:r>
      <w:r>
        <w:rPr>
          <w:rFonts w:hint="eastAsia" w:ascii="Times New Roman" w:hAnsi="Times New Roman" w:eastAsia="仿宋_GB2312" w:cs="Times New Roman"/>
          <w:b w:val="0"/>
          <w:bCs w:val="0"/>
          <w:color w:val="auto"/>
          <w:highlight w:val="none"/>
          <w:shd w:val="clear" w:color="auto" w:fill="auto"/>
          <w:lang w:eastAsia="zh-CN"/>
        </w:rPr>
        <w:t>自治区农业农村发展创新与服务</w:t>
      </w:r>
      <w:r>
        <w:rPr>
          <w:rFonts w:ascii="Times New Roman" w:hAnsi="Times New Roman" w:eastAsia="仿宋_GB2312" w:cs="Times New Roman"/>
          <w:b w:val="0"/>
          <w:bCs w:val="0"/>
          <w:color w:val="auto"/>
          <w:highlight w:val="none"/>
          <w:shd w:val="clear" w:color="auto" w:fill="auto"/>
        </w:rPr>
        <w:t xml:space="preserve">项目进行客观评价，最终评分结果：总得分为 </w:t>
      </w:r>
      <w:r>
        <w:rPr>
          <w:rFonts w:hint="eastAsia" w:ascii="Times New Roman" w:hAnsi="Times New Roman" w:eastAsia="仿宋_GB2312" w:cs="Times New Roman"/>
          <w:b w:val="0"/>
          <w:bCs w:val="0"/>
          <w:color w:val="auto"/>
          <w:highlight w:val="none"/>
          <w:shd w:val="clear" w:color="auto" w:fill="auto"/>
          <w:lang w:val="en-US" w:eastAsia="zh-CN"/>
        </w:rPr>
        <w:t>100</w:t>
      </w:r>
      <w:r>
        <w:rPr>
          <w:rFonts w:ascii="Times New Roman" w:hAnsi="Times New Roman" w:eastAsia="仿宋_GB2312" w:cs="Times New Roman"/>
          <w:b w:val="0"/>
          <w:bCs w:val="0"/>
          <w:color w:val="auto"/>
          <w:highlight w:val="none"/>
          <w:shd w:val="clear" w:color="auto" w:fill="auto"/>
        </w:rPr>
        <w:t>分，属于“优”。其中，项目决策类指标权重为</w:t>
      </w:r>
      <w:r>
        <w:rPr>
          <w:rFonts w:hint="eastAsia" w:ascii="Times New Roman" w:hAnsi="Times New Roman" w:eastAsia="仿宋_GB2312" w:cs="Times New Roman"/>
          <w:b w:val="0"/>
          <w:bCs w:val="0"/>
          <w:color w:val="auto"/>
          <w:highlight w:val="none"/>
          <w:shd w:val="clear" w:color="auto" w:fill="auto"/>
        </w:rPr>
        <w:t>20</w:t>
      </w:r>
      <w:r>
        <w:rPr>
          <w:rFonts w:ascii="Times New Roman" w:hAnsi="Times New Roman" w:eastAsia="仿宋_GB2312" w:cs="Times New Roman"/>
          <w:b w:val="0"/>
          <w:bCs w:val="0"/>
          <w:color w:val="auto"/>
          <w:highlight w:val="none"/>
          <w:shd w:val="clear" w:color="auto" w:fill="auto"/>
        </w:rPr>
        <w:t xml:space="preserve">分，得分为 </w:t>
      </w:r>
      <w:r>
        <w:rPr>
          <w:rFonts w:hint="eastAsia" w:ascii="Times New Roman" w:hAnsi="Times New Roman" w:eastAsia="仿宋_GB2312" w:cs="Times New Roman"/>
          <w:b w:val="0"/>
          <w:bCs w:val="0"/>
          <w:color w:val="auto"/>
          <w:highlight w:val="none"/>
          <w:shd w:val="clear" w:color="auto" w:fill="auto"/>
          <w:lang w:val="en-US" w:eastAsia="zh-CN"/>
        </w:rPr>
        <w:t>20</w:t>
      </w:r>
      <w:r>
        <w:rPr>
          <w:rFonts w:ascii="Times New Roman" w:hAnsi="Times New Roman" w:eastAsia="仿宋_GB2312" w:cs="Times New Roman"/>
          <w:b w:val="0"/>
          <w:bCs w:val="0"/>
          <w:color w:val="auto"/>
          <w:highlight w:val="none"/>
          <w:shd w:val="clear" w:color="auto" w:fill="auto"/>
        </w:rPr>
        <w:t xml:space="preserve">分，得分率为 </w:t>
      </w:r>
      <w:r>
        <w:rPr>
          <w:rFonts w:hint="eastAsia" w:ascii="Times New Roman" w:hAnsi="Times New Roman" w:eastAsia="仿宋_GB2312" w:cs="Times New Roman"/>
          <w:b w:val="0"/>
          <w:bCs w:val="0"/>
          <w:color w:val="auto"/>
          <w:highlight w:val="none"/>
          <w:shd w:val="clear" w:color="auto" w:fill="auto"/>
          <w:lang w:val="en-US" w:eastAsia="zh-CN"/>
        </w:rPr>
        <w:t>100</w:t>
      </w:r>
      <w:r>
        <w:rPr>
          <w:rFonts w:ascii="Times New Roman" w:hAnsi="Times New Roman" w:eastAsia="仿宋_GB2312" w:cs="Times New Roman"/>
          <w:b w:val="0"/>
          <w:bCs w:val="0"/>
          <w:color w:val="auto"/>
          <w:highlight w:val="none"/>
          <w:shd w:val="clear" w:color="auto" w:fill="auto"/>
        </w:rPr>
        <w:t>%。项目过程类指标权重为</w:t>
      </w:r>
      <w:r>
        <w:rPr>
          <w:rFonts w:hint="eastAsia" w:ascii="Times New Roman" w:hAnsi="Times New Roman" w:eastAsia="仿宋_GB2312" w:cs="Times New Roman"/>
          <w:b w:val="0"/>
          <w:bCs w:val="0"/>
          <w:color w:val="auto"/>
          <w:highlight w:val="none"/>
          <w:shd w:val="clear" w:color="auto" w:fill="auto"/>
        </w:rPr>
        <w:t>20</w:t>
      </w:r>
      <w:r>
        <w:rPr>
          <w:rFonts w:ascii="Times New Roman" w:hAnsi="Times New Roman" w:eastAsia="仿宋_GB2312" w:cs="Times New Roman"/>
          <w:b w:val="0"/>
          <w:bCs w:val="0"/>
          <w:color w:val="auto"/>
          <w:highlight w:val="none"/>
          <w:shd w:val="clear" w:color="auto" w:fill="auto"/>
        </w:rPr>
        <w:t>分，得分为</w:t>
      </w:r>
      <w:r>
        <w:rPr>
          <w:rFonts w:hint="eastAsia" w:ascii="Times New Roman" w:hAnsi="Times New Roman" w:eastAsia="仿宋_GB2312" w:cs="Times New Roman"/>
          <w:b w:val="0"/>
          <w:bCs w:val="0"/>
          <w:color w:val="auto"/>
          <w:highlight w:val="none"/>
          <w:shd w:val="clear" w:color="auto" w:fill="auto"/>
          <w:lang w:val="en-US" w:eastAsia="zh-CN"/>
        </w:rPr>
        <w:t>20</w:t>
      </w:r>
      <w:r>
        <w:rPr>
          <w:rFonts w:ascii="Times New Roman" w:hAnsi="Times New Roman" w:eastAsia="仿宋_GB2312" w:cs="Times New Roman"/>
          <w:b w:val="0"/>
          <w:bCs w:val="0"/>
          <w:color w:val="auto"/>
          <w:highlight w:val="none"/>
          <w:shd w:val="clear" w:color="auto" w:fill="auto"/>
        </w:rPr>
        <w:t xml:space="preserve">分，得分率为 </w:t>
      </w:r>
      <w:r>
        <w:rPr>
          <w:rFonts w:hint="eastAsia" w:ascii="Times New Roman" w:hAnsi="Times New Roman" w:eastAsia="仿宋_GB2312" w:cs="Times New Roman"/>
          <w:b w:val="0"/>
          <w:bCs w:val="0"/>
          <w:color w:val="auto"/>
          <w:highlight w:val="none"/>
          <w:shd w:val="clear" w:color="auto" w:fill="auto"/>
          <w:lang w:val="en-US" w:eastAsia="zh-CN"/>
        </w:rPr>
        <w:t>100</w:t>
      </w:r>
      <w:r>
        <w:rPr>
          <w:rFonts w:ascii="Times New Roman" w:hAnsi="Times New Roman" w:eastAsia="仿宋_GB2312" w:cs="Times New Roman"/>
          <w:b w:val="0"/>
          <w:bCs w:val="0"/>
          <w:color w:val="auto"/>
          <w:highlight w:val="none"/>
          <w:shd w:val="clear" w:color="auto" w:fill="auto"/>
        </w:rPr>
        <w:t>%。项目产出类指标权重为</w:t>
      </w:r>
      <w:r>
        <w:rPr>
          <w:rFonts w:hint="eastAsia" w:ascii="Times New Roman" w:hAnsi="Times New Roman" w:eastAsia="仿宋_GB2312" w:cs="Times New Roman"/>
          <w:b w:val="0"/>
          <w:bCs w:val="0"/>
          <w:color w:val="auto"/>
          <w:highlight w:val="none"/>
          <w:shd w:val="clear" w:color="auto" w:fill="auto"/>
        </w:rPr>
        <w:t>40</w:t>
      </w:r>
      <w:r>
        <w:rPr>
          <w:rFonts w:ascii="Times New Roman" w:hAnsi="Times New Roman" w:eastAsia="仿宋_GB2312" w:cs="Times New Roman"/>
          <w:b w:val="0"/>
          <w:bCs w:val="0"/>
          <w:color w:val="auto"/>
          <w:highlight w:val="none"/>
          <w:shd w:val="clear" w:color="auto" w:fill="auto"/>
        </w:rPr>
        <w:t>分，得分为</w:t>
      </w:r>
      <w:r>
        <w:rPr>
          <w:rFonts w:hint="eastAsia" w:ascii="Times New Roman" w:hAnsi="Times New Roman" w:eastAsia="仿宋_GB2312" w:cs="Times New Roman"/>
          <w:b w:val="0"/>
          <w:bCs w:val="0"/>
          <w:color w:val="auto"/>
          <w:highlight w:val="none"/>
          <w:shd w:val="clear" w:color="auto" w:fill="auto"/>
          <w:lang w:val="en-US" w:eastAsia="zh-CN"/>
        </w:rPr>
        <w:t>40</w:t>
      </w:r>
      <w:r>
        <w:rPr>
          <w:rFonts w:ascii="Times New Roman" w:hAnsi="Times New Roman" w:eastAsia="仿宋_GB2312" w:cs="Times New Roman"/>
          <w:b w:val="0"/>
          <w:bCs w:val="0"/>
          <w:color w:val="auto"/>
          <w:highlight w:val="none"/>
          <w:shd w:val="clear" w:color="auto" w:fill="auto"/>
        </w:rPr>
        <w:t xml:space="preserve">分，得分率为 </w:t>
      </w:r>
      <w:r>
        <w:rPr>
          <w:rFonts w:hint="eastAsia" w:ascii="Times New Roman" w:hAnsi="Times New Roman" w:eastAsia="仿宋_GB2312" w:cs="Times New Roman"/>
          <w:b w:val="0"/>
          <w:bCs w:val="0"/>
          <w:color w:val="auto"/>
          <w:highlight w:val="none"/>
          <w:shd w:val="clear" w:color="auto" w:fill="auto"/>
          <w:lang w:val="en-US" w:eastAsia="zh-CN"/>
        </w:rPr>
        <w:t>100</w:t>
      </w:r>
      <w:r>
        <w:rPr>
          <w:rFonts w:ascii="Times New Roman" w:hAnsi="Times New Roman" w:eastAsia="仿宋_GB2312" w:cs="Times New Roman"/>
          <w:b w:val="0"/>
          <w:bCs w:val="0"/>
          <w:color w:val="auto"/>
          <w:highlight w:val="none"/>
          <w:shd w:val="clear" w:color="auto" w:fill="auto"/>
        </w:rPr>
        <w:t>%。项目效益类指标权重为</w:t>
      </w:r>
      <w:r>
        <w:rPr>
          <w:rFonts w:hint="eastAsia" w:ascii="Times New Roman" w:hAnsi="Times New Roman" w:eastAsia="仿宋_GB2312" w:cs="Times New Roman"/>
          <w:b w:val="0"/>
          <w:bCs w:val="0"/>
          <w:color w:val="auto"/>
          <w:highlight w:val="none"/>
          <w:shd w:val="clear" w:color="auto" w:fill="auto"/>
        </w:rPr>
        <w:t>20</w:t>
      </w:r>
      <w:r>
        <w:rPr>
          <w:rFonts w:ascii="Times New Roman" w:hAnsi="Times New Roman" w:eastAsia="仿宋_GB2312" w:cs="Times New Roman"/>
          <w:b w:val="0"/>
          <w:bCs w:val="0"/>
          <w:color w:val="auto"/>
          <w:highlight w:val="none"/>
          <w:shd w:val="clear" w:color="auto" w:fill="auto"/>
        </w:rPr>
        <w:t>分，得分为</w:t>
      </w:r>
      <w:r>
        <w:rPr>
          <w:rFonts w:hint="eastAsia" w:ascii="Times New Roman" w:hAnsi="Times New Roman" w:eastAsia="仿宋_GB2312" w:cs="Times New Roman"/>
          <w:b w:val="0"/>
          <w:bCs w:val="0"/>
          <w:color w:val="auto"/>
          <w:highlight w:val="none"/>
          <w:shd w:val="clear" w:color="auto" w:fill="auto"/>
          <w:lang w:val="en-US" w:eastAsia="zh-CN"/>
        </w:rPr>
        <w:t>20</w:t>
      </w:r>
      <w:r>
        <w:rPr>
          <w:rFonts w:ascii="Times New Roman" w:hAnsi="Times New Roman" w:eastAsia="仿宋_GB2312" w:cs="Times New Roman"/>
          <w:b w:val="0"/>
          <w:bCs w:val="0"/>
          <w:color w:val="auto"/>
          <w:highlight w:val="none"/>
          <w:shd w:val="clear" w:color="auto" w:fill="auto"/>
        </w:rPr>
        <w:t>分，得分率为</w:t>
      </w:r>
      <w:r>
        <w:rPr>
          <w:rFonts w:hint="eastAsia" w:ascii="Times New Roman" w:hAnsi="Times New Roman" w:eastAsia="仿宋_GB2312" w:cs="Times New Roman"/>
          <w:b w:val="0"/>
          <w:bCs w:val="0"/>
          <w:color w:val="auto"/>
          <w:highlight w:val="none"/>
          <w:shd w:val="clear" w:color="auto" w:fill="auto"/>
          <w:lang w:val="en-US" w:eastAsia="zh-CN"/>
        </w:rPr>
        <w:t>100</w:t>
      </w:r>
      <w:r>
        <w:rPr>
          <w:rFonts w:ascii="Times New Roman" w:hAnsi="Times New Roman" w:eastAsia="仿宋_GB2312" w:cs="Times New Roman"/>
          <w:b w:val="0"/>
          <w:bCs w:val="0"/>
          <w:color w:val="auto"/>
          <w:highlight w:val="none"/>
          <w:shd w:val="clear" w:color="auto" w:fill="auto"/>
        </w:rPr>
        <w:t>%。</w:t>
      </w:r>
    </w:p>
    <w:p>
      <w:pPr>
        <w:pStyle w:val="2"/>
        <w:keepNext w:val="0"/>
        <w:keepLines w:val="0"/>
        <w:pageBreakBefore w:val="0"/>
        <w:widowControl/>
        <w:shd w:val="clear"/>
        <w:kinsoku/>
        <w:wordWrap/>
        <w:overflowPunct/>
        <w:topLinePunct w:val="0"/>
        <w:autoSpaceDE/>
        <w:autoSpaceDN/>
        <w:bidi w:val="0"/>
        <w:adjustRightInd/>
        <w:snapToGrid/>
        <w:spacing w:before="0" w:after="0"/>
        <w:textAlignment w:val="auto"/>
        <w:rPr>
          <w:rFonts w:ascii="Times New Roman" w:hAnsi="Times New Roman" w:eastAsia="仿宋_GB2312"/>
          <w:color w:val="auto"/>
          <w:sz w:val="30"/>
          <w:szCs w:val="30"/>
          <w:highlight w:val="none"/>
          <w:shd w:val="clear" w:color="auto" w:fill="auto"/>
        </w:rPr>
      </w:pPr>
      <w:r>
        <w:rPr>
          <w:rFonts w:ascii="Times New Roman" w:hAnsi="Times New Roman" w:eastAsia="仿宋_GB2312"/>
          <w:color w:val="auto"/>
          <w:sz w:val="30"/>
          <w:szCs w:val="30"/>
          <w:highlight w:val="none"/>
          <w:shd w:val="clear" w:color="auto" w:fill="auto"/>
        </w:rPr>
        <w:t>表1综合评分表</w:t>
      </w:r>
    </w:p>
    <w:tbl>
      <w:tblPr>
        <w:tblStyle w:val="21"/>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shd w:val="clear"/>
              <w:jc w:val="center"/>
              <w:rPr>
                <w:b/>
                <w:bCs/>
                <w:color w:val="auto"/>
                <w:sz w:val="22"/>
                <w:highlight w:val="none"/>
                <w:shd w:val="clear" w:color="auto" w:fill="auto"/>
              </w:rPr>
            </w:pPr>
            <w:r>
              <w:rPr>
                <w:rFonts w:hint="eastAsia"/>
                <w:b/>
                <w:bCs/>
                <w:color w:val="auto"/>
                <w:sz w:val="22"/>
                <w:highlight w:val="none"/>
                <w:shd w:val="clear" w:color="auto" w:fill="auto"/>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shd w:val="clear"/>
              <w:jc w:val="center"/>
              <w:rPr>
                <w:b/>
                <w:bCs/>
                <w:color w:val="auto"/>
                <w:sz w:val="22"/>
                <w:highlight w:val="none"/>
                <w:shd w:val="clear" w:color="auto" w:fill="auto"/>
              </w:rPr>
            </w:pPr>
            <w:r>
              <w:rPr>
                <w:rFonts w:hint="eastAsia"/>
                <w:b/>
                <w:bCs/>
                <w:color w:val="auto"/>
                <w:sz w:val="22"/>
                <w:highlight w:val="none"/>
                <w:shd w:val="clear" w:color="auto" w:fill="auto"/>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shd w:val="clear"/>
              <w:jc w:val="center"/>
              <w:rPr>
                <w:b/>
                <w:bCs/>
                <w:color w:val="auto"/>
                <w:sz w:val="22"/>
                <w:highlight w:val="none"/>
                <w:shd w:val="clear" w:color="auto" w:fill="auto"/>
              </w:rPr>
            </w:pPr>
            <w:r>
              <w:rPr>
                <w:rFonts w:hint="eastAsia"/>
                <w:b/>
                <w:bCs/>
                <w:color w:val="auto"/>
                <w:sz w:val="22"/>
                <w:highlight w:val="none"/>
                <w:shd w:val="clear" w:color="auto" w:fill="auto"/>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shd w:val="clear"/>
              <w:jc w:val="center"/>
              <w:rPr>
                <w:color w:val="auto"/>
                <w:sz w:val="22"/>
                <w:highlight w:val="none"/>
                <w:shd w:val="clear" w:color="auto" w:fill="auto"/>
              </w:rPr>
            </w:pPr>
            <w:r>
              <w:rPr>
                <w:rFonts w:hint="eastAsia"/>
                <w:color w:val="auto"/>
                <w:sz w:val="22"/>
                <w:highlight w:val="none"/>
                <w:shd w:val="clear" w:color="auto" w:fill="auto"/>
              </w:rPr>
              <w:t>项目决策</w:t>
            </w:r>
          </w:p>
        </w:tc>
        <w:tc>
          <w:tcPr>
            <w:tcW w:w="2168" w:type="dxa"/>
            <w:tcBorders>
              <w:top w:val="nil"/>
              <w:left w:val="nil"/>
              <w:bottom w:val="single" w:color="auto" w:sz="4" w:space="0"/>
              <w:right w:val="single" w:color="auto" w:sz="4" w:space="0"/>
            </w:tcBorders>
            <w:shd w:val="clear" w:color="auto" w:fill="auto"/>
            <w:vAlign w:val="center"/>
          </w:tcPr>
          <w:p>
            <w:pPr>
              <w:shd w:val="clear"/>
              <w:jc w:val="center"/>
              <w:rPr>
                <w:rFonts w:hint="default" w:eastAsia="宋体"/>
                <w:color w:val="auto"/>
                <w:sz w:val="22"/>
                <w:highlight w:val="none"/>
                <w:shd w:val="clear" w:color="auto" w:fill="auto"/>
                <w:lang w:val="en-US" w:eastAsia="zh-CN"/>
              </w:rPr>
            </w:pPr>
            <w:r>
              <w:rPr>
                <w:rFonts w:hint="eastAsia"/>
                <w:color w:val="auto"/>
                <w:sz w:val="22"/>
                <w:highlight w:val="none"/>
                <w:shd w:val="clear" w:color="auto" w:fill="auto"/>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shd w:val="clear"/>
              <w:jc w:val="center"/>
              <w:rPr>
                <w:rFonts w:hint="default" w:ascii="Times New Roman" w:hAnsi="Times New Roman" w:eastAsia="宋体" w:cs="Times New Roman"/>
                <w:color w:val="auto"/>
                <w:kern w:val="2"/>
                <w:sz w:val="22"/>
                <w:szCs w:val="24"/>
                <w:highlight w:val="none"/>
                <w:shd w:val="clear" w:color="auto" w:fill="auto"/>
                <w:lang w:val="en-US" w:eastAsia="zh-CN" w:bidi="ar-SA"/>
              </w:rPr>
            </w:pPr>
            <w:r>
              <w:rPr>
                <w:rFonts w:hint="eastAsia"/>
                <w:color w:val="auto"/>
                <w:sz w:val="22"/>
                <w:highlight w:val="none"/>
                <w:shd w:val="clear" w:color="auto" w:fill="auto"/>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shd w:val="clear"/>
              <w:jc w:val="center"/>
              <w:rPr>
                <w:color w:val="auto"/>
                <w:sz w:val="22"/>
                <w:highlight w:val="none"/>
                <w:shd w:val="clear" w:color="auto" w:fill="auto"/>
              </w:rPr>
            </w:pPr>
            <w:r>
              <w:rPr>
                <w:rFonts w:hint="eastAsia"/>
                <w:color w:val="auto"/>
                <w:sz w:val="22"/>
                <w:highlight w:val="none"/>
                <w:shd w:val="clear" w:color="auto" w:fill="auto"/>
              </w:rPr>
              <w:t>项目过程</w:t>
            </w:r>
          </w:p>
        </w:tc>
        <w:tc>
          <w:tcPr>
            <w:tcW w:w="2168" w:type="dxa"/>
            <w:tcBorders>
              <w:top w:val="nil"/>
              <w:left w:val="nil"/>
              <w:bottom w:val="single" w:color="auto" w:sz="4" w:space="0"/>
              <w:right w:val="single" w:color="auto" w:sz="4" w:space="0"/>
            </w:tcBorders>
            <w:shd w:val="clear" w:color="auto" w:fill="auto"/>
            <w:vAlign w:val="center"/>
          </w:tcPr>
          <w:p>
            <w:pPr>
              <w:shd w:val="clear"/>
              <w:jc w:val="center"/>
              <w:rPr>
                <w:rFonts w:hint="default" w:eastAsia="宋体"/>
                <w:color w:val="auto"/>
                <w:sz w:val="22"/>
                <w:highlight w:val="none"/>
                <w:shd w:val="clear" w:color="auto" w:fill="auto"/>
                <w:lang w:val="en-US" w:eastAsia="zh-CN"/>
              </w:rPr>
            </w:pPr>
            <w:r>
              <w:rPr>
                <w:rFonts w:hint="eastAsia"/>
                <w:color w:val="auto"/>
                <w:sz w:val="22"/>
                <w:highlight w:val="none"/>
                <w:shd w:val="clear" w:color="auto" w:fill="auto"/>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shd w:val="clear"/>
              <w:jc w:val="center"/>
              <w:rPr>
                <w:rFonts w:hint="default" w:ascii="Times New Roman" w:hAnsi="Times New Roman" w:eastAsia="宋体" w:cs="Times New Roman"/>
                <w:color w:val="auto"/>
                <w:kern w:val="2"/>
                <w:sz w:val="22"/>
                <w:szCs w:val="24"/>
                <w:highlight w:val="none"/>
                <w:shd w:val="clear" w:color="auto" w:fill="auto"/>
                <w:lang w:val="en-US" w:eastAsia="zh-CN" w:bidi="ar-SA"/>
              </w:rPr>
            </w:pPr>
            <w:r>
              <w:rPr>
                <w:rFonts w:hint="eastAsia"/>
                <w:color w:val="auto"/>
                <w:sz w:val="22"/>
                <w:highlight w:val="none"/>
                <w:shd w:val="clear" w:color="auto" w:fill="auto"/>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shd w:val="clear"/>
              <w:jc w:val="center"/>
              <w:rPr>
                <w:color w:val="auto"/>
                <w:sz w:val="22"/>
                <w:highlight w:val="none"/>
                <w:shd w:val="clear" w:color="auto" w:fill="auto"/>
              </w:rPr>
            </w:pPr>
            <w:r>
              <w:rPr>
                <w:rFonts w:hint="eastAsia"/>
                <w:color w:val="auto"/>
                <w:sz w:val="22"/>
                <w:highlight w:val="none"/>
                <w:shd w:val="clear" w:color="auto" w:fill="auto"/>
              </w:rPr>
              <w:t>项目产出</w:t>
            </w:r>
          </w:p>
        </w:tc>
        <w:tc>
          <w:tcPr>
            <w:tcW w:w="2168" w:type="dxa"/>
            <w:tcBorders>
              <w:top w:val="nil"/>
              <w:left w:val="nil"/>
              <w:bottom w:val="single" w:color="auto" w:sz="4" w:space="0"/>
              <w:right w:val="single" w:color="auto" w:sz="4" w:space="0"/>
            </w:tcBorders>
            <w:shd w:val="clear" w:color="auto" w:fill="auto"/>
            <w:vAlign w:val="center"/>
          </w:tcPr>
          <w:p>
            <w:pPr>
              <w:shd w:val="clear"/>
              <w:jc w:val="center"/>
              <w:rPr>
                <w:rFonts w:hint="default" w:eastAsia="宋体"/>
                <w:color w:val="auto"/>
                <w:sz w:val="22"/>
                <w:highlight w:val="none"/>
                <w:shd w:val="clear" w:color="auto" w:fill="auto"/>
                <w:lang w:val="en-US" w:eastAsia="zh-CN"/>
              </w:rPr>
            </w:pPr>
            <w:r>
              <w:rPr>
                <w:rFonts w:hint="eastAsia"/>
                <w:color w:val="auto"/>
                <w:sz w:val="22"/>
                <w:highlight w:val="none"/>
                <w:shd w:val="clear" w:color="auto" w:fill="auto"/>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shd w:val="clear"/>
              <w:jc w:val="center"/>
              <w:rPr>
                <w:rFonts w:hint="eastAsia" w:ascii="Times New Roman" w:hAnsi="Times New Roman" w:eastAsia="宋体" w:cs="Times New Roman"/>
                <w:color w:val="auto"/>
                <w:kern w:val="2"/>
                <w:sz w:val="22"/>
                <w:szCs w:val="24"/>
                <w:highlight w:val="none"/>
                <w:shd w:val="clear" w:color="auto" w:fill="auto"/>
                <w:lang w:val="en-US" w:eastAsia="zh-CN" w:bidi="ar-SA"/>
              </w:rPr>
            </w:pPr>
            <w:r>
              <w:rPr>
                <w:rFonts w:hint="eastAsia"/>
                <w:color w:val="auto"/>
                <w:sz w:val="22"/>
                <w:highlight w:val="none"/>
                <w:shd w:val="clear" w:color="auto" w:fill="auto"/>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shd w:val="clear"/>
              <w:jc w:val="center"/>
              <w:rPr>
                <w:color w:val="auto"/>
                <w:sz w:val="22"/>
                <w:highlight w:val="none"/>
                <w:shd w:val="clear" w:color="auto" w:fill="auto"/>
              </w:rPr>
            </w:pPr>
            <w:r>
              <w:rPr>
                <w:rFonts w:hint="eastAsia"/>
                <w:color w:val="auto"/>
                <w:sz w:val="22"/>
                <w:highlight w:val="none"/>
                <w:shd w:val="clear" w:color="auto" w:fill="auto"/>
              </w:rPr>
              <w:t>项目效益</w:t>
            </w:r>
          </w:p>
        </w:tc>
        <w:tc>
          <w:tcPr>
            <w:tcW w:w="2168" w:type="dxa"/>
            <w:tcBorders>
              <w:top w:val="nil"/>
              <w:left w:val="nil"/>
              <w:bottom w:val="single" w:color="auto" w:sz="4" w:space="0"/>
              <w:right w:val="single" w:color="auto" w:sz="4" w:space="0"/>
            </w:tcBorders>
            <w:shd w:val="clear" w:color="auto" w:fill="auto"/>
            <w:vAlign w:val="center"/>
          </w:tcPr>
          <w:p>
            <w:pPr>
              <w:shd w:val="clear"/>
              <w:jc w:val="center"/>
              <w:rPr>
                <w:rFonts w:hint="default" w:eastAsia="宋体"/>
                <w:color w:val="auto"/>
                <w:sz w:val="22"/>
                <w:highlight w:val="none"/>
                <w:shd w:val="clear" w:color="auto" w:fill="auto"/>
                <w:lang w:val="en-US" w:eastAsia="zh-CN"/>
              </w:rPr>
            </w:pPr>
            <w:r>
              <w:rPr>
                <w:rFonts w:hint="eastAsia"/>
                <w:color w:val="auto"/>
                <w:sz w:val="22"/>
                <w:highlight w:val="none"/>
                <w:shd w:val="clear" w:color="auto" w:fill="auto"/>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shd w:val="clear"/>
              <w:jc w:val="center"/>
              <w:rPr>
                <w:rFonts w:hint="default" w:ascii="Times New Roman" w:hAnsi="Times New Roman" w:eastAsia="宋体" w:cs="Times New Roman"/>
                <w:color w:val="auto"/>
                <w:kern w:val="2"/>
                <w:sz w:val="22"/>
                <w:szCs w:val="24"/>
                <w:highlight w:val="none"/>
                <w:shd w:val="clear" w:color="auto" w:fill="auto"/>
                <w:lang w:val="en-US" w:eastAsia="zh-CN" w:bidi="ar-SA"/>
              </w:rPr>
            </w:pPr>
            <w:r>
              <w:rPr>
                <w:rFonts w:hint="eastAsia"/>
                <w:color w:val="auto"/>
                <w:sz w:val="22"/>
                <w:highlight w:val="none"/>
                <w:shd w:val="clear" w:color="auto" w:fill="auto"/>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shd w:val="clear"/>
              <w:jc w:val="center"/>
              <w:rPr>
                <w:rFonts w:cs="宋体"/>
                <w:b/>
                <w:bCs/>
                <w:color w:val="auto"/>
                <w:sz w:val="22"/>
                <w:highlight w:val="none"/>
                <w:shd w:val="clear" w:color="auto" w:fill="auto"/>
              </w:rPr>
            </w:pPr>
            <w:r>
              <w:rPr>
                <w:rFonts w:hint="eastAsia" w:cs="宋体"/>
                <w:b/>
                <w:bCs/>
                <w:color w:val="auto"/>
                <w:sz w:val="22"/>
                <w:highlight w:val="none"/>
                <w:shd w:val="clear" w:color="auto" w:fill="auto"/>
              </w:rPr>
              <w:t>合计</w:t>
            </w:r>
          </w:p>
        </w:tc>
        <w:tc>
          <w:tcPr>
            <w:tcW w:w="2168" w:type="dxa"/>
            <w:tcBorders>
              <w:top w:val="nil"/>
              <w:left w:val="nil"/>
              <w:bottom w:val="single" w:color="auto" w:sz="4" w:space="0"/>
              <w:right w:val="single" w:color="auto" w:sz="4" w:space="0"/>
            </w:tcBorders>
            <w:shd w:val="clear" w:color="auto" w:fill="auto"/>
            <w:vAlign w:val="center"/>
          </w:tcPr>
          <w:p>
            <w:pPr>
              <w:shd w:val="clear"/>
              <w:jc w:val="center"/>
              <w:rPr>
                <w:rFonts w:hint="default" w:eastAsia="宋体"/>
                <w:b/>
                <w:bCs/>
                <w:color w:val="auto"/>
                <w:sz w:val="22"/>
                <w:highlight w:val="none"/>
                <w:shd w:val="clear" w:color="auto" w:fill="auto"/>
                <w:lang w:val="en-US" w:eastAsia="zh-CN"/>
              </w:rPr>
            </w:pPr>
            <w:r>
              <w:rPr>
                <w:rFonts w:hint="eastAsia"/>
                <w:b/>
                <w:bCs/>
                <w:color w:val="auto"/>
                <w:sz w:val="22"/>
                <w:highlight w:val="none"/>
                <w:shd w:val="clear" w:color="auto" w:fill="auto"/>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shd w:val="clear"/>
              <w:jc w:val="center"/>
              <w:rPr>
                <w:rFonts w:hint="default" w:ascii="Times New Roman" w:hAnsi="Times New Roman" w:eastAsia="宋体" w:cs="Times New Roman"/>
                <w:b/>
                <w:bCs/>
                <w:color w:val="auto"/>
                <w:kern w:val="2"/>
                <w:sz w:val="22"/>
                <w:szCs w:val="24"/>
                <w:highlight w:val="none"/>
                <w:shd w:val="clear" w:color="auto" w:fill="auto"/>
                <w:lang w:val="en-US" w:eastAsia="zh-CN" w:bidi="ar-SA"/>
              </w:rPr>
            </w:pPr>
            <w:r>
              <w:rPr>
                <w:rFonts w:hint="eastAsia"/>
                <w:b/>
                <w:bCs/>
                <w:color w:val="auto"/>
                <w:sz w:val="22"/>
                <w:highlight w:val="none"/>
                <w:shd w:val="clear" w:color="auto" w:fill="auto"/>
                <w:lang w:val="en-US" w:eastAsia="zh-CN"/>
              </w:rPr>
              <w:t>100</w:t>
            </w:r>
          </w:p>
        </w:tc>
      </w:tr>
    </w:tbl>
    <w:p>
      <w:pPr>
        <w:shd w:val="clear"/>
        <w:spacing w:line="600" w:lineRule="exact"/>
        <w:ind w:firstLine="320" w:firstLineChars="100"/>
        <w:rPr>
          <w:rFonts w:eastAsia="黑体"/>
          <w:color w:val="auto"/>
          <w:sz w:val="32"/>
          <w:szCs w:val="32"/>
          <w:highlight w:val="none"/>
          <w:shd w:val="clear" w:color="auto" w:fill="auto"/>
        </w:rPr>
      </w:pPr>
    </w:p>
    <w:p>
      <w:pPr>
        <w:shd w:val="clear"/>
        <w:spacing w:line="600" w:lineRule="exact"/>
        <w:ind w:firstLine="320" w:firstLineChars="100"/>
        <w:rPr>
          <w:rFonts w:eastAsia="黑体"/>
          <w:color w:val="auto"/>
          <w:sz w:val="32"/>
          <w:szCs w:val="32"/>
          <w:highlight w:val="none"/>
          <w:shd w:val="clear" w:color="auto" w:fill="auto"/>
        </w:rPr>
      </w:pPr>
      <w:r>
        <w:rPr>
          <w:rFonts w:eastAsia="黑体"/>
          <w:color w:val="auto"/>
          <w:sz w:val="32"/>
          <w:szCs w:val="32"/>
          <w:highlight w:val="none"/>
          <w:shd w:val="clear" w:color="auto" w:fill="auto"/>
        </w:rPr>
        <w:t>四、绩效评价指标分析</w:t>
      </w:r>
    </w:p>
    <w:p>
      <w:pPr>
        <w:pStyle w:val="2"/>
        <w:shd w:val="clear"/>
        <w:ind w:firstLine="321" w:firstLineChars="100"/>
        <w:jc w:val="both"/>
        <w:rPr>
          <w:rFonts w:ascii="Times New Roman" w:hAnsi="Times New Roman" w:eastAsia="楷体_GB2312"/>
          <w:color w:val="auto"/>
          <w:highlight w:val="none"/>
          <w:shd w:val="clear" w:color="auto" w:fill="auto"/>
        </w:rPr>
      </w:pPr>
      <w:r>
        <w:rPr>
          <w:rFonts w:ascii="Times New Roman" w:hAnsi="Times New Roman" w:eastAsia="楷体_GB2312"/>
          <w:color w:val="auto"/>
          <w:highlight w:val="none"/>
          <w:shd w:val="clear" w:color="auto" w:fill="auto"/>
        </w:rPr>
        <w:t>（一）项目决策情况</w:t>
      </w:r>
    </w:p>
    <w:p>
      <w:pPr>
        <w:shd w:val="clear"/>
        <w:spacing w:line="600" w:lineRule="exact"/>
        <w:ind w:firstLine="640" w:firstLineChars="200"/>
        <w:outlineLvl w:val="0"/>
        <w:rPr>
          <w:color w:val="auto"/>
          <w:highlight w:val="none"/>
          <w:shd w:val="clear" w:color="auto" w:fill="auto"/>
        </w:rPr>
      </w:pPr>
      <w:r>
        <w:rPr>
          <w:rFonts w:hint="eastAsia" w:ascii="仿宋_GB2312" w:hAnsi="仿宋_GB2312" w:eastAsia="仿宋_GB2312" w:cs="仿宋_GB2312"/>
          <w:color w:val="auto"/>
          <w:sz w:val="32"/>
          <w:szCs w:val="32"/>
          <w:highlight w:val="none"/>
          <w:shd w:val="clear" w:color="auto" w:fill="auto"/>
        </w:rPr>
        <w:t>项目立项符合法律法规、相关政策及部门职责，能反映和</w:t>
      </w:r>
      <w:r>
        <w:rPr>
          <w:rFonts w:hint="eastAsia" w:ascii="Times New Roman" w:hAnsi="Times New Roman" w:eastAsia="仿宋_GB2312" w:cs="Times New Roman"/>
          <w:sz w:val="32"/>
          <w:szCs w:val="32"/>
          <w:shd w:val="clear" w:color="auto" w:fill="auto"/>
          <w:lang w:val="en-US" w:eastAsia="zh-CN"/>
        </w:rPr>
        <w:t>考核项目立项依据情况，项目申请、设立过程符合相关要求，能反映和考核项目立项的规范情况，所设定的绩效目标依据充分，符合客观实际，能反映和考核项目绩效</w:t>
      </w:r>
      <w:r>
        <w:rPr>
          <w:rFonts w:hint="eastAsia" w:ascii="仿宋_GB2312" w:hAnsi="仿宋_GB2312" w:eastAsia="仿宋_GB2312" w:cs="仿宋_GB2312"/>
          <w:color w:val="auto"/>
          <w:sz w:val="32"/>
          <w:szCs w:val="32"/>
          <w:highlight w:val="none"/>
          <w:shd w:val="clear" w:color="auto" w:fill="auto"/>
        </w:rPr>
        <w:t>目标与项目实施的相符情况，依据绩效目标设定的绩效指标清晰、细化、可衡量，能反映和考核项目绩效目标的明细化情况。</w:t>
      </w:r>
    </w:p>
    <w:p>
      <w:pPr>
        <w:pStyle w:val="2"/>
        <w:shd w:val="clear"/>
        <w:ind w:firstLine="321" w:firstLineChars="100"/>
        <w:jc w:val="both"/>
        <w:rPr>
          <w:rFonts w:ascii="Times New Roman" w:hAnsi="Times New Roman" w:eastAsia="楷体_GB2312"/>
          <w:color w:val="auto"/>
          <w:highlight w:val="none"/>
          <w:shd w:val="clear" w:color="auto" w:fill="auto"/>
        </w:rPr>
      </w:pPr>
      <w:r>
        <w:rPr>
          <w:rFonts w:hint="eastAsia" w:ascii="Times New Roman" w:hAnsi="Times New Roman" w:eastAsia="楷体_GB2312"/>
          <w:color w:val="auto"/>
          <w:highlight w:val="none"/>
          <w:shd w:val="clear" w:color="auto" w:fill="auto"/>
        </w:rPr>
        <w:t>（二）</w:t>
      </w:r>
      <w:r>
        <w:rPr>
          <w:rFonts w:ascii="Times New Roman" w:hAnsi="Times New Roman" w:eastAsia="楷体_GB2312"/>
          <w:color w:val="auto"/>
          <w:highlight w:val="none"/>
          <w:shd w:val="clear" w:color="auto" w:fill="auto"/>
        </w:rPr>
        <w:t>项目过程情况</w:t>
      </w:r>
    </w:p>
    <w:p>
      <w:pPr>
        <w:shd w:val="clear"/>
        <w:spacing w:line="600" w:lineRule="exact"/>
        <w:ind w:firstLine="640" w:firstLineChars="200"/>
        <w:outlineLvl w:val="0"/>
        <w:rPr>
          <w:rFonts w:ascii="仿宋_GB2312" w:hAnsi="仿宋_GB2312" w:eastAsia="仿宋_GB2312" w:cs="仿宋_GB2312"/>
          <w:color w:val="auto"/>
          <w:sz w:val="32"/>
          <w:szCs w:val="32"/>
          <w:highlight w:val="none"/>
          <w:shd w:val="clear" w:color="FFFFFF" w:fill="D9D9D9"/>
        </w:rPr>
      </w:pPr>
      <w:r>
        <w:rPr>
          <w:rFonts w:hint="eastAsia" w:ascii="仿宋_GB2312" w:hAnsi="仿宋_GB2312" w:eastAsia="仿宋_GB2312" w:cs="仿宋_GB2312"/>
          <w:color w:val="auto"/>
          <w:sz w:val="32"/>
          <w:szCs w:val="32"/>
          <w:highlight w:val="none"/>
          <w:shd w:val="clear" w:color="auto" w:fill="auto"/>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pStyle w:val="2"/>
        <w:ind w:firstLine="321" w:firstLineChars="100"/>
        <w:jc w:val="both"/>
        <w:rPr>
          <w:rFonts w:ascii="Times New Roman" w:hAnsi="Times New Roman" w:eastAsia="楷体_GB2312"/>
          <w:highlight w:val="none"/>
        </w:rPr>
      </w:pPr>
      <w:r>
        <w:rPr>
          <w:rFonts w:hint="eastAsia" w:ascii="Times New Roman" w:hAnsi="Times New Roman" w:eastAsia="楷体_GB2312"/>
          <w:highlight w:val="none"/>
        </w:rPr>
        <w:t>（三）</w:t>
      </w:r>
      <w:r>
        <w:rPr>
          <w:rFonts w:ascii="Times New Roman" w:hAnsi="Times New Roman" w:eastAsia="楷体_GB2312"/>
          <w:highlight w:val="none"/>
        </w:rPr>
        <w:t>项目产出</w:t>
      </w:r>
    </w:p>
    <w:p>
      <w:pPr>
        <w:spacing w:line="600" w:lineRule="exact"/>
        <w:ind w:firstLine="624" w:firstLineChars="200"/>
        <w:rPr>
          <w:rStyle w:val="23"/>
          <w:rFonts w:eastAsia="仿宋"/>
          <w:b w:val="0"/>
          <w:spacing w:val="-4"/>
          <w:sz w:val="32"/>
          <w:szCs w:val="32"/>
        </w:rPr>
      </w:pPr>
      <w:r>
        <w:rPr>
          <w:rStyle w:val="23"/>
          <w:rFonts w:eastAsia="仿宋"/>
          <w:b w:val="0"/>
          <w:spacing w:val="-4"/>
          <w:sz w:val="32"/>
          <w:szCs w:val="32"/>
        </w:rPr>
        <w:t>数量指标方面：</w:t>
      </w:r>
    </w:p>
    <w:p>
      <w:pPr>
        <w:spacing w:line="600" w:lineRule="exact"/>
        <w:ind w:firstLine="640" w:firstLineChars="200"/>
        <w:rPr>
          <w:rFonts w:hint="default" w:ascii="Times New Roman" w:hAnsi="Times New Roman" w:eastAsia="宋体" w:cs="Times New Roman"/>
          <w:sz w:val="32"/>
          <w:szCs w:val="32"/>
          <w:lang w:val="en-US" w:eastAsia="zh-CN"/>
        </w:rPr>
      </w:pPr>
      <w:r>
        <w:rPr>
          <w:rFonts w:hint="eastAsia" w:ascii="Times New Roman" w:hAnsi="Times New Roman" w:eastAsia="仿宋_GB2312" w:cs="Times New Roman"/>
          <w:sz w:val="32"/>
          <w:szCs w:val="32"/>
          <w:lang w:val="en-US" w:eastAsia="zh-CN"/>
        </w:rPr>
        <w:t>a.形成南北疆小麦玉米套种全程机械化生产模式数量指标，指标值为&gt;=</w:t>
      </w:r>
      <w:r>
        <w:rPr>
          <w:rFonts w:hint="eastAsia" w:eastAsia="仿宋_GB2312" w:cs="Times New Roman"/>
          <w:sz w:val="32"/>
          <w:szCs w:val="32"/>
          <w:lang w:val="en-US" w:eastAsia="zh-CN"/>
        </w:rPr>
        <w:t>1种</w:t>
      </w:r>
      <w:r>
        <w:rPr>
          <w:rFonts w:hint="eastAsia" w:ascii="Times New Roman" w:hAnsi="Times New Roman" w:eastAsia="仿宋_GB2312" w:cs="Times New Roman"/>
          <w:sz w:val="32"/>
          <w:szCs w:val="32"/>
          <w:lang w:val="en-US" w:eastAsia="zh-CN"/>
        </w:rPr>
        <w:t>，实际完成</w:t>
      </w:r>
      <w:r>
        <w:rPr>
          <w:rFonts w:hint="eastAsia" w:eastAsia="仿宋_GB2312" w:cs="Times New Roman"/>
          <w:sz w:val="32"/>
          <w:szCs w:val="32"/>
          <w:lang w:val="en-US" w:eastAsia="zh-CN"/>
        </w:rPr>
        <w:t>2种</w:t>
      </w:r>
      <w:r>
        <w:rPr>
          <w:rFonts w:hint="eastAsia" w:ascii="Times New Roman" w:hAnsi="Times New Roman" w:eastAsia="仿宋_GB2312" w:cs="Times New Roman"/>
          <w:sz w:val="32"/>
          <w:szCs w:val="32"/>
          <w:lang w:val="en-US" w:eastAsia="zh-CN"/>
        </w:rPr>
        <w:t>，完成率</w:t>
      </w:r>
      <w:r>
        <w:rPr>
          <w:rFonts w:hint="eastAsia" w:eastAsia="仿宋_GB2312" w:cs="Times New Roman"/>
          <w:sz w:val="32"/>
          <w:szCs w:val="32"/>
          <w:lang w:val="en-US" w:eastAsia="zh-CN"/>
        </w:rPr>
        <w:t>100</w:t>
      </w:r>
      <w:r>
        <w:rPr>
          <w:rFonts w:hint="eastAsia" w:ascii="Times New Roman" w:hAnsi="Times New Roman" w:eastAsia="仿宋_GB2312" w:cs="Times New Roman"/>
          <w:sz w:val="32"/>
          <w:szCs w:val="32"/>
          <w:lang w:val="en-US" w:eastAsia="zh-CN"/>
        </w:rPr>
        <w:t>%。</w:t>
      </w:r>
    </w:p>
    <w:p>
      <w:pPr>
        <w:spacing w:line="60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b.筛选适合各地州株高适宜、抗逆性强的高产优质小麦品种和玉米品种数量指标，指标值为&gt;=</w:t>
      </w:r>
      <w:r>
        <w:rPr>
          <w:rFonts w:hint="eastAsia" w:eastAsia="仿宋_GB2312" w:cs="Times New Roman"/>
          <w:sz w:val="32"/>
          <w:szCs w:val="32"/>
          <w:lang w:val="en-US" w:eastAsia="zh-CN"/>
        </w:rPr>
        <w:t>7个</w:t>
      </w:r>
      <w:r>
        <w:rPr>
          <w:rFonts w:hint="eastAsia" w:ascii="Times New Roman" w:hAnsi="Times New Roman" w:eastAsia="仿宋_GB2312" w:cs="Times New Roman"/>
          <w:sz w:val="32"/>
          <w:szCs w:val="32"/>
          <w:lang w:val="en-US" w:eastAsia="zh-CN"/>
        </w:rPr>
        <w:t>，实际完成</w:t>
      </w:r>
      <w:r>
        <w:rPr>
          <w:rFonts w:hint="eastAsia" w:eastAsia="仿宋_GB2312" w:cs="Times New Roman"/>
          <w:sz w:val="32"/>
          <w:szCs w:val="32"/>
          <w:lang w:val="en-US" w:eastAsia="zh-CN"/>
        </w:rPr>
        <w:t>14个</w:t>
      </w:r>
      <w:r>
        <w:rPr>
          <w:rFonts w:hint="eastAsia" w:ascii="Times New Roman" w:hAnsi="Times New Roman" w:eastAsia="仿宋_GB2312" w:cs="Times New Roman"/>
          <w:sz w:val="32"/>
          <w:szCs w:val="32"/>
          <w:lang w:val="en-US" w:eastAsia="zh-CN"/>
        </w:rPr>
        <w:t>，完成率100%。</w:t>
      </w:r>
    </w:p>
    <w:p>
      <w:pPr>
        <w:spacing w:line="60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c形成小麦玉米套种技术模式综合效益分析报告数量指标，指标值为</w:t>
      </w:r>
      <w:r>
        <w:rPr>
          <w:rFonts w:hint="eastAsia" w:eastAsia="仿宋_GB2312" w:cs="Times New Roman"/>
          <w:sz w:val="32"/>
          <w:szCs w:val="32"/>
          <w:lang w:val="en-US" w:eastAsia="zh-CN"/>
        </w:rPr>
        <w:t>1份</w:t>
      </w:r>
      <w:r>
        <w:rPr>
          <w:rFonts w:hint="eastAsia" w:ascii="Times New Roman" w:hAnsi="Times New Roman" w:eastAsia="仿宋_GB2312" w:cs="Times New Roman"/>
          <w:sz w:val="32"/>
          <w:szCs w:val="32"/>
          <w:lang w:val="en-US" w:eastAsia="zh-CN"/>
        </w:rPr>
        <w:t>，实际完成</w:t>
      </w:r>
      <w:r>
        <w:rPr>
          <w:rFonts w:hint="eastAsia" w:eastAsia="仿宋_GB2312" w:cs="Times New Roman"/>
          <w:sz w:val="32"/>
          <w:szCs w:val="32"/>
          <w:lang w:val="en-US" w:eastAsia="zh-CN"/>
        </w:rPr>
        <w:t>1份</w:t>
      </w:r>
      <w:r>
        <w:rPr>
          <w:rFonts w:hint="eastAsia" w:ascii="Times New Roman" w:hAnsi="Times New Roman" w:eastAsia="仿宋_GB2312" w:cs="Times New Roman"/>
          <w:sz w:val="32"/>
          <w:szCs w:val="32"/>
          <w:lang w:val="en-US" w:eastAsia="zh-CN"/>
        </w:rPr>
        <w:t>，完成率100%。</w:t>
      </w:r>
    </w:p>
    <w:p>
      <w:pPr>
        <w:spacing w:line="60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d.制定小麦玉米套种技术标准和规程数量指标，指标值为&gt;=</w:t>
      </w:r>
      <w:r>
        <w:rPr>
          <w:rFonts w:hint="eastAsia" w:eastAsia="仿宋_GB2312" w:cs="Times New Roman"/>
          <w:sz w:val="32"/>
          <w:szCs w:val="32"/>
          <w:lang w:val="en-US" w:eastAsia="zh-CN"/>
        </w:rPr>
        <w:t>3项</w:t>
      </w:r>
      <w:r>
        <w:rPr>
          <w:rFonts w:hint="eastAsia" w:ascii="Times New Roman" w:hAnsi="Times New Roman" w:eastAsia="仿宋_GB2312" w:cs="Times New Roman"/>
          <w:sz w:val="32"/>
          <w:szCs w:val="32"/>
          <w:lang w:val="en-US" w:eastAsia="zh-CN"/>
        </w:rPr>
        <w:t>，实际完成</w:t>
      </w:r>
      <w:r>
        <w:rPr>
          <w:rFonts w:hint="eastAsia" w:eastAsia="仿宋_GB2312" w:cs="Times New Roman"/>
          <w:sz w:val="32"/>
          <w:szCs w:val="32"/>
          <w:lang w:val="en-US" w:eastAsia="zh-CN"/>
        </w:rPr>
        <w:t>6项</w:t>
      </w:r>
      <w:r>
        <w:rPr>
          <w:rFonts w:hint="eastAsia" w:ascii="Times New Roman" w:hAnsi="Times New Roman" w:eastAsia="仿宋_GB2312" w:cs="Times New Roman"/>
          <w:sz w:val="32"/>
          <w:szCs w:val="32"/>
          <w:lang w:val="en-US" w:eastAsia="zh-CN"/>
        </w:rPr>
        <w:t>，完成率100%。</w:t>
      </w:r>
    </w:p>
    <w:p>
      <w:pPr>
        <w:spacing w:line="600" w:lineRule="exact"/>
        <w:ind w:firstLine="640" w:firstLineChars="200"/>
        <w:rPr>
          <w:rFonts w:hint="eastAsia"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e</w:t>
      </w:r>
      <w:r>
        <w:rPr>
          <w:rFonts w:hint="eastAsia" w:ascii="Times New Roman" w:hAnsi="Times New Roman" w:eastAsia="仿宋_GB2312" w:cs="Times New Roman"/>
          <w:sz w:val="32"/>
          <w:szCs w:val="32"/>
          <w:lang w:val="en-US" w:eastAsia="zh-CN"/>
        </w:rPr>
        <w:t>.建立核心示范区数量指标，指标值为&gt;=</w:t>
      </w:r>
      <w:r>
        <w:rPr>
          <w:rFonts w:hint="eastAsia" w:eastAsia="仿宋_GB2312" w:cs="Times New Roman"/>
          <w:sz w:val="32"/>
          <w:szCs w:val="32"/>
          <w:lang w:val="en-US" w:eastAsia="zh-CN"/>
        </w:rPr>
        <w:t>1000</w:t>
      </w:r>
      <w:r>
        <w:rPr>
          <w:rFonts w:hint="eastAsia" w:ascii="Times New Roman" w:hAnsi="Times New Roman" w:eastAsia="仿宋_GB2312" w:cs="Times New Roman"/>
          <w:sz w:val="32"/>
          <w:szCs w:val="32"/>
          <w:lang w:val="en-US" w:eastAsia="zh-CN"/>
        </w:rPr>
        <w:t>亩，实际完成</w:t>
      </w:r>
      <w:r>
        <w:rPr>
          <w:rFonts w:hint="eastAsia" w:eastAsia="仿宋_GB2312" w:cs="Times New Roman"/>
          <w:sz w:val="32"/>
          <w:szCs w:val="32"/>
          <w:lang w:val="en-US" w:eastAsia="zh-CN"/>
        </w:rPr>
        <w:t>27000</w:t>
      </w:r>
      <w:r>
        <w:rPr>
          <w:rFonts w:hint="eastAsia" w:ascii="Times New Roman" w:hAnsi="Times New Roman" w:eastAsia="仿宋_GB2312" w:cs="Times New Roman"/>
          <w:sz w:val="32"/>
          <w:szCs w:val="32"/>
          <w:lang w:val="en-US" w:eastAsia="zh-CN"/>
        </w:rPr>
        <w:t>亩，完成率100%。</w:t>
      </w:r>
    </w:p>
    <w:p>
      <w:pPr>
        <w:spacing w:line="600" w:lineRule="exact"/>
        <w:ind w:firstLine="640" w:firstLineChars="200"/>
        <w:rPr>
          <w:rFonts w:hint="eastAsia"/>
          <w:lang w:val="en-US" w:eastAsia="zh-CN"/>
        </w:rPr>
      </w:pPr>
      <w:r>
        <w:rPr>
          <w:rFonts w:hint="eastAsia" w:eastAsia="仿宋_GB2312" w:cs="Times New Roman"/>
          <w:sz w:val="32"/>
          <w:szCs w:val="32"/>
          <w:lang w:val="en-US" w:eastAsia="zh-CN"/>
        </w:rPr>
        <w:t>f</w:t>
      </w:r>
      <w:r>
        <w:rPr>
          <w:rFonts w:hint="eastAsia" w:ascii="Times New Roman" w:hAnsi="Times New Roman" w:eastAsia="仿宋_GB2312" w:cs="Times New Roman"/>
          <w:sz w:val="32"/>
          <w:szCs w:val="32"/>
          <w:lang w:val="en-US" w:eastAsia="zh-CN"/>
        </w:rPr>
        <w:t>.示范点目标产量（公斤/亩）数量指标，指标值为&gt;=</w:t>
      </w:r>
      <w:r>
        <w:rPr>
          <w:rFonts w:hint="eastAsia" w:eastAsia="仿宋_GB2312" w:cs="Times New Roman"/>
          <w:sz w:val="32"/>
          <w:szCs w:val="32"/>
          <w:lang w:val="en-US" w:eastAsia="zh-CN"/>
        </w:rPr>
        <w:t>1200</w:t>
      </w:r>
      <w:r>
        <w:rPr>
          <w:rFonts w:hint="eastAsia" w:ascii="Times New Roman" w:hAnsi="Times New Roman" w:eastAsia="仿宋_GB2312" w:cs="Times New Roman"/>
          <w:sz w:val="32"/>
          <w:szCs w:val="32"/>
          <w:lang w:val="en-US" w:eastAsia="zh-CN"/>
        </w:rPr>
        <w:t>亩，实际完成</w:t>
      </w:r>
      <w:r>
        <w:rPr>
          <w:rFonts w:hint="eastAsia" w:eastAsia="仿宋_GB2312" w:cs="Times New Roman"/>
          <w:sz w:val="32"/>
          <w:szCs w:val="32"/>
          <w:lang w:val="en-US" w:eastAsia="zh-CN"/>
        </w:rPr>
        <w:t>1212.3</w:t>
      </w:r>
      <w:r>
        <w:rPr>
          <w:rFonts w:hint="eastAsia" w:ascii="Times New Roman" w:hAnsi="Times New Roman" w:eastAsia="仿宋_GB2312" w:cs="Times New Roman"/>
          <w:sz w:val="32"/>
          <w:szCs w:val="32"/>
          <w:lang w:val="en-US" w:eastAsia="zh-CN"/>
        </w:rPr>
        <w:t>亩，完成率100%。</w:t>
      </w:r>
    </w:p>
    <w:p>
      <w:pPr>
        <w:spacing w:line="600" w:lineRule="exact"/>
        <w:ind w:firstLine="624" w:firstLineChars="200"/>
        <w:rPr>
          <w:rFonts w:hint="eastAsia"/>
          <w:lang w:val="en-US" w:eastAsia="zh-CN"/>
        </w:rPr>
      </w:pPr>
      <w:r>
        <w:rPr>
          <w:rStyle w:val="23"/>
          <w:rFonts w:hint="eastAsia" w:eastAsia="仿宋"/>
          <w:b w:val="0"/>
          <w:spacing w:val="-4"/>
          <w:sz w:val="32"/>
          <w:szCs w:val="32"/>
          <w:lang w:val="en-US" w:eastAsia="zh-CN"/>
        </w:rPr>
        <w:t>质量</w:t>
      </w:r>
      <w:r>
        <w:rPr>
          <w:rStyle w:val="23"/>
          <w:rFonts w:eastAsia="仿宋"/>
          <w:b w:val="0"/>
          <w:spacing w:val="-4"/>
          <w:sz w:val="32"/>
          <w:szCs w:val="32"/>
        </w:rPr>
        <w:t>指标方面：</w:t>
      </w:r>
    </w:p>
    <w:p>
      <w:pPr>
        <w:spacing w:line="600" w:lineRule="exact"/>
        <w:ind w:firstLine="640" w:firstLineChars="200"/>
        <w:rPr>
          <w:rFonts w:hint="eastAsia" w:ascii="Times New Roman" w:hAnsi="Times New Roman" w:eastAsia="仿宋_GB2312" w:cs="Times New Roman"/>
          <w:sz w:val="32"/>
          <w:szCs w:val="32"/>
          <w:lang w:val="en-US" w:eastAsia="zh-CN"/>
        </w:rPr>
      </w:pPr>
      <w:r>
        <w:rPr>
          <w:rFonts w:hint="eastAsia" w:eastAsia="仿宋_GB2312" w:cs="Times New Roman"/>
          <w:sz w:val="32"/>
          <w:szCs w:val="32"/>
          <w:highlight w:val="none"/>
          <w:lang w:val="en-US" w:eastAsia="zh-CN"/>
        </w:rPr>
        <w:t>a</w:t>
      </w:r>
      <w:r>
        <w:rPr>
          <w:rFonts w:hint="eastAsia" w:ascii="Times New Roman" w:hAnsi="Times New Roman" w:eastAsia="仿宋_GB2312" w:cs="Times New Roman"/>
          <w:sz w:val="32"/>
          <w:szCs w:val="32"/>
          <w:highlight w:val="none"/>
          <w:lang w:val="en-US" w:eastAsia="zh-CN"/>
        </w:rPr>
        <w:t>.小麦玉米套种全程机械化技术体系指标，指标值为基本形成，实际完成</w:t>
      </w:r>
      <w:r>
        <w:rPr>
          <w:rFonts w:hint="eastAsia" w:eastAsia="仿宋_GB2312" w:cs="Times New Roman"/>
          <w:sz w:val="32"/>
          <w:szCs w:val="32"/>
          <w:highlight w:val="none"/>
          <w:lang w:val="en-US" w:eastAsia="zh-CN"/>
        </w:rPr>
        <w:t>基本形成</w:t>
      </w:r>
      <w:r>
        <w:rPr>
          <w:rFonts w:hint="eastAsia" w:ascii="Times New Roman" w:hAnsi="Times New Roman" w:eastAsia="仿宋_GB2312" w:cs="Times New Roman"/>
          <w:sz w:val="32"/>
          <w:szCs w:val="32"/>
          <w:highlight w:val="none"/>
          <w:lang w:val="en-US" w:eastAsia="zh-CN"/>
        </w:rPr>
        <w:t>，完成率100%</w:t>
      </w:r>
      <w:r>
        <w:rPr>
          <w:rFonts w:hint="eastAsia" w:ascii="Times New Roman" w:hAnsi="Times New Roman" w:eastAsia="仿宋_GB2312" w:cs="Times New Roman"/>
          <w:sz w:val="32"/>
          <w:szCs w:val="32"/>
          <w:lang w:val="en-US" w:eastAsia="zh-CN"/>
        </w:rPr>
        <w:t>。</w:t>
      </w:r>
    </w:p>
    <w:p>
      <w:pPr>
        <w:spacing w:line="600" w:lineRule="exact"/>
        <w:ind w:firstLine="640" w:firstLineChars="200"/>
        <w:rPr>
          <w:rStyle w:val="52"/>
          <w:rFonts w:ascii="Times New Roman" w:hAnsi="Times New Roman" w:cs="Times New Roman"/>
          <w:b w:val="0"/>
          <w:bCs w:val="0"/>
          <w:color w:val="auto"/>
        </w:rPr>
      </w:pPr>
      <w:r>
        <w:rPr>
          <w:rFonts w:hint="eastAsia" w:eastAsia="仿宋_GB2312" w:cs="Times New Roman"/>
          <w:sz w:val="32"/>
          <w:szCs w:val="32"/>
          <w:lang w:val="en-US" w:eastAsia="zh-CN"/>
        </w:rPr>
        <w:t>b</w:t>
      </w:r>
      <w:r>
        <w:rPr>
          <w:rFonts w:hint="eastAsia" w:ascii="Times New Roman" w:hAnsi="Times New Roman" w:eastAsia="仿宋_GB2312" w:cs="Times New Roman"/>
          <w:sz w:val="32"/>
          <w:szCs w:val="32"/>
          <w:lang w:val="en-US" w:eastAsia="zh-CN"/>
        </w:rPr>
        <w:t>.项目带动作用指标，指标值为农民积极性提升，实际完</w:t>
      </w:r>
      <w:r>
        <w:rPr>
          <w:rFonts w:hint="eastAsia" w:ascii="Times New Roman" w:hAnsi="Times New Roman" w:eastAsia="仿宋_GB2312" w:cs="Times New Roman"/>
          <w:sz w:val="32"/>
          <w:szCs w:val="32"/>
          <w:highlight w:val="none"/>
          <w:lang w:val="en-US" w:eastAsia="zh-CN"/>
        </w:rPr>
        <w:t>成</w:t>
      </w:r>
      <w:r>
        <w:rPr>
          <w:rFonts w:hint="eastAsia" w:ascii="Times New Roman" w:hAnsi="Times New Roman" w:eastAsia="仿宋_GB2312" w:cs="Times New Roman"/>
          <w:sz w:val="32"/>
          <w:szCs w:val="32"/>
          <w:lang w:val="en-US" w:eastAsia="zh-CN"/>
        </w:rPr>
        <w:t>亩均纯收入超400元，农民积极性提升，完成率</w:t>
      </w:r>
      <w:r>
        <w:rPr>
          <w:rFonts w:hint="eastAsia" w:eastAsia="仿宋_GB2312" w:cs="Times New Roman"/>
          <w:sz w:val="32"/>
          <w:szCs w:val="32"/>
          <w:lang w:val="en-US" w:eastAsia="zh-CN"/>
        </w:rPr>
        <w:t>100</w:t>
      </w:r>
      <w:r>
        <w:rPr>
          <w:rFonts w:hint="eastAsia" w:ascii="Times New Roman" w:hAnsi="Times New Roman" w:eastAsia="仿宋_GB2312" w:cs="Times New Roman"/>
          <w:sz w:val="32"/>
          <w:szCs w:val="32"/>
          <w:lang w:val="en-US" w:eastAsia="zh-CN"/>
        </w:rPr>
        <w:t>%。</w:t>
      </w:r>
    </w:p>
    <w:p>
      <w:pPr>
        <w:spacing w:line="600" w:lineRule="exact"/>
        <w:ind w:firstLine="640" w:firstLineChars="200"/>
        <w:rPr>
          <w:rStyle w:val="52"/>
          <w:rFonts w:ascii="Times New Roman" w:hAnsi="Times New Roman" w:cs="Times New Roman"/>
          <w:color w:val="auto"/>
        </w:rPr>
      </w:pPr>
      <w:r>
        <w:rPr>
          <w:rStyle w:val="52"/>
          <w:rFonts w:ascii="Times New Roman" w:hAnsi="Times New Roman" w:cs="Times New Roman"/>
          <w:color w:val="auto"/>
        </w:rPr>
        <w:t>时效指标方面：</w:t>
      </w:r>
    </w:p>
    <w:p>
      <w:pPr>
        <w:spacing w:line="60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a.年度项目资金执行率指标，指标值为&gt;=90%，实际完成</w:t>
      </w:r>
      <w:r>
        <w:rPr>
          <w:rFonts w:hint="eastAsia" w:eastAsia="仿宋_GB2312" w:cs="Times New Roman"/>
          <w:sz w:val="32"/>
          <w:szCs w:val="32"/>
          <w:lang w:val="en-US" w:eastAsia="zh-CN"/>
        </w:rPr>
        <w:t>98.14</w:t>
      </w:r>
      <w:r>
        <w:rPr>
          <w:rFonts w:hint="eastAsia" w:ascii="Times New Roman" w:hAnsi="Times New Roman" w:eastAsia="仿宋_GB2312" w:cs="Times New Roman"/>
          <w:sz w:val="32"/>
          <w:szCs w:val="32"/>
          <w:lang w:val="en-US" w:eastAsia="zh-CN"/>
        </w:rPr>
        <w:t>%，完成率</w:t>
      </w:r>
      <w:r>
        <w:rPr>
          <w:rFonts w:hint="eastAsia" w:eastAsia="仿宋_GB2312" w:cs="Times New Roman"/>
          <w:sz w:val="32"/>
          <w:szCs w:val="32"/>
          <w:lang w:val="en-US" w:eastAsia="zh-CN"/>
        </w:rPr>
        <w:t>98.14</w:t>
      </w:r>
      <w:r>
        <w:rPr>
          <w:rFonts w:hint="eastAsia" w:ascii="Times New Roman" w:hAnsi="Times New Roman" w:eastAsia="仿宋_GB2312" w:cs="Times New Roman"/>
          <w:sz w:val="32"/>
          <w:szCs w:val="32"/>
          <w:lang w:val="en-US" w:eastAsia="zh-CN"/>
        </w:rPr>
        <w:t>%。</w:t>
      </w:r>
    </w:p>
    <w:p>
      <w:pPr>
        <w:pStyle w:val="2"/>
        <w:spacing w:before="0" w:after="0" w:line="600" w:lineRule="exact"/>
        <w:ind w:firstLine="640" w:firstLineChars="200"/>
        <w:jc w:val="both"/>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b.项目完成时限率指标，指标值为2025年12月完成，实际完成2025年12月，完成</w:t>
      </w:r>
      <w:bookmarkStart w:id="8" w:name="_GoBack"/>
      <w:bookmarkEnd w:id="8"/>
      <w:r>
        <w:rPr>
          <w:rFonts w:hint="eastAsia" w:ascii="Times New Roman" w:hAnsi="Times New Roman" w:eastAsia="仿宋_GB2312" w:cs="Times New Roman"/>
          <w:b w:val="0"/>
          <w:bCs w:val="0"/>
          <w:kern w:val="2"/>
          <w:sz w:val="32"/>
          <w:szCs w:val="32"/>
          <w:lang w:val="en-US" w:eastAsia="zh-CN" w:bidi="ar-SA"/>
        </w:rPr>
        <w:t>率100%。</w:t>
      </w:r>
    </w:p>
    <w:p>
      <w:pPr>
        <w:pStyle w:val="2"/>
        <w:spacing w:before="0" w:after="0" w:line="600" w:lineRule="exact"/>
        <w:ind w:firstLine="640" w:firstLineChars="200"/>
        <w:jc w:val="both"/>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经济成本指标方面：</w:t>
      </w:r>
    </w:p>
    <w:p>
      <w:pPr>
        <w:spacing w:line="60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a.投入资金指标，指标值为</w:t>
      </w:r>
      <w:r>
        <w:rPr>
          <w:rFonts w:hint="eastAsia" w:eastAsia="仿宋_GB2312" w:cs="Times New Roman"/>
          <w:sz w:val="32"/>
          <w:szCs w:val="32"/>
          <w:lang w:val="en-US" w:eastAsia="zh-CN"/>
        </w:rPr>
        <w:t>1000万</w:t>
      </w:r>
      <w:r>
        <w:rPr>
          <w:rFonts w:hint="eastAsia" w:ascii="Times New Roman" w:hAnsi="Times New Roman" w:eastAsia="仿宋_GB2312" w:cs="Times New Roman"/>
          <w:sz w:val="32"/>
          <w:szCs w:val="32"/>
          <w:lang w:val="en-US" w:eastAsia="zh-CN"/>
        </w:rPr>
        <w:t>元，实际完成</w:t>
      </w:r>
      <w:r>
        <w:rPr>
          <w:rFonts w:hint="eastAsia" w:eastAsia="仿宋_GB2312" w:cs="Times New Roman"/>
          <w:sz w:val="32"/>
          <w:szCs w:val="32"/>
          <w:lang w:val="en-US" w:eastAsia="zh-CN"/>
        </w:rPr>
        <w:t>981.41万</w:t>
      </w:r>
      <w:r>
        <w:rPr>
          <w:rFonts w:hint="eastAsia" w:ascii="Times New Roman" w:hAnsi="Times New Roman" w:eastAsia="仿宋_GB2312" w:cs="Times New Roman"/>
          <w:sz w:val="32"/>
          <w:szCs w:val="32"/>
          <w:lang w:val="en-US" w:eastAsia="zh-CN"/>
        </w:rPr>
        <w:t>元，完成率100%。</w:t>
      </w:r>
    </w:p>
    <w:p>
      <w:pPr>
        <w:pStyle w:val="2"/>
        <w:ind w:firstLine="321" w:firstLineChars="100"/>
        <w:jc w:val="both"/>
        <w:rPr>
          <w:rFonts w:ascii="Times New Roman" w:hAnsi="Times New Roman" w:eastAsia="楷体_GB2312"/>
        </w:rPr>
      </w:pPr>
      <w:r>
        <w:rPr>
          <w:rFonts w:hint="eastAsia" w:ascii="Times New Roman" w:hAnsi="Times New Roman" w:eastAsia="楷体_GB2312"/>
        </w:rPr>
        <w:t>（四）</w:t>
      </w:r>
      <w:r>
        <w:rPr>
          <w:rFonts w:ascii="Times New Roman" w:hAnsi="Times New Roman" w:eastAsia="楷体_GB2312"/>
        </w:rPr>
        <w:t>效益情况</w:t>
      </w:r>
    </w:p>
    <w:p>
      <w:pPr>
        <w:spacing w:line="600" w:lineRule="exact"/>
        <w:ind w:firstLine="640" w:firstLineChars="200"/>
        <w:rPr>
          <w:rStyle w:val="52"/>
          <w:rFonts w:ascii="Times New Roman" w:hAnsi="Times New Roman" w:cs="Times New Roman"/>
          <w:color w:val="auto"/>
        </w:rPr>
      </w:pPr>
      <w:r>
        <w:rPr>
          <w:rStyle w:val="52"/>
          <w:rFonts w:hint="eastAsia" w:eastAsia="仿宋_GB2312" w:cs="Times New Roman"/>
          <w:color w:val="auto"/>
          <w:lang w:eastAsia="zh-CN"/>
        </w:rPr>
        <w:t>经济</w:t>
      </w:r>
      <w:r>
        <w:rPr>
          <w:rStyle w:val="52"/>
          <w:rFonts w:ascii="Times New Roman" w:hAnsi="Times New Roman" w:cs="Times New Roman"/>
          <w:color w:val="auto"/>
        </w:rPr>
        <w:t>效益指标方面：</w:t>
      </w:r>
    </w:p>
    <w:p>
      <w:pPr>
        <w:numPr>
          <w:ilvl w:val="0"/>
          <w:numId w:val="5"/>
        </w:numPr>
        <w:spacing w:line="60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小麦玉米套种技术示范区综合产量指标，指标值为高于当地平均水平，实际完成亩均纯收入超400元，农民积极性提升，完成率100%。</w:t>
      </w:r>
    </w:p>
    <w:p>
      <w:pPr>
        <w:numPr>
          <w:ilvl w:val="0"/>
          <w:numId w:val="0"/>
        </w:numPr>
        <w:spacing w:line="600" w:lineRule="exact"/>
        <w:ind w:firstLine="640" w:firstLineChars="200"/>
        <w:rPr>
          <w:rFonts w:hint="eastAsia"/>
          <w:lang w:val="en-US" w:eastAsia="zh-CN"/>
        </w:rPr>
      </w:pPr>
      <w:r>
        <w:rPr>
          <w:rFonts w:hint="eastAsia" w:eastAsia="仿宋_GB2312" w:cs="Times New Roman"/>
          <w:sz w:val="32"/>
          <w:szCs w:val="32"/>
          <w:lang w:val="en-US" w:eastAsia="zh-CN"/>
        </w:rPr>
        <w:t>b</w:t>
      </w:r>
      <w:r>
        <w:rPr>
          <w:rFonts w:hint="eastAsia" w:ascii="Times New Roman" w:hAnsi="Times New Roman" w:eastAsia="仿宋_GB2312" w:cs="Times New Roman"/>
          <w:sz w:val="32"/>
          <w:szCs w:val="32"/>
          <w:lang w:val="en-US" w:eastAsia="zh-CN"/>
        </w:rPr>
        <w:t>.示范点农民收入情况指标，指标值为收入增加，实际完成收入增加，完成率100%。</w:t>
      </w:r>
    </w:p>
    <w:p>
      <w:pPr>
        <w:spacing w:line="600" w:lineRule="exact"/>
        <w:ind w:firstLine="640" w:firstLineChars="200"/>
        <w:rPr>
          <w:rStyle w:val="52"/>
          <w:rFonts w:ascii="Times New Roman" w:hAnsi="Times New Roman" w:cs="Times New Roman"/>
          <w:color w:val="auto"/>
        </w:rPr>
      </w:pPr>
      <w:r>
        <w:rPr>
          <w:rStyle w:val="52"/>
          <w:rFonts w:ascii="Times New Roman" w:hAnsi="Times New Roman" w:cs="Times New Roman"/>
          <w:color w:val="auto"/>
        </w:rPr>
        <w:t>社会效益指标方面：</w:t>
      </w:r>
    </w:p>
    <w:p>
      <w:pPr>
        <w:numPr>
          <w:ilvl w:val="0"/>
          <w:numId w:val="0"/>
        </w:numPr>
        <w:spacing w:line="60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a.小麦玉米套种示范点农民种植粮食积极性指标，指标值为积极性提升，实际完成积极性提升，完成率100%。</w:t>
      </w:r>
    </w:p>
    <w:p>
      <w:pPr>
        <w:numPr>
          <w:ilvl w:val="0"/>
          <w:numId w:val="0"/>
        </w:numPr>
        <w:spacing w:line="600" w:lineRule="exact"/>
        <w:ind w:firstLine="640" w:firstLineChars="200"/>
        <w:rPr>
          <w:rFonts w:hint="eastAsia"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b</w:t>
      </w:r>
      <w:r>
        <w:rPr>
          <w:rFonts w:hint="eastAsia" w:ascii="Times New Roman" w:hAnsi="Times New Roman" w:eastAsia="仿宋_GB2312" w:cs="Times New Roman"/>
          <w:sz w:val="32"/>
          <w:szCs w:val="32"/>
          <w:lang w:val="en-US" w:eastAsia="zh-CN"/>
        </w:rPr>
        <w:t>.小技术示范对产业结构调整影响指标，指标值为影响</w:t>
      </w:r>
      <w:r>
        <w:rPr>
          <w:rFonts w:hint="eastAsia" w:eastAsia="仿宋_GB2312" w:cs="Times New Roman"/>
          <w:sz w:val="32"/>
          <w:szCs w:val="32"/>
          <w:lang w:val="en-US" w:eastAsia="zh-CN"/>
        </w:rPr>
        <w:t>明显</w:t>
      </w:r>
      <w:r>
        <w:rPr>
          <w:rFonts w:hint="eastAsia" w:ascii="Times New Roman" w:hAnsi="Times New Roman" w:eastAsia="仿宋_GB2312" w:cs="Times New Roman"/>
          <w:sz w:val="32"/>
          <w:szCs w:val="32"/>
          <w:lang w:val="en-US" w:eastAsia="zh-CN"/>
        </w:rPr>
        <w:t>，实际完成影响</w:t>
      </w:r>
      <w:r>
        <w:rPr>
          <w:rFonts w:hint="eastAsia" w:eastAsia="仿宋_GB2312" w:cs="Times New Roman"/>
          <w:sz w:val="32"/>
          <w:szCs w:val="32"/>
          <w:lang w:val="en-US" w:eastAsia="zh-CN"/>
        </w:rPr>
        <w:t>明显</w:t>
      </w:r>
      <w:r>
        <w:rPr>
          <w:rFonts w:hint="eastAsia" w:ascii="Times New Roman" w:hAnsi="Times New Roman" w:eastAsia="仿宋_GB2312" w:cs="Times New Roman"/>
          <w:sz w:val="32"/>
          <w:szCs w:val="32"/>
          <w:lang w:val="en-US" w:eastAsia="zh-CN"/>
        </w:rPr>
        <w:t>，完成率100%。</w:t>
      </w:r>
    </w:p>
    <w:p>
      <w:pPr>
        <w:spacing w:line="600" w:lineRule="exact"/>
        <w:ind w:firstLine="640" w:firstLineChars="200"/>
        <w:rPr>
          <w:rStyle w:val="52"/>
          <w:rFonts w:ascii="Times New Roman" w:hAnsi="Times New Roman" w:cs="Times New Roman"/>
          <w:color w:val="auto"/>
        </w:rPr>
      </w:pPr>
      <w:r>
        <w:rPr>
          <w:rStyle w:val="52"/>
          <w:rFonts w:hint="eastAsia" w:eastAsia="仿宋_GB2312" w:cs="Times New Roman"/>
          <w:color w:val="auto"/>
          <w:lang w:eastAsia="zh-CN"/>
        </w:rPr>
        <w:t>生态</w:t>
      </w:r>
      <w:r>
        <w:rPr>
          <w:rStyle w:val="52"/>
          <w:rFonts w:ascii="Times New Roman" w:hAnsi="Times New Roman" w:cs="Times New Roman"/>
          <w:color w:val="auto"/>
        </w:rPr>
        <w:t>效益指标方面：</w:t>
      </w:r>
    </w:p>
    <w:p>
      <w:pPr>
        <w:numPr>
          <w:ilvl w:val="0"/>
          <w:numId w:val="0"/>
        </w:numPr>
        <w:spacing w:line="60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a.绿色发展成效指标，指标值为绿色发展成效</w:t>
      </w:r>
      <w:r>
        <w:rPr>
          <w:rFonts w:hint="eastAsia" w:eastAsia="仿宋_GB2312" w:cs="Times New Roman"/>
          <w:sz w:val="32"/>
          <w:szCs w:val="32"/>
          <w:lang w:val="en-US" w:eastAsia="zh-CN"/>
        </w:rPr>
        <w:t>明显</w:t>
      </w:r>
      <w:r>
        <w:rPr>
          <w:rFonts w:hint="eastAsia" w:ascii="Times New Roman" w:hAnsi="Times New Roman" w:eastAsia="仿宋_GB2312" w:cs="Times New Roman"/>
          <w:sz w:val="32"/>
          <w:szCs w:val="32"/>
          <w:lang w:val="en-US" w:eastAsia="zh-CN"/>
        </w:rPr>
        <w:t>，实际完成绿色发展成效</w:t>
      </w:r>
      <w:r>
        <w:rPr>
          <w:rFonts w:hint="eastAsia" w:eastAsia="仿宋_GB2312" w:cs="Times New Roman"/>
          <w:sz w:val="32"/>
          <w:szCs w:val="32"/>
          <w:lang w:val="en-US" w:eastAsia="zh-CN"/>
        </w:rPr>
        <w:t>明显</w:t>
      </w:r>
      <w:r>
        <w:rPr>
          <w:rFonts w:hint="eastAsia" w:ascii="Times New Roman" w:hAnsi="Times New Roman" w:eastAsia="仿宋_GB2312" w:cs="Times New Roman"/>
          <w:sz w:val="32"/>
          <w:szCs w:val="32"/>
          <w:lang w:val="en-US" w:eastAsia="zh-CN"/>
        </w:rPr>
        <w:t>，完成率100%。</w:t>
      </w:r>
    </w:p>
    <w:p>
      <w:pPr>
        <w:pStyle w:val="2"/>
        <w:ind w:firstLine="321" w:firstLineChars="100"/>
        <w:jc w:val="both"/>
        <w:rPr>
          <w:rFonts w:hint="eastAsia" w:ascii="Times New Roman" w:hAnsi="Times New Roman" w:eastAsia="楷体_GB2312"/>
          <w:lang w:eastAsia="zh-CN"/>
        </w:rPr>
      </w:pPr>
      <w:r>
        <w:rPr>
          <w:rFonts w:hint="eastAsia" w:ascii="Times New Roman" w:hAnsi="Times New Roman" w:eastAsia="楷体_GB2312"/>
        </w:rPr>
        <w:t>（四）</w:t>
      </w:r>
      <w:r>
        <w:rPr>
          <w:rFonts w:hint="eastAsia" w:ascii="Times New Roman" w:hAnsi="Times New Roman" w:eastAsia="楷体_GB2312"/>
          <w:lang w:eastAsia="zh-CN"/>
        </w:rPr>
        <w:t>满意度情况</w:t>
      </w:r>
    </w:p>
    <w:p>
      <w:pPr>
        <w:spacing w:line="600" w:lineRule="exact"/>
        <w:ind w:firstLine="640" w:firstLineChars="200"/>
        <w:rPr>
          <w:rStyle w:val="52"/>
          <w:rFonts w:ascii="Times New Roman" w:hAnsi="Times New Roman" w:cs="Times New Roman"/>
          <w:color w:val="auto"/>
        </w:rPr>
      </w:pPr>
      <w:r>
        <w:rPr>
          <w:rStyle w:val="52"/>
          <w:rFonts w:hint="eastAsia" w:ascii="Times New Roman" w:hAnsi="Times New Roman" w:cs="Times New Roman"/>
          <w:color w:val="auto"/>
        </w:rPr>
        <w:t>满意度指标</w:t>
      </w:r>
      <w:r>
        <w:rPr>
          <w:rStyle w:val="52"/>
          <w:rFonts w:ascii="Times New Roman" w:hAnsi="Times New Roman" w:cs="Times New Roman"/>
          <w:color w:val="auto"/>
        </w:rPr>
        <w:t>方面：</w:t>
      </w:r>
    </w:p>
    <w:p>
      <w:pPr>
        <w:numPr>
          <w:ilvl w:val="0"/>
          <w:numId w:val="0"/>
        </w:numPr>
        <w:spacing w:line="60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a.受益群众满意度指标，指标值为&gt;=90%，实际完成=90%，完成率100%。</w:t>
      </w:r>
    </w:p>
    <w:p>
      <w:pPr>
        <w:numPr>
          <w:ilvl w:val="0"/>
          <w:numId w:val="0"/>
        </w:numPr>
        <w:spacing w:line="600" w:lineRule="exact"/>
        <w:ind w:firstLine="640" w:firstLineChars="200"/>
        <w:rPr>
          <w:rFonts w:hint="eastAsia"/>
          <w:lang w:val="en-US" w:eastAsia="zh-CN"/>
        </w:rPr>
      </w:pPr>
      <w:r>
        <w:rPr>
          <w:rFonts w:hint="eastAsia" w:eastAsia="仿宋_GB2312" w:cs="Times New Roman"/>
          <w:sz w:val="32"/>
          <w:szCs w:val="32"/>
          <w:lang w:val="en-US" w:eastAsia="zh-CN"/>
        </w:rPr>
        <w:t>b</w:t>
      </w:r>
      <w:r>
        <w:rPr>
          <w:rFonts w:hint="eastAsia" w:ascii="Times New Roman" w:hAnsi="Times New Roman" w:eastAsia="仿宋_GB2312" w:cs="Times New Roman"/>
          <w:sz w:val="32"/>
          <w:szCs w:val="32"/>
          <w:lang w:val="en-US" w:eastAsia="zh-CN"/>
        </w:rPr>
        <w:t>.政府主管部门满意度指标，指标值为&gt;=90%，实际完成=90%，完成率100%。</w:t>
      </w:r>
    </w:p>
    <w:p>
      <w:pPr>
        <w:spacing w:line="600" w:lineRule="exact"/>
        <w:ind w:firstLine="640" w:firstLineChars="200"/>
        <w:rPr>
          <w:rStyle w:val="52"/>
          <w:rFonts w:ascii="Times New Roman" w:hAnsi="Times New Roman" w:cs="Times New Roman"/>
          <w:color w:val="auto"/>
        </w:rPr>
      </w:pPr>
      <w:r>
        <w:rPr>
          <w:rFonts w:eastAsia="黑体"/>
          <w:sz w:val="32"/>
          <w:szCs w:val="32"/>
        </w:rPr>
        <w:t>五、主要经验及做法、存在的问题及原因分析</w:t>
      </w:r>
    </w:p>
    <w:p>
      <w:pPr>
        <w:spacing w:line="600" w:lineRule="exact"/>
        <w:ind w:firstLine="627" w:firstLineChars="200"/>
        <w:rPr>
          <w:rFonts w:eastAsia="楷体"/>
          <w:b/>
          <w:spacing w:val="-4"/>
          <w:sz w:val="32"/>
          <w:szCs w:val="32"/>
        </w:rPr>
      </w:pPr>
      <w:r>
        <w:rPr>
          <w:rFonts w:eastAsia="楷体"/>
          <w:b/>
          <w:spacing w:val="-4"/>
          <w:sz w:val="32"/>
          <w:szCs w:val="32"/>
        </w:rPr>
        <w:t>（一）主要经验及做法</w:t>
      </w:r>
    </w:p>
    <w:p>
      <w:pPr>
        <w:spacing w:line="60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600" w:lineRule="exact"/>
        <w:ind w:firstLine="643" w:firstLineChars="200"/>
        <w:rPr>
          <w:rFonts w:eastAsia="楷体_GB2312"/>
          <w:b/>
          <w:bCs/>
          <w:sz w:val="32"/>
          <w:szCs w:val="32"/>
        </w:rPr>
      </w:pPr>
      <w:r>
        <w:rPr>
          <w:rFonts w:eastAsia="楷体_GB2312"/>
          <w:b/>
          <w:bCs/>
          <w:sz w:val="32"/>
          <w:szCs w:val="32"/>
        </w:rPr>
        <w:t>存在的问题及原因分析</w:t>
      </w:r>
    </w:p>
    <w:p>
      <w:pPr>
        <w:pStyle w:val="2"/>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存在的问题</w:t>
      </w:r>
      <w:r>
        <w:rPr>
          <w:rFonts w:hint="eastAsia" w:ascii="Times New Roman" w:hAnsi="Times New Roman" w:eastAsia="仿宋_GB2312"/>
          <w:b w:val="0"/>
          <w:bCs w:val="0"/>
          <w:kern w:val="2"/>
        </w:rPr>
        <w:t>及</w:t>
      </w:r>
      <w:r>
        <w:rPr>
          <w:rFonts w:ascii="Times New Roman" w:hAnsi="Times New Roman" w:eastAsia="仿宋_GB2312"/>
          <w:b w:val="0"/>
          <w:bCs w:val="0"/>
          <w:kern w:val="2"/>
        </w:rPr>
        <w:t>原因分析</w:t>
      </w:r>
      <w:r>
        <w:rPr>
          <w:rFonts w:hint="eastAsia" w:ascii="Times New Roman" w:hAnsi="Times New Roman" w:eastAsia="仿宋_GB2312"/>
          <w:b w:val="0"/>
          <w:bCs w:val="0"/>
          <w:kern w:val="2"/>
        </w:rPr>
        <w:t>：</w:t>
      </w:r>
      <w:r>
        <w:rPr>
          <w:rFonts w:hint="eastAsia" w:ascii="仿宋_GB2312" w:hAnsi="仿宋_GB2312" w:eastAsia="仿宋_GB2312" w:cs="仿宋_GB2312"/>
          <w:b w:val="0"/>
          <w:bCs w:val="0"/>
          <w:kern w:val="2"/>
          <w:sz w:val="32"/>
          <w:szCs w:val="32"/>
          <w:lang w:val="en-US" w:eastAsia="zh-CN" w:bidi="ar-SA"/>
        </w:rPr>
        <w:t>本单位将进一步加强对绩效管理工作的组织领导，提高对预算绩效管理工作重要性的认识，总结经验查找问题，抓紧研究制定更全面更完善的绩效评价管理办法。结合农机监管工作考核建立绩效工作考核制度，加大全单位对全面实施预算绩效管理和绩效管理工作的学习力度，让“花钱必问效，无效必问责”的理念深入工作每个环节。进一步建立健全工作机制，完善内控制度，基本形成科学合理、高效严谨的全面绩效管理制度和体系。</w:t>
      </w:r>
    </w:p>
    <w:p/>
    <w:p>
      <w:pPr>
        <w:numPr>
          <w:ilvl w:val="0"/>
          <w:numId w:val="7"/>
        </w:numPr>
        <w:spacing w:line="600" w:lineRule="exact"/>
        <w:ind w:firstLine="640" w:firstLineChars="200"/>
        <w:rPr>
          <w:rFonts w:eastAsia="黑体"/>
          <w:sz w:val="32"/>
          <w:szCs w:val="32"/>
        </w:rPr>
      </w:pPr>
      <w:r>
        <w:rPr>
          <w:rFonts w:eastAsia="黑体"/>
          <w:sz w:val="32"/>
          <w:szCs w:val="32"/>
        </w:rPr>
        <w:t>有关建议</w:t>
      </w:r>
    </w:p>
    <w:p>
      <w:pPr>
        <w:spacing w:line="600" w:lineRule="exact"/>
        <w:ind w:firstLine="640" w:firstLineChars="200"/>
      </w:pPr>
      <w:r>
        <w:rPr>
          <w:rFonts w:hint="eastAsia" w:ascii="仿宋_GB2312" w:hAnsi="仿宋_GB2312" w:eastAsia="仿宋_GB2312" w:cs="仿宋_GB2312"/>
          <w:sz w:val="32"/>
          <w:szCs w:val="28"/>
        </w:rPr>
        <w:t>进一步加强对绩效管理工作的组织领导，提高对预算绩效管理工作重要性的认识，总结经验查找问题，抓紧研究制定更全面更完善的绩效评价管理办法。结合安全考核建立绩效工作考核制度，加大全局对全面实施预算绩效管理和绩效管理工作的学习力度，让“花钱必问效，无效必问责”的理念深入工作每个环节。</w:t>
      </w:r>
    </w:p>
    <w:p>
      <w:pPr>
        <w:numPr>
          <w:ilvl w:val="0"/>
          <w:numId w:val="7"/>
        </w:numPr>
        <w:spacing w:line="600" w:lineRule="exact"/>
        <w:ind w:firstLine="640" w:firstLineChars="200"/>
        <w:rPr>
          <w:rFonts w:eastAsia="黑体"/>
          <w:sz w:val="32"/>
          <w:szCs w:val="32"/>
        </w:rPr>
      </w:pPr>
      <w:r>
        <w:rPr>
          <w:rFonts w:eastAsia="黑体"/>
          <w:sz w:val="32"/>
          <w:szCs w:val="32"/>
        </w:rPr>
        <w:t>其他需要说</w:t>
      </w:r>
      <w:bookmarkStart w:id="7" w:name="page8"/>
      <w:bookmarkEnd w:id="7"/>
      <w:r>
        <w:rPr>
          <w:rFonts w:eastAsia="黑体"/>
          <w:sz w:val="32"/>
          <w:szCs w:val="32"/>
        </w:rPr>
        <w:t>明的问题</w:t>
      </w:r>
    </w:p>
    <w:p>
      <w:pPr>
        <w:pStyle w:val="20"/>
        <w:ind w:firstLine="320" w:firstLineChars="100"/>
        <w:rPr>
          <w:rFonts w:ascii="Times New Roman" w:hAnsi="Times New Roman" w:eastAsia="方正小标宋简体"/>
          <w:b/>
          <w:kern w:val="0"/>
          <w:sz w:val="32"/>
          <w:szCs w:val="32"/>
          <w:lang w:bidi="ar"/>
        </w:rPr>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sz w:val="32"/>
          <w:szCs w:val="32"/>
        </w:rPr>
        <w:t>无。</w:t>
      </w:r>
    </w:p>
    <w:tbl>
      <w:tblPr>
        <w:tblStyle w:val="21"/>
        <w:tblW w:w="26669" w:type="dxa"/>
        <w:tblInd w:w="91" w:type="dxa"/>
        <w:shd w:val="clear" w:color="auto" w:fill="auto"/>
        <w:tblLayout w:type="fixed"/>
        <w:tblCellMar>
          <w:top w:w="0" w:type="dxa"/>
          <w:left w:w="108" w:type="dxa"/>
          <w:bottom w:w="0" w:type="dxa"/>
          <w:right w:w="108" w:type="dxa"/>
        </w:tblCellMar>
      </w:tblPr>
      <w:tblGrid>
        <w:gridCol w:w="2"/>
        <w:gridCol w:w="617"/>
        <w:gridCol w:w="317"/>
        <w:gridCol w:w="302"/>
        <w:gridCol w:w="516"/>
        <w:gridCol w:w="103"/>
        <w:gridCol w:w="801"/>
        <w:gridCol w:w="433"/>
        <w:gridCol w:w="913"/>
        <w:gridCol w:w="256"/>
        <w:gridCol w:w="657"/>
        <w:gridCol w:w="383"/>
        <w:gridCol w:w="530"/>
        <w:gridCol w:w="510"/>
        <w:gridCol w:w="403"/>
        <w:gridCol w:w="636"/>
        <w:gridCol w:w="277"/>
        <w:gridCol w:w="559"/>
        <w:gridCol w:w="354"/>
        <w:gridCol w:w="839"/>
        <w:gridCol w:w="74"/>
        <w:gridCol w:w="573"/>
        <w:gridCol w:w="500"/>
        <w:gridCol w:w="455"/>
        <w:gridCol w:w="512"/>
        <w:gridCol w:w="221"/>
        <w:gridCol w:w="750"/>
        <w:gridCol w:w="1113"/>
        <w:gridCol w:w="216"/>
      </w:tblGrid>
      <w:tr>
        <w:tblPrEx>
          <w:shd w:val="clear" w:color="auto" w:fill="auto"/>
          <w:tblCellMar>
            <w:top w:w="0" w:type="dxa"/>
            <w:left w:w="108" w:type="dxa"/>
            <w:bottom w:w="0" w:type="dxa"/>
            <w:right w:w="108" w:type="dxa"/>
          </w:tblCellMar>
        </w:tblPrEx>
        <w:trPr>
          <w:gridBefore w:val="1"/>
          <w:wBefore w:w="2" w:type="dxa"/>
          <w:trHeight w:val="420" w:hRule="atLeast"/>
        </w:trPr>
        <w:tc>
          <w:tcPr>
            <w:tcW w:w="934" w:type="dxa"/>
            <w:gridSpan w:val="2"/>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附件1</w:t>
            </w:r>
          </w:p>
        </w:tc>
        <w:tc>
          <w:tcPr>
            <w:tcW w:w="818"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04"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02" w:type="dxa"/>
            <w:gridSpan w:val="3"/>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40"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40"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39"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36"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93"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47"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55"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33"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5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329"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gridBefore w:val="1"/>
          <w:wBefore w:w="2" w:type="dxa"/>
          <w:trHeight w:val="800" w:hRule="atLeast"/>
        </w:trPr>
        <w:tc>
          <w:tcPr>
            <w:tcW w:w="13820" w:type="dxa"/>
            <w:gridSpan w:val="2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华文中宋" w:hAnsi="华文中宋" w:eastAsia="华文中宋" w:cs="华文中宋"/>
                <w:b/>
                <w:bCs/>
                <w:i w:val="0"/>
                <w:iCs w:val="0"/>
                <w:color w:val="000000"/>
                <w:sz w:val="40"/>
                <w:szCs w:val="40"/>
                <w:u w:val="none"/>
              </w:rPr>
            </w:pPr>
            <w:r>
              <w:rPr>
                <w:rFonts w:hint="default" w:ascii="华文中宋" w:hAnsi="华文中宋" w:eastAsia="华文中宋" w:cs="华文中宋"/>
                <w:b/>
                <w:bCs/>
                <w:i w:val="0"/>
                <w:iCs w:val="0"/>
                <w:color w:val="000000"/>
                <w:kern w:val="0"/>
                <w:sz w:val="40"/>
                <w:szCs w:val="40"/>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13606" w:type="dxa"/>
            <w:gridSpan w:val="2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12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12368"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自治区农业农村发展创新与服务项目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12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主管部门</w:t>
            </w:r>
          </w:p>
        </w:tc>
        <w:tc>
          <w:tcPr>
            <w:tcW w:w="459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新疆维吾尔自治区农业农村机械化发展中心</w:t>
            </w:r>
          </w:p>
        </w:tc>
        <w:tc>
          <w:tcPr>
            <w:tcW w:w="18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w:t>
            </w:r>
          </w:p>
        </w:tc>
        <w:tc>
          <w:tcPr>
            <w:tcW w:w="59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新疆维吾尔自治区农业农村机械化发展中心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123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（万元）</w:t>
            </w:r>
          </w:p>
        </w:tc>
        <w:tc>
          <w:tcPr>
            <w:tcW w:w="185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年初预算数</w:t>
            </w:r>
          </w:p>
        </w:tc>
        <w:tc>
          <w:tcPr>
            <w:tcW w:w="18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全年预算数</w:t>
            </w:r>
          </w:p>
        </w:tc>
        <w:tc>
          <w:tcPr>
            <w:tcW w:w="18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全年执行数</w:t>
            </w:r>
          </w:p>
        </w:tc>
        <w:tc>
          <w:tcPr>
            <w:tcW w:w="18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分值</w:t>
            </w:r>
          </w:p>
        </w:tc>
        <w:tc>
          <w:tcPr>
            <w:tcW w:w="20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执行率</w:t>
            </w:r>
          </w:p>
        </w:tc>
        <w:tc>
          <w:tcPr>
            <w:tcW w:w="20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123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5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年度资金总额</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w:t>
            </w:r>
          </w:p>
        </w:tc>
        <w:tc>
          <w:tcPr>
            <w:tcW w:w="18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w:t>
            </w:r>
          </w:p>
        </w:tc>
        <w:tc>
          <w:tcPr>
            <w:tcW w:w="18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981.41</w:t>
            </w:r>
          </w:p>
        </w:tc>
        <w:tc>
          <w:tcPr>
            <w:tcW w:w="18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0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98.14%</w:t>
            </w:r>
          </w:p>
        </w:tc>
        <w:tc>
          <w:tcPr>
            <w:tcW w:w="20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123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5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其中：当年财政拨款</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w:t>
            </w:r>
          </w:p>
        </w:tc>
        <w:tc>
          <w:tcPr>
            <w:tcW w:w="18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w:t>
            </w:r>
          </w:p>
        </w:tc>
        <w:tc>
          <w:tcPr>
            <w:tcW w:w="18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981.41</w:t>
            </w:r>
          </w:p>
        </w:tc>
        <w:tc>
          <w:tcPr>
            <w:tcW w:w="18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0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0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123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5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其他资金</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8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8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8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0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0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6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年度总体目标</w:t>
            </w:r>
          </w:p>
        </w:tc>
        <w:tc>
          <w:tcPr>
            <w:tcW w:w="521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预期目标</w:t>
            </w:r>
          </w:p>
        </w:tc>
        <w:tc>
          <w:tcPr>
            <w:tcW w:w="7776"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700" w:hRule="atLeast"/>
        </w:trPr>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521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目标1：小麦玉米套种全程机械化种植模式试验示范</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目标2：小麦玉米套种品种选择和配套技术试点示范</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目标3：小米玉米套种全程机械化配套技术装备创制示范</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目标4：小麦玉米套种病虫草害防治关键技术应用示范</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目标5：小麦玉米套种全程机械化技术推广示范</w:t>
            </w:r>
          </w:p>
        </w:tc>
        <w:tc>
          <w:tcPr>
            <w:tcW w:w="7776"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1.形成南北疆小麦玉米套种全程机械化生产模式2种；2.筛选适合各地州株高适宜、抗逆性强的高产优质小麦品种5种和玉米品种9种；3.开展</w:t>
            </w:r>
            <w:r>
              <w:rPr>
                <w:rFonts w:hint="eastAsia" w:ascii="宋体" w:hAnsi="宋体" w:cs="宋体"/>
                <w:i w:val="0"/>
                <w:color w:val="000000"/>
                <w:kern w:val="0"/>
                <w:sz w:val="18"/>
                <w:szCs w:val="18"/>
                <w:u w:val="none"/>
                <w:lang w:val="en-US" w:eastAsia="zh-CN" w:bidi="ar"/>
              </w:rPr>
              <w:t>小麦玉米套种全程机械化配套技术装备创制示范</w:t>
            </w:r>
            <w:r>
              <w:rPr>
                <w:rFonts w:hint="eastAsia" w:ascii="宋体" w:hAnsi="宋体" w:eastAsia="宋体" w:cs="宋体"/>
                <w:i w:val="0"/>
                <w:color w:val="000000"/>
                <w:kern w:val="0"/>
                <w:sz w:val="18"/>
                <w:szCs w:val="18"/>
                <w:u w:val="none"/>
                <w:lang w:val="en-US" w:eastAsia="zh-CN" w:bidi="ar"/>
              </w:rPr>
              <w:t>，创制套种配套中耕除草灭茬机10台，玉米套种精量播种机14台，套种小麦联合收获机36台，配套拖拉机改造50台； 4.形成新疆小麦玉米套种模式病虫害监测调查报告1份；5.开展小麦玉米套种全程机械化技术推广示范，参加现场演示会、技术研讨会10余次。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270" w:hRule="atLeast"/>
        </w:trPr>
        <w:tc>
          <w:tcPr>
            <w:tcW w:w="6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6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23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权重</w:t>
            </w:r>
          </w:p>
        </w:tc>
        <w:tc>
          <w:tcPr>
            <w:tcW w:w="91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目标值</w:t>
            </w:r>
          </w:p>
        </w:tc>
        <w:tc>
          <w:tcPr>
            <w:tcW w:w="91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业绩值</w:t>
            </w:r>
          </w:p>
        </w:tc>
        <w:tc>
          <w:tcPr>
            <w:tcW w:w="91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完成率</w:t>
            </w:r>
          </w:p>
        </w:tc>
        <w:tc>
          <w:tcPr>
            <w:tcW w:w="91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指标得分</w:t>
            </w:r>
          </w:p>
        </w:tc>
        <w:tc>
          <w:tcPr>
            <w:tcW w:w="91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指标值设定依据</w:t>
            </w:r>
          </w:p>
        </w:tc>
        <w:tc>
          <w:tcPr>
            <w:tcW w:w="91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上年完成情况</w:t>
            </w:r>
          </w:p>
        </w:tc>
        <w:tc>
          <w:tcPr>
            <w:tcW w:w="107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赋分规则</w:t>
            </w:r>
          </w:p>
        </w:tc>
        <w:tc>
          <w:tcPr>
            <w:tcW w:w="96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c>
          <w:tcPr>
            <w:tcW w:w="208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270" w:hRule="atLeast"/>
        </w:trPr>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2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9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9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9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9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9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9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9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0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96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208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6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年度绩效指标完成情况</w:t>
            </w:r>
          </w:p>
        </w:tc>
        <w:tc>
          <w:tcPr>
            <w:tcW w:w="6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形成南北疆小麦玉米套种全程机械化生产模式</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&gt;=1种</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=2种</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新增</w:t>
            </w:r>
          </w:p>
        </w:tc>
        <w:tc>
          <w:tcPr>
            <w:tcW w:w="10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0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筛选适合各地州株高适宜、抗逆性强的高产优质小麦品种和玉米品种</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&gt;=7个</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=14个</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新增</w:t>
            </w:r>
          </w:p>
        </w:tc>
        <w:tc>
          <w:tcPr>
            <w:tcW w:w="10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0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形成小麦玉米套种技术模式综合效益分析报告</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=1份</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=1份</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新增</w:t>
            </w:r>
          </w:p>
        </w:tc>
        <w:tc>
          <w:tcPr>
            <w:tcW w:w="10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0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制定小麦玉米套种技术标准和规程</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&gt;=3项</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=6项</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新增</w:t>
            </w:r>
          </w:p>
        </w:tc>
        <w:tc>
          <w:tcPr>
            <w:tcW w:w="10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0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建立核心示范区</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&gt;=1000亩</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=27000亩</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新增</w:t>
            </w:r>
          </w:p>
        </w:tc>
        <w:tc>
          <w:tcPr>
            <w:tcW w:w="10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0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示范点目标产量（公斤/亩）</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&gt;=1200亩</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=1212.3亩</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新增</w:t>
            </w:r>
          </w:p>
        </w:tc>
        <w:tc>
          <w:tcPr>
            <w:tcW w:w="10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0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小麦玉米套种全程机械化技术体系</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基本形成</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基本形成</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新增</w:t>
            </w:r>
          </w:p>
        </w:tc>
        <w:tc>
          <w:tcPr>
            <w:tcW w:w="10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0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项目带动作用</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农民积极性提升</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亩均纯收入超400元，农民积极性提升</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新增</w:t>
            </w:r>
          </w:p>
        </w:tc>
        <w:tc>
          <w:tcPr>
            <w:tcW w:w="10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0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年度项目资金执行率</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&gt;=90%</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=98.14%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新增</w:t>
            </w:r>
          </w:p>
        </w:tc>
        <w:tc>
          <w:tcPr>
            <w:tcW w:w="10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0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项目完成时限</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=2025年12月</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=2025年12月</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新增</w:t>
            </w:r>
          </w:p>
        </w:tc>
        <w:tc>
          <w:tcPr>
            <w:tcW w:w="10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0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6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1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投入资金</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=1000万元</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=981.41万元</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98.14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19.07</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新增</w:t>
            </w:r>
          </w:p>
        </w:tc>
        <w:tc>
          <w:tcPr>
            <w:tcW w:w="10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0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社会成本指标</w:t>
            </w:r>
          </w:p>
        </w:tc>
        <w:tc>
          <w:tcPr>
            <w:tcW w:w="1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生态环境成本指标</w:t>
            </w:r>
          </w:p>
        </w:tc>
        <w:tc>
          <w:tcPr>
            <w:tcW w:w="1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6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1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小麦玉米套种技术示范区综合产量</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高于当地平均水平</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亩均纯收入超400元，农民积极性提升</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新增</w:t>
            </w:r>
          </w:p>
        </w:tc>
        <w:tc>
          <w:tcPr>
            <w:tcW w:w="10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0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1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示范点农民收入情况</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增加</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增加</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新增</w:t>
            </w:r>
          </w:p>
        </w:tc>
        <w:tc>
          <w:tcPr>
            <w:tcW w:w="10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0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小麦玉米套种示范点农民种植粮食积极性</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新增</w:t>
            </w:r>
          </w:p>
        </w:tc>
        <w:tc>
          <w:tcPr>
            <w:tcW w:w="10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0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技术示范对产业结构调整影响</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明显</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明显</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新增</w:t>
            </w:r>
          </w:p>
        </w:tc>
        <w:tc>
          <w:tcPr>
            <w:tcW w:w="10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0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1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绿色发展成效</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明显</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明显</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新增</w:t>
            </w:r>
          </w:p>
        </w:tc>
        <w:tc>
          <w:tcPr>
            <w:tcW w:w="10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0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6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受益群众满意度</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&gt;=90%</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新增</w:t>
            </w:r>
          </w:p>
        </w:tc>
        <w:tc>
          <w:tcPr>
            <w:tcW w:w="10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满意度赋分</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0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16" w:type="dxa"/>
          <w:trHeight w:val="380" w:hRule="atLeast"/>
        </w:trPr>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6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政府主管部门满意度</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&gt;=90%</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新增</w:t>
            </w:r>
          </w:p>
        </w:tc>
        <w:tc>
          <w:tcPr>
            <w:tcW w:w="10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满意度赋分</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0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bl>
    <w:p>
      <w:pPr>
        <w:pStyle w:val="2"/>
        <w:jc w:val="both"/>
        <w:rPr>
          <w:rFonts w:ascii="Times New Roman" w:hAnsi="Times New Roman"/>
        </w:rPr>
        <w:sectPr>
          <w:pgSz w:w="16838" w:h="11906" w:orient="landscape"/>
          <w:pgMar w:top="1800" w:right="1440" w:bottom="1558" w:left="1440" w:header="851" w:footer="992" w:gutter="0"/>
          <w:cols w:space="425" w:num="1"/>
          <w:docGrid w:type="lines" w:linePitch="312" w:charSpace="0"/>
        </w:sectPr>
      </w:pPr>
    </w:p>
    <w:p>
      <w:pPr>
        <w:spacing w:line="600" w:lineRule="exact"/>
        <w:rPr>
          <w:bCs/>
          <w:sz w:val="32"/>
          <w:szCs w:val="32"/>
        </w:rPr>
      </w:pPr>
      <w:r>
        <w:rPr>
          <w:bCs/>
          <w:sz w:val="32"/>
          <w:szCs w:val="32"/>
        </w:rPr>
        <w:t>附件1</w:t>
      </w:r>
    </w:p>
    <w:tbl>
      <w:tblPr>
        <w:tblStyle w:val="21"/>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302"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2044"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302"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4" w:type="pct"/>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12" w:type="pct"/>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pPr>
              <w:spacing w:line="0" w:lineRule="atLeast"/>
              <w:jc w:val="center"/>
              <w:rPr>
                <w:color w:val="000000"/>
                <w:kern w:val="0"/>
                <w:sz w:val="22"/>
                <w:szCs w:val="22"/>
              </w:rPr>
            </w:pPr>
          </w:p>
        </w:tc>
        <w:tc>
          <w:tcPr>
            <w:tcW w:w="302" w:type="pct"/>
            <w:vMerge w:val="continue"/>
            <w:shd w:val="clear" w:color="auto" w:fill="FFFFFF"/>
            <w:vAlign w:val="center"/>
          </w:tcPr>
          <w:p>
            <w:pPr>
              <w:widowControl/>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2044" w:type="pct"/>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pPr>
              <w:spacing w:line="0" w:lineRule="atLeast"/>
              <w:jc w:val="center"/>
              <w:rPr>
                <w:color w:val="000000"/>
                <w:kern w:val="0"/>
                <w:sz w:val="22"/>
                <w:szCs w:val="22"/>
              </w:rPr>
            </w:pPr>
          </w:p>
        </w:tc>
        <w:tc>
          <w:tcPr>
            <w:tcW w:w="302"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4" w:type="pct"/>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tc>
        <w:tc>
          <w:tcPr>
            <w:tcW w:w="302"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000000"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pPr>
              <w:spacing w:line="0" w:lineRule="atLeast"/>
              <w:jc w:val="center"/>
              <w:rPr>
                <w:color w:val="000000"/>
                <w:kern w:val="0"/>
                <w:sz w:val="22"/>
                <w:szCs w:val="22"/>
              </w:rPr>
            </w:pPr>
          </w:p>
        </w:tc>
        <w:tc>
          <w:tcPr>
            <w:tcW w:w="302"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12" w:type="pct"/>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rPr>
            </w:pPr>
          </w:p>
        </w:tc>
        <w:tc>
          <w:tcPr>
            <w:tcW w:w="302" w:type="pct"/>
            <w:vMerge w:val="continue"/>
            <w:shd w:val="clear" w:color="auto" w:fill="FFFFFF"/>
            <w:vAlign w:val="center"/>
          </w:tcPr>
          <w:p>
            <w:pPr>
              <w:widowControl/>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12" w:type="pct"/>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tc>
        <w:tc>
          <w:tcPr>
            <w:tcW w:w="302"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pPr>
              <w:spacing w:line="0" w:lineRule="atLeast"/>
              <w:jc w:val="center"/>
              <w:rPr>
                <w:color w:val="000000"/>
                <w:kern w:val="0"/>
                <w:sz w:val="22"/>
                <w:szCs w:val="22"/>
              </w:rPr>
            </w:pPr>
          </w:p>
        </w:tc>
        <w:tc>
          <w:tcPr>
            <w:tcW w:w="302" w:type="pct"/>
            <w:vMerge w:val="continue"/>
            <w:shd w:val="clear" w:color="auto" w:fill="FFFFFF"/>
            <w:vAlign w:val="center"/>
          </w:tcPr>
          <w:p>
            <w:pPr>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2044" w:type="pct"/>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12" w:type="pct"/>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302"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pPr>
              <w:spacing w:line="0" w:lineRule="atLeast"/>
              <w:jc w:val="center"/>
              <w:rPr>
                <w:color w:val="000000"/>
                <w:kern w:val="0"/>
                <w:sz w:val="22"/>
                <w:szCs w:val="22"/>
              </w:rPr>
            </w:pPr>
          </w:p>
        </w:tc>
        <w:tc>
          <w:tcPr>
            <w:tcW w:w="302"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rPr>
            </w:pPr>
          </w:p>
        </w:tc>
        <w:tc>
          <w:tcPr>
            <w:tcW w:w="302" w:type="pct"/>
            <w:vMerge w:val="continue"/>
            <w:shd w:val="clear" w:color="auto" w:fill="FFFFFF"/>
            <w:vAlign w:val="center"/>
          </w:tcPr>
          <w:p>
            <w:pPr>
              <w:widowControl/>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lang w:val="en-US" w:eastAsia="zh-CN"/>
              </w:rPr>
            </w:pPr>
            <w:r>
              <w:rPr>
                <w:rFonts w:hint="eastAsia" w:ascii="Times New Roman" w:hAnsi="Times New Roman" w:cs="Times New Roman"/>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lang w:val="en-US" w:eastAsia="zh-CN"/>
              </w:rPr>
            </w:pPr>
            <w:r>
              <w:rPr>
                <w:rFonts w:hint="eastAsia" w:ascii="Times New Roman" w:hAnsi="Times New Roman" w:cs="Times New Roman"/>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pPr>
              <w:spacing w:line="0" w:lineRule="atLeast"/>
              <w:jc w:val="center"/>
              <w:rPr>
                <w:color w:val="000000"/>
                <w:kern w:val="0"/>
                <w:sz w:val="22"/>
                <w:szCs w:val="22"/>
              </w:rPr>
            </w:pPr>
          </w:p>
        </w:tc>
        <w:tc>
          <w:tcPr>
            <w:tcW w:w="302" w:type="pct"/>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lang w:val="en-US" w:eastAsia="zh-CN"/>
              </w:rPr>
            </w:pPr>
            <w:r>
              <w:rPr>
                <w:rFonts w:hint="eastAsia" w:ascii="Times New Roman" w:hAnsi="Times New Roman" w:cs="Times New Roman"/>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rPr>
            </w:pPr>
          </w:p>
        </w:tc>
        <w:tc>
          <w:tcPr>
            <w:tcW w:w="302"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lang w:val="en-US" w:eastAsia="zh-CN"/>
              </w:rPr>
            </w:pPr>
            <w:r>
              <w:rPr>
                <w:rFonts w:hint="eastAsia" w:ascii="Times New Roman" w:hAnsi="Times New Roman" w:cs="Times New Roman"/>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302"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2044" w:type="pct"/>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15</w:t>
            </w:r>
          </w:p>
        </w:tc>
        <w:tc>
          <w:tcPr>
            <w:tcW w:w="537" w:type="pct"/>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lang w:val="en-US" w:eastAsia="zh-CN"/>
              </w:rPr>
            </w:pPr>
            <w:r>
              <w:rPr>
                <w:rFonts w:hint="eastAsia" w:ascii="Times New Roman" w:hAnsi="Times New Roman" w:cs="Times New Roman"/>
                <w:b/>
                <w:bCs/>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rPr>
            </w:pPr>
          </w:p>
        </w:tc>
        <w:tc>
          <w:tcPr>
            <w:tcW w:w="302" w:type="pct"/>
            <w:vMerge w:val="continue"/>
            <w:shd w:val="clear" w:color="auto" w:fill="FFFFFF"/>
            <w:vAlign w:val="center"/>
          </w:tcPr>
          <w:p>
            <w:pPr>
              <w:widowControl/>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5</w:t>
            </w:r>
          </w:p>
        </w:tc>
        <w:tc>
          <w:tcPr>
            <w:tcW w:w="537" w:type="pct"/>
            <w:shd w:val="clear" w:color="000000" w:fill="FFFFFF"/>
            <w:vAlign w:val="center"/>
          </w:tcPr>
          <w:p>
            <w:pPr>
              <w:widowControl/>
              <w:spacing w:line="0" w:lineRule="atLeast"/>
              <w:jc w:val="center"/>
              <w:rPr>
                <w:rFonts w:hint="eastAsia" w:ascii="Times New Roman" w:hAnsi="Times New Roman" w:cs="Times New Roman"/>
                <w:b/>
                <w:bCs/>
                <w:color w:val="000000"/>
                <w:kern w:val="0"/>
                <w:sz w:val="22"/>
                <w:szCs w:val="22"/>
                <w:lang w:eastAsia="zh-CN"/>
              </w:rPr>
            </w:pPr>
            <w:r>
              <w:rPr>
                <w:rFonts w:hint="eastAsia" w:ascii="Times New Roman" w:hAnsi="Times New Roman" w:cs="Times New Roman"/>
                <w:b/>
                <w:bCs/>
                <w:color w:val="000000"/>
                <w:kern w:val="0"/>
                <w:sz w:val="22"/>
                <w:szCs w:val="22"/>
                <w:lang w:val="en-US" w:eastAsia="zh-CN"/>
              </w:rPr>
              <w:t>5</w:t>
            </w:r>
          </w:p>
        </w:tc>
      </w:tr>
    </w:tbl>
    <w:p>
      <w:pPr>
        <w:pStyle w:val="2"/>
        <w:rPr>
          <w:rFonts w:ascii="Times New Roman" w:hAnsi="Times New Roman"/>
        </w:rPr>
      </w:pPr>
    </w:p>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rPr>
          <w:rStyle w:val="23"/>
          <w:rFonts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6"/>
          <w:jc w:val="center"/>
        </w:pPr>
        <w:r>
          <w:fldChar w:fldCharType="begin"/>
        </w:r>
        <w:r>
          <w:instrText xml:space="preserve">PAGE   \* MERGEFORMAT</w:instrText>
        </w:r>
        <w:r>
          <w:fldChar w:fldCharType="separate"/>
        </w:r>
        <w:r>
          <w:rPr>
            <w:lang w:val="zh-CN"/>
          </w:rPr>
          <w:t>17</w:t>
        </w:r>
        <w:r>
          <w:fldChar w:fldCharType="end"/>
        </w:r>
      </w:p>
    </w:sdtContent>
  </w:sdt>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BBFA512B"/>
    <w:multiLevelType w:val="singleLevel"/>
    <w:tmpl w:val="BBFA512B"/>
    <w:lvl w:ilvl="0" w:tentative="0">
      <w:start w:val="1"/>
      <w:numFmt w:val="lowerLetter"/>
      <w:lvlText w:val="%1."/>
      <w:lvlJc w:val="left"/>
      <w:pPr>
        <w:tabs>
          <w:tab w:val="left" w:pos="312"/>
        </w:tabs>
      </w:pPr>
    </w:lvl>
  </w:abstractNum>
  <w:abstractNum w:abstractNumId="2">
    <w:nsid w:val="E83853AE"/>
    <w:multiLevelType w:val="singleLevel"/>
    <w:tmpl w:val="E83853AE"/>
    <w:lvl w:ilvl="0" w:tentative="0">
      <w:start w:val="2"/>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38F0C646"/>
    <w:multiLevelType w:val="singleLevel"/>
    <w:tmpl w:val="38F0C646"/>
    <w:lvl w:ilvl="0" w:tentative="0">
      <w:start w:val="1"/>
      <w:numFmt w:val="decimal"/>
      <w:suff w:val="nothing"/>
      <w:lvlText w:val="%1、"/>
      <w:lvlJc w:val="left"/>
    </w:lvl>
  </w:abstractNum>
  <w:num w:numId="1">
    <w:abstractNumId w:val="2"/>
  </w:num>
  <w:num w:numId="2">
    <w:abstractNumId w:val="5"/>
  </w:num>
  <w:num w:numId="3">
    <w:abstractNumId w:val="6"/>
  </w:num>
  <w:num w:numId="4">
    <w:abstractNumId w:val="4"/>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kMjM1ZTNhOTU1NDczNmNjM2RjMzE4Y2MwYmRhYzQ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533636D"/>
    <w:rsid w:val="066D6EAA"/>
    <w:rsid w:val="06DC1681"/>
    <w:rsid w:val="07DF045D"/>
    <w:rsid w:val="08C662D4"/>
    <w:rsid w:val="08CC2D43"/>
    <w:rsid w:val="09847929"/>
    <w:rsid w:val="09BD4D95"/>
    <w:rsid w:val="0B0F58D6"/>
    <w:rsid w:val="0E577D8C"/>
    <w:rsid w:val="0E5A5AA6"/>
    <w:rsid w:val="0F8D41CB"/>
    <w:rsid w:val="0FEE2F21"/>
    <w:rsid w:val="10893D78"/>
    <w:rsid w:val="11C75270"/>
    <w:rsid w:val="12637CC3"/>
    <w:rsid w:val="12E657C5"/>
    <w:rsid w:val="12F9372E"/>
    <w:rsid w:val="133C6E2A"/>
    <w:rsid w:val="167C7687"/>
    <w:rsid w:val="168B3546"/>
    <w:rsid w:val="1A2374E0"/>
    <w:rsid w:val="1C317CE2"/>
    <w:rsid w:val="1DD45808"/>
    <w:rsid w:val="1DED42AC"/>
    <w:rsid w:val="20005763"/>
    <w:rsid w:val="20FB313D"/>
    <w:rsid w:val="220B4804"/>
    <w:rsid w:val="254618F4"/>
    <w:rsid w:val="278B653F"/>
    <w:rsid w:val="282475E3"/>
    <w:rsid w:val="29E421D9"/>
    <w:rsid w:val="2C6100C1"/>
    <w:rsid w:val="2D5531A4"/>
    <w:rsid w:val="2FFFBAB0"/>
    <w:rsid w:val="301B056F"/>
    <w:rsid w:val="31ED7469"/>
    <w:rsid w:val="3235157C"/>
    <w:rsid w:val="3264220D"/>
    <w:rsid w:val="32A83563"/>
    <w:rsid w:val="340D5378"/>
    <w:rsid w:val="387672B4"/>
    <w:rsid w:val="38872456"/>
    <w:rsid w:val="38EE456F"/>
    <w:rsid w:val="3963178C"/>
    <w:rsid w:val="3B6F7774"/>
    <w:rsid w:val="3BA5236D"/>
    <w:rsid w:val="3CED0699"/>
    <w:rsid w:val="3DBF6F5E"/>
    <w:rsid w:val="3EB02FD6"/>
    <w:rsid w:val="41CC2676"/>
    <w:rsid w:val="46B21672"/>
    <w:rsid w:val="4F552460"/>
    <w:rsid w:val="4F661953"/>
    <w:rsid w:val="4FCC6863"/>
    <w:rsid w:val="500A214A"/>
    <w:rsid w:val="522D604D"/>
    <w:rsid w:val="5297585E"/>
    <w:rsid w:val="52AD7D6F"/>
    <w:rsid w:val="5549519D"/>
    <w:rsid w:val="5557596B"/>
    <w:rsid w:val="5B596DFC"/>
    <w:rsid w:val="5BD42C7B"/>
    <w:rsid w:val="5DAE6D00"/>
    <w:rsid w:val="5DF03945"/>
    <w:rsid w:val="5F03526B"/>
    <w:rsid w:val="5FEEC8C3"/>
    <w:rsid w:val="62E515AF"/>
    <w:rsid w:val="637C2815"/>
    <w:rsid w:val="652E232D"/>
    <w:rsid w:val="654655DB"/>
    <w:rsid w:val="666B4FDC"/>
    <w:rsid w:val="67FF13C8"/>
    <w:rsid w:val="682144B7"/>
    <w:rsid w:val="6B503F77"/>
    <w:rsid w:val="6E311968"/>
    <w:rsid w:val="75AE3DDA"/>
    <w:rsid w:val="7A353D0B"/>
    <w:rsid w:val="7CB927D8"/>
    <w:rsid w:val="7D3A5E2F"/>
    <w:rsid w:val="7ED7BD65"/>
    <w:rsid w:val="99DBB9F4"/>
    <w:rsid w:val="F6BD9CFD"/>
    <w:rsid w:val="FF8E3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7"/>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8"/>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9"/>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0"/>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1"/>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2"/>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3"/>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ody Text Indent"/>
    <w:basedOn w:val="1"/>
    <w:qFormat/>
    <w:uiPriority w:val="0"/>
    <w:pPr>
      <w:spacing w:after="120"/>
      <w:ind w:left="420" w:leftChars="200"/>
    </w:pPr>
    <w:rPr>
      <w:rFonts w:ascii="Calibri" w:hAnsi="Calibri"/>
    </w:rPr>
  </w:style>
  <w:style w:type="paragraph" w:styleId="15">
    <w:name w:val="Balloon Text"/>
    <w:basedOn w:val="1"/>
    <w:link w:val="50"/>
    <w:semiHidden/>
    <w:unhideWhenUsed/>
    <w:qFormat/>
    <w:uiPriority w:val="99"/>
    <w:rPr>
      <w:sz w:val="18"/>
      <w:szCs w:val="18"/>
    </w:rPr>
  </w:style>
  <w:style w:type="paragraph" w:styleId="16">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paragraph" w:styleId="19">
    <w:name w:val="Body Text First Indent"/>
    <w:basedOn w:val="13"/>
    <w:qFormat/>
    <w:uiPriority w:val="0"/>
    <w:pPr>
      <w:spacing w:after="0"/>
      <w:ind w:firstLine="200" w:firstLineChars="200"/>
    </w:pPr>
  </w:style>
  <w:style w:type="paragraph" w:styleId="20">
    <w:name w:val="Body Text First Indent 2"/>
    <w:basedOn w:val="14"/>
    <w:qFormat/>
    <w:uiPriority w:val="0"/>
    <w:pPr>
      <w:ind w:firstLine="420" w:firstLineChars="200"/>
    </w:pPr>
  </w:style>
  <w:style w:type="character" w:styleId="23">
    <w:name w:val="Strong"/>
    <w:basedOn w:val="22"/>
    <w:qFormat/>
    <w:uiPriority w:val="0"/>
    <w:rPr>
      <w:b/>
      <w:bCs/>
    </w:rPr>
  </w:style>
  <w:style w:type="character" w:styleId="24">
    <w:name w:val="Emphasis"/>
    <w:basedOn w:val="22"/>
    <w:qFormat/>
    <w:uiPriority w:val="20"/>
    <w:rPr>
      <w:rFonts w:asciiTheme="minorHAnsi" w:hAnsiTheme="minorHAnsi"/>
      <w:b/>
      <w:i/>
      <w:iCs/>
    </w:rPr>
  </w:style>
  <w:style w:type="character" w:customStyle="1" w:styleId="25">
    <w:name w:val="标题 1 字符"/>
    <w:basedOn w:val="22"/>
    <w:link w:val="3"/>
    <w:qFormat/>
    <w:uiPriority w:val="9"/>
    <w:rPr>
      <w:rFonts w:asciiTheme="majorHAnsi" w:hAnsiTheme="majorHAnsi" w:eastAsiaTheme="majorEastAsia"/>
      <w:b/>
      <w:bCs/>
      <w:kern w:val="32"/>
      <w:sz w:val="32"/>
      <w:szCs w:val="32"/>
    </w:rPr>
  </w:style>
  <w:style w:type="character" w:customStyle="1" w:styleId="26">
    <w:name w:val="标题 2 字符"/>
    <w:basedOn w:val="22"/>
    <w:link w:val="4"/>
    <w:semiHidden/>
    <w:qFormat/>
    <w:uiPriority w:val="9"/>
    <w:rPr>
      <w:rFonts w:asciiTheme="majorHAnsi" w:hAnsiTheme="majorHAnsi" w:eastAsiaTheme="majorEastAsia"/>
      <w:b/>
      <w:bCs/>
      <w:i/>
      <w:iCs/>
      <w:sz w:val="28"/>
      <w:szCs w:val="28"/>
    </w:rPr>
  </w:style>
  <w:style w:type="character" w:customStyle="1" w:styleId="27">
    <w:name w:val="标题 3 字符"/>
    <w:basedOn w:val="22"/>
    <w:link w:val="5"/>
    <w:semiHidden/>
    <w:qFormat/>
    <w:uiPriority w:val="9"/>
    <w:rPr>
      <w:rFonts w:asciiTheme="majorHAnsi" w:hAnsiTheme="majorHAnsi" w:eastAsiaTheme="majorEastAsia"/>
      <w:b/>
      <w:bCs/>
      <w:sz w:val="26"/>
      <w:szCs w:val="26"/>
    </w:rPr>
  </w:style>
  <w:style w:type="character" w:customStyle="1" w:styleId="28">
    <w:name w:val="标题 4 字符"/>
    <w:basedOn w:val="22"/>
    <w:link w:val="6"/>
    <w:semiHidden/>
    <w:qFormat/>
    <w:uiPriority w:val="9"/>
    <w:rPr>
      <w:b/>
      <w:bCs/>
      <w:sz w:val="28"/>
      <w:szCs w:val="28"/>
    </w:rPr>
  </w:style>
  <w:style w:type="character" w:customStyle="1" w:styleId="29">
    <w:name w:val="标题 5 字符"/>
    <w:basedOn w:val="22"/>
    <w:link w:val="7"/>
    <w:semiHidden/>
    <w:qFormat/>
    <w:uiPriority w:val="9"/>
    <w:rPr>
      <w:b/>
      <w:bCs/>
      <w:i/>
      <w:iCs/>
      <w:sz w:val="26"/>
      <w:szCs w:val="26"/>
    </w:rPr>
  </w:style>
  <w:style w:type="character" w:customStyle="1" w:styleId="30">
    <w:name w:val="标题 6 字符"/>
    <w:basedOn w:val="22"/>
    <w:link w:val="8"/>
    <w:semiHidden/>
    <w:qFormat/>
    <w:uiPriority w:val="9"/>
    <w:rPr>
      <w:b/>
      <w:bCs/>
    </w:rPr>
  </w:style>
  <w:style w:type="character" w:customStyle="1" w:styleId="31">
    <w:name w:val="标题 7 字符"/>
    <w:basedOn w:val="22"/>
    <w:link w:val="9"/>
    <w:semiHidden/>
    <w:qFormat/>
    <w:uiPriority w:val="9"/>
    <w:rPr>
      <w:sz w:val="24"/>
      <w:szCs w:val="24"/>
    </w:rPr>
  </w:style>
  <w:style w:type="character" w:customStyle="1" w:styleId="32">
    <w:name w:val="标题 8 字符"/>
    <w:basedOn w:val="22"/>
    <w:link w:val="10"/>
    <w:semiHidden/>
    <w:qFormat/>
    <w:uiPriority w:val="9"/>
    <w:rPr>
      <w:i/>
      <w:iCs/>
      <w:sz w:val="24"/>
      <w:szCs w:val="24"/>
    </w:rPr>
  </w:style>
  <w:style w:type="character" w:customStyle="1" w:styleId="33">
    <w:name w:val="标题 9 字符"/>
    <w:basedOn w:val="22"/>
    <w:link w:val="11"/>
    <w:semiHidden/>
    <w:qFormat/>
    <w:uiPriority w:val="9"/>
    <w:rPr>
      <w:rFonts w:asciiTheme="majorHAnsi" w:hAnsiTheme="majorHAnsi" w:eastAsiaTheme="majorEastAsia"/>
    </w:rPr>
  </w:style>
  <w:style w:type="character" w:customStyle="1" w:styleId="34">
    <w:name w:val="标题 字符"/>
    <w:basedOn w:val="22"/>
    <w:link w:val="2"/>
    <w:qFormat/>
    <w:uiPriority w:val="10"/>
    <w:rPr>
      <w:rFonts w:asciiTheme="majorHAnsi" w:hAnsiTheme="majorHAnsi" w:eastAsiaTheme="majorEastAsia"/>
      <w:b/>
      <w:bCs/>
      <w:kern w:val="28"/>
      <w:sz w:val="32"/>
      <w:szCs w:val="32"/>
    </w:rPr>
  </w:style>
  <w:style w:type="character" w:customStyle="1" w:styleId="35">
    <w:name w:val="副标题 字符"/>
    <w:basedOn w:val="22"/>
    <w:link w:val="18"/>
    <w:qFormat/>
    <w:uiPriority w:val="11"/>
    <w:rPr>
      <w:rFonts w:asciiTheme="majorHAnsi" w:hAnsiTheme="majorHAnsi" w:eastAsiaTheme="majorEastAsia"/>
      <w:sz w:val="24"/>
      <w:szCs w:val="24"/>
    </w:rPr>
  </w:style>
  <w:style w:type="paragraph"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字符"/>
    <w:basedOn w:val="22"/>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22"/>
    <w:link w:val="40"/>
    <w:qFormat/>
    <w:uiPriority w:val="30"/>
    <w:rPr>
      <w:b/>
      <w:i/>
      <w:sz w:val="24"/>
    </w:rPr>
  </w:style>
  <w:style w:type="character" w:customStyle="1" w:styleId="42">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明显强调1"/>
    <w:basedOn w:val="22"/>
    <w:qFormat/>
    <w:uiPriority w:val="21"/>
    <w:rPr>
      <w:b/>
      <w:i/>
      <w:sz w:val="24"/>
      <w:szCs w:val="24"/>
      <w:u w:val="single"/>
    </w:rPr>
  </w:style>
  <w:style w:type="character" w:customStyle="1" w:styleId="44">
    <w:name w:val="不明显参考1"/>
    <w:basedOn w:val="22"/>
    <w:qFormat/>
    <w:uiPriority w:val="31"/>
    <w:rPr>
      <w:sz w:val="24"/>
      <w:szCs w:val="24"/>
      <w:u w:val="single"/>
    </w:rPr>
  </w:style>
  <w:style w:type="character" w:customStyle="1" w:styleId="45">
    <w:name w:val="明显参考1"/>
    <w:basedOn w:val="22"/>
    <w:qFormat/>
    <w:uiPriority w:val="32"/>
    <w:rPr>
      <w:b/>
      <w:sz w:val="24"/>
      <w:u w:val="single"/>
    </w:rPr>
  </w:style>
  <w:style w:type="character" w:customStyle="1" w:styleId="46">
    <w:name w:val="书籍标题1"/>
    <w:basedOn w:val="22"/>
    <w:qFormat/>
    <w:uiPriority w:val="33"/>
    <w:rPr>
      <w:rFonts w:asciiTheme="majorHAnsi" w:hAnsiTheme="majorHAnsi" w:eastAsiaTheme="majorEastAsia"/>
      <w:b/>
      <w:i/>
      <w:sz w:val="24"/>
      <w:szCs w:val="24"/>
    </w:rPr>
  </w:style>
  <w:style w:type="paragraph" w:customStyle="1" w:styleId="47">
    <w:name w:val="TOC 标题1"/>
    <w:basedOn w:val="3"/>
    <w:next w:val="1"/>
    <w:semiHidden/>
    <w:unhideWhenUsed/>
    <w:qFormat/>
    <w:uiPriority w:val="39"/>
    <w:pPr>
      <w:outlineLvl w:val="9"/>
    </w:pPr>
    <w:rPr>
      <w:lang w:eastAsia="en-US" w:bidi="en-US"/>
    </w:rPr>
  </w:style>
  <w:style w:type="character" w:customStyle="1" w:styleId="48">
    <w:name w:val="页眉 字符"/>
    <w:basedOn w:val="22"/>
    <w:link w:val="17"/>
    <w:qFormat/>
    <w:uiPriority w:val="99"/>
    <w:rPr>
      <w:rFonts w:ascii="Calibri" w:hAnsi="Calibri" w:eastAsia="宋体"/>
      <w:kern w:val="2"/>
      <w:sz w:val="18"/>
      <w:szCs w:val="18"/>
    </w:rPr>
  </w:style>
  <w:style w:type="character" w:customStyle="1" w:styleId="49">
    <w:name w:val="页脚 字符"/>
    <w:basedOn w:val="22"/>
    <w:link w:val="16"/>
    <w:qFormat/>
    <w:uiPriority w:val="99"/>
    <w:rPr>
      <w:rFonts w:ascii="Calibri" w:hAnsi="Calibri" w:eastAsia="宋体"/>
      <w:kern w:val="2"/>
      <w:sz w:val="18"/>
      <w:szCs w:val="18"/>
    </w:rPr>
  </w:style>
  <w:style w:type="character" w:customStyle="1" w:styleId="50">
    <w:name w:val="批注框文本 字符"/>
    <w:basedOn w:val="22"/>
    <w:link w:val="15"/>
    <w:semiHidden/>
    <w:qFormat/>
    <w:uiPriority w:val="99"/>
    <w:rPr>
      <w:rFonts w:ascii="Times New Roman" w:hAnsi="Times New Roman" w:eastAsia="宋体"/>
      <w:kern w:val="2"/>
      <w:sz w:val="18"/>
      <w:szCs w:val="18"/>
    </w:rPr>
  </w:style>
  <w:style w:type="paragraph" w:customStyle="1" w:styleId="51">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8038</Words>
  <Characters>8461</Characters>
  <Lines>50</Lines>
  <Paragraphs>14</Paragraphs>
  <TotalTime>0</TotalTime>
  <ScaleCrop>false</ScaleCrop>
  <LinksUpToDate>false</LinksUpToDate>
  <CharactersWithSpaces>8487</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2020-07-06T16:35:00Z</dcterms:created>
  <dc:creator>赵 恺（预算处）</dc:creator>
  <cp:lastModifiedBy>admin</cp:lastModifiedBy>
  <cp:lastPrinted>2020-01-02T16:02:00Z</cp:lastPrinted>
  <dcterms:modified xsi:type="dcterms:W3CDTF">2026-05-09T03:51:40Z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97CD00BC54DE43A4AF44F5B12B010EAA_13</vt:lpwstr>
  </property>
  <property fmtid="{D5CDD505-2E9C-101B-9397-08002B2CF9AE}" pid="4" name="KSOSaveFontToCloudKey">
    <vt:lpwstr>0_btnclosed</vt:lpwstr>
  </property>
</Properties>
</file>