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after="0"/>
        <w:jc w:val="left"/>
        <w:textAlignment w:val="baseline"/>
        <w:rPr>
          <w:rFonts w:hint="default" w:ascii="方正黑体_GBK" w:hAnsi="方正黑体_GBK" w:eastAsia="方正黑体_GBK" w:cs="方正黑体_GBK"/>
          <w:b w:val="0"/>
          <w:bCs w:val="0"/>
          <w:snapToGrid w:val="0"/>
          <w:spacing w:val="-5"/>
          <w:kern w:val="0"/>
          <w:sz w:val="32"/>
          <w:szCs w:val="32"/>
          <w:lang w:val="en-US" w:eastAsia="zh-CN"/>
        </w:rPr>
      </w:pPr>
      <w:bookmarkStart w:id="2" w:name="_GoBack"/>
      <w:bookmarkEnd w:id="2"/>
      <w:r>
        <w:rPr>
          <w:rFonts w:hint="eastAsia" w:ascii="方正黑体_GBK" w:hAnsi="方正黑体_GBK" w:eastAsia="方正黑体_GBK" w:cs="方正黑体_GBK"/>
          <w:b w:val="0"/>
          <w:bCs w:val="0"/>
          <w:snapToGrid w:val="0"/>
          <w:spacing w:val="-5"/>
          <w:kern w:val="0"/>
          <w:sz w:val="32"/>
          <w:szCs w:val="32"/>
          <w:lang w:eastAsia="zh-CN"/>
        </w:rPr>
        <w:t>附件</w:t>
      </w:r>
      <w:r>
        <w:rPr>
          <w:rFonts w:hint="eastAsia" w:ascii="方正黑体_GBK" w:hAnsi="方正黑体_GBK" w:eastAsia="方正黑体_GBK" w:cs="方正黑体_GBK"/>
          <w:b w:val="0"/>
          <w:bCs w:val="0"/>
          <w:snapToGrid w:val="0"/>
          <w:spacing w:val="-5"/>
          <w:kern w:val="0"/>
          <w:sz w:val="32"/>
          <w:szCs w:val="32"/>
          <w:lang w:val="en-US" w:eastAsia="zh-CN"/>
        </w:rPr>
        <w:t>6</w:t>
      </w:r>
    </w:p>
    <w:p>
      <w:pPr>
        <w:keepNext w:val="0"/>
        <w:keepLines w:val="0"/>
        <w:pageBreakBefore w:val="0"/>
        <w:wordWrap/>
        <w:overflowPunct/>
        <w:topLinePunct w:val="0"/>
        <w:bidi w:val="0"/>
        <w:spacing w:after="0" w:line="560" w:lineRule="exact"/>
        <w:jc w:val="center"/>
        <w:rPr>
          <w:rFonts w:hint="eastAsia" w:ascii="方正小标宋_GBK" w:hAnsi="方正小标宋_GBK" w:eastAsia="方正小标宋_GBK" w:cs="方正小标宋_GBK"/>
          <w:snapToGrid w:val="0"/>
          <w:spacing w:val="-5"/>
          <w:kern w:val="0"/>
          <w:sz w:val="44"/>
          <w:szCs w:val="44"/>
          <w:highlight w:val="none"/>
        </w:rPr>
      </w:pPr>
    </w:p>
    <w:p>
      <w:pPr>
        <w:keepNext w:val="0"/>
        <w:keepLines w:val="0"/>
        <w:pageBreakBefore w:val="0"/>
        <w:wordWrap/>
        <w:overflowPunct/>
        <w:topLinePunct w:val="0"/>
        <w:bidi w:val="0"/>
        <w:spacing w:after="0" w:line="560" w:lineRule="exact"/>
        <w:jc w:val="center"/>
        <w:rPr>
          <w:rFonts w:hint="eastAsia" w:ascii="方正小标宋_GBK" w:hAnsi="方正小标宋_GBK" w:eastAsia="方正小标宋_GBK" w:cs="方正小标宋_GBK"/>
          <w:snapToGrid w:val="0"/>
          <w:spacing w:val="-5"/>
          <w:kern w:val="0"/>
          <w:sz w:val="44"/>
          <w:szCs w:val="44"/>
          <w:highlight w:val="none"/>
        </w:rPr>
      </w:pPr>
    </w:p>
    <w:p>
      <w:pPr>
        <w:spacing w:line="560" w:lineRule="exact"/>
        <w:jc w:val="center"/>
        <w:rPr>
          <w:rFonts w:hint="eastAsia" w:ascii="方正小标宋_GBK" w:hAnsi="方正小标宋_GBK" w:eastAsia="方正小标宋_GBK" w:cs="方正小标宋_GBK"/>
          <w:snapToGrid w:val="0"/>
          <w:spacing w:val="-5"/>
          <w:kern w:val="0"/>
          <w:sz w:val="44"/>
          <w:szCs w:val="44"/>
          <w:highlight w:val="none"/>
        </w:rPr>
      </w:pPr>
      <w:r>
        <w:rPr>
          <w:rFonts w:hint="eastAsia" w:ascii="方正小标宋_GBK" w:hAnsi="方正小标宋_GBK" w:eastAsia="方正小标宋_GBK" w:cs="方正小标宋_GBK"/>
          <w:snapToGrid w:val="0"/>
          <w:spacing w:val="-5"/>
          <w:kern w:val="0"/>
          <w:sz w:val="44"/>
          <w:szCs w:val="44"/>
          <w:highlight w:val="none"/>
        </w:rPr>
        <w:t>新疆维吾尔自治区粮油生产保障转移支付2024年度绩效自评报告</w:t>
      </w:r>
    </w:p>
    <w:p>
      <w:pPr>
        <w:widowControl/>
        <w:kinsoku w:val="0"/>
        <w:autoSpaceDE w:val="0"/>
        <w:autoSpaceDN w:val="0"/>
        <w:adjustRightInd w:val="0"/>
        <w:snapToGrid w:val="0"/>
        <w:jc w:val="center"/>
        <w:textAlignment w:val="baseline"/>
        <w:rPr>
          <w:rFonts w:eastAsia="方正小标宋_GBK"/>
          <w:snapToGrid w:val="0"/>
          <w:spacing w:val="-5"/>
          <w:kern w:val="0"/>
          <w:sz w:val="40"/>
          <w:szCs w:val="40"/>
          <w:highlight w:val="none"/>
        </w:rPr>
      </w:pPr>
    </w:p>
    <w:p>
      <w:pPr>
        <w:spacing w:line="540" w:lineRule="exact"/>
        <w:jc w:val="center"/>
        <w:rPr>
          <w:kern w:val="0"/>
          <w:szCs w:val="30"/>
          <w:highlight w:val="none"/>
        </w:rPr>
      </w:pPr>
      <w:r>
        <w:rPr>
          <w:rFonts w:hint="eastAsia"/>
          <w:b/>
          <w:bCs/>
          <w:kern w:val="0"/>
          <w:szCs w:val="30"/>
          <w:highlight w:val="none"/>
          <w:lang w:val="en-US" w:eastAsia="zh-CN"/>
        </w:rPr>
        <w:t xml:space="preserve"> </w:t>
      </w:r>
    </w:p>
    <w:p>
      <w:pPr>
        <w:pStyle w:val="11"/>
        <w:ind w:left="600" w:firstLine="600"/>
        <w:rPr>
          <w:rFonts w:ascii="Times New Roman" w:hAnsi="Times New Roman"/>
          <w:kern w:val="0"/>
          <w:szCs w:val="30"/>
          <w:highlight w:val="none"/>
        </w:rPr>
      </w:pPr>
    </w:p>
    <w:p>
      <w:pPr>
        <w:pStyle w:val="11"/>
        <w:ind w:left="600" w:firstLine="600"/>
        <w:rPr>
          <w:rFonts w:ascii="Times New Roman" w:hAnsi="Times New Roman"/>
          <w:kern w:val="0"/>
          <w:szCs w:val="30"/>
          <w:highlight w:val="none"/>
        </w:rPr>
      </w:pPr>
    </w:p>
    <w:p>
      <w:pPr>
        <w:spacing w:line="540" w:lineRule="exact"/>
        <w:rPr>
          <w:kern w:val="0"/>
          <w:szCs w:val="30"/>
          <w:highlight w:val="none"/>
        </w:rPr>
      </w:pPr>
    </w:p>
    <w:p>
      <w:pPr>
        <w:spacing w:line="540" w:lineRule="exact"/>
        <w:rPr>
          <w:kern w:val="0"/>
          <w:szCs w:val="30"/>
          <w:highlight w:val="none"/>
        </w:rPr>
      </w:pPr>
    </w:p>
    <w:p>
      <w:pPr>
        <w:spacing w:line="540" w:lineRule="exact"/>
        <w:rPr>
          <w:kern w:val="0"/>
          <w:szCs w:val="30"/>
          <w:highlight w:val="none"/>
        </w:rPr>
      </w:pP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highlight w:val="none"/>
        </w:rPr>
      </w:pPr>
      <w:r>
        <w:rPr>
          <w:b/>
          <w:bCs/>
          <w:color w:val="3F3F3F"/>
          <w:sz w:val="32"/>
          <w:highlight w:val="none"/>
        </w:rPr>
        <w:t>项目名称：</w:t>
      </w:r>
      <w:r>
        <w:rPr>
          <w:kern w:val="0"/>
          <w:sz w:val="36"/>
          <w:szCs w:val="36"/>
          <w:highlight w:val="none"/>
        </w:rPr>
        <w:t>粮油生产保障资金</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sz w:val="32"/>
          <w:szCs w:val="32"/>
          <w:highlight w:val="none"/>
        </w:rPr>
      </w:pPr>
      <w:r>
        <w:rPr>
          <w:b/>
          <w:bCs/>
          <w:color w:val="3F3F3F"/>
          <w:sz w:val="32"/>
          <w:highlight w:val="none"/>
        </w:rPr>
        <w:t>实施单位（公章）：</w:t>
      </w:r>
      <w:r>
        <w:rPr>
          <w:sz w:val="36"/>
          <w:szCs w:val="36"/>
          <w:highlight w:val="none"/>
        </w:rPr>
        <w:t>各地州市农业农村局</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highlight w:val="none"/>
        </w:rPr>
      </w:pPr>
      <w:r>
        <w:rPr>
          <w:b/>
          <w:bCs/>
          <w:color w:val="3F3F3F"/>
          <w:sz w:val="32"/>
          <w:highlight w:val="none"/>
        </w:rPr>
        <w:t>主管部门（公章）：</w:t>
      </w:r>
      <w:r>
        <w:rPr>
          <w:kern w:val="0"/>
          <w:sz w:val="36"/>
          <w:szCs w:val="36"/>
          <w:highlight w:val="none"/>
        </w:rPr>
        <w:t>自治区农业农村厅</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2"/>
          <w:szCs w:val="32"/>
          <w:highlight w:val="none"/>
        </w:rPr>
      </w:pPr>
      <w:r>
        <w:rPr>
          <w:b/>
          <w:bCs/>
          <w:color w:val="3F3F3F"/>
          <w:sz w:val="32"/>
          <w:highlight w:val="none"/>
        </w:rPr>
        <w:t>项目负责人（签章）：</w:t>
      </w:r>
      <w:r>
        <w:rPr>
          <w:kern w:val="0"/>
          <w:sz w:val="36"/>
          <w:szCs w:val="36"/>
          <w:highlight w:val="none"/>
        </w:rPr>
        <w:t>汤义武</w:t>
      </w:r>
    </w:p>
    <w:p>
      <w:pPr>
        <w:keepNext w:val="0"/>
        <w:keepLines w:val="0"/>
        <w:pageBreakBefore w:val="0"/>
        <w:widowControl w:val="0"/>
        <w:kinsoku/>
        <w:wordWrap/>
        <w:overflowPunct/>
        <w:topLinePunct w:val="0"/>
        <w:autoSpaceDE/>
        <w:autoSpaceDN/>
        <w:bidi w:val="0"/>
        <w:adjustRightInd/>
        <w:snapToGrid/>
        <w:spacing w:after="0" w:line="700" w:lineRule="exact"/>
        <w:ind w:firstLine="642" w:firstLineChars="200"/>
        <w:jc w:val="left"/>
        <w:textAlignment w:val="auto"/>
        <w:rPr>
          <w:kern w:val="0"/>
          <w:sz w:val="36"/>
          <w:szCs w:val="36"/>
          <w:highlight w:val="none"/>
        </w:rPr>
        <w:sectPr>
          <w:pgSz w:w="11906" w:h="16838"/>
          <w:pgMar w:top="1440" w:right="1800" w:bottom="1440" w:left="1800" w:header="851" w:footer="992" w:gutter="0"/>
          <w:cols w:space="720" w:num="1"/>
          <w:docGrid w:type="lines" w:linePitch="312" w:charSpace="0"/>
        </w:sectPr>
      </w:pPr>
      <w:r>
        <w:rPr>
          <w:b/>
          <w:bCs/>
          <w:color w:val="3F3F3F"/>
          <w:sz w:val="32"/>
          <w:highlight w:val="none"/>
        </w:rPr>
        <w:t>填报时间：</w:t>
      </w:r>
      <w:r>
        <w:rPr>
          <w:kern w:val="0"/>
          <w:sz w:val="36"/>
          <w:szCs w:val="36"/>
          <w:highlight w:val="none"/>
        </w:rPr>
        <w:t>202</w:t>
      </w:r>
      <w:r>
        <w:rPr>
          <w:rFonts w:hint="eastAsia"/>
          <w:kern w:val="0"/>
          <w:sz w:val="36"/>
          <w:szCs w:val="36"/>
          <w:highlight w:val="none"/>
        </w:rPr>
        <w:t>5</w:t>
      </w:r>
      <w:r>
        <w:rPr>
          <w:kern w:val="0"/>
          <w:sz w:val="36"/>
          <w:szCs w:val="36"/>
          <w:highlight w:val="none"/>
        </w:rPr>
        <w:t>年</w:t>
      </w:r>
      <w:r>
        <w:rPr>
          <w:kern w:val="0"/>
          <w:sz w:val="36"/>
          <w:szCs w:val="36"/>
          <w:highlight w:val="none"/>
          <w:lang w:val="en"/>
        </w:rPr>
        <w:t>3</w:t>
      </w:r>
      <w:r>
        <w:rPr>
          <w:kern w:val="0"/>
          <w:sz w:val="36"/>
          <w:szCs w:val="36"/>
          <w:highlight w:val="none"/>
        </w:rPr>
        <w:t>月</w:t>
      </w:r>
      <w:r>
        <w:rPr>
          <w:kern w:val="0"/>
          <w:sz w:val="36"/>
          <w:szCs w:val="36"/>
          <w:highlight w:val="none"/>
          <w:lang w:val="en"/>
        </w:rPr>
        <w:t>10</w:t>
      </w:r>
    </w:p>
    <w:p>
      <w:pPr>
        <w:spacing w:line="560" w:lineRule="exact"/>
        <w:jc w:val="center"/>
        <w:rPr>
          <w:rFonts w:hint="eastAsia" w:ascii="方正小标宋_GBK" w:hAnsi="方正小标宋_GBK" w:eastAsia="方正小标宋_GBK" w:cs="方正小标宋_GBK"/>
          <w:snapToGrid w:val="0"/>
          <w:spacing w:val="-5"/>
          <w:kern w:val="0"/>
          <w:sz w:val="44"/>
          <w:szCs w:val="44"/>
          <w:highlight w:val="none"/>
        </w:rPr>
      </w:pPr>
      <w:r>
        <w:rPr>
          <w:rFonts w:hint="eastAsia" w:ascii="方正小标宋_GBK" w:hAnsi="方正小标宋_GBK" w:eastAsia="方正小标宋_GBK" w:cs="方正小标宋_GBK"/>
          <w:snapToGrid w:val="0"/>
          <w:spacing w:val="-5"/>
          <w:kern w:val="0"/>
          <w:sz w:val="44"/>
          <w:szCs w:val="44"/>
          <w:highlight w:val="none"/>
        </w:rPr>
        <w:t>新疆维吾尔自治区粮油生产保障转移支付2024年度绩效自评报告</w:t>
      </w:r>
    </w:p>
    <w:p>
      <w:pPr>
        <w:spacing w:line="560" w:lineRule="exact"/>
        <w:ind w:firstLine="640" w:firstLineChars="200"/>
        <w:rPr>
          <w:bCs/>
          <w:sz w:val="32"/>
          <w:szCs w:val="32"/>
          <w:highlight w:val="none"/>
        </w:rPr>
      </w:pP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bCs/>
          <w:sz w:val="32"/>
          <w:szCs w:val="32"/>
          <w:highlight w:val="none"/>
        </w:rPr>
      </w:pPr>
      <w:r>
        <w:rPr>
          <w:bCs/>
          <w:sz w:val="32"/>
          <w:szCs w:val="32"/>
          <w:highlight w:val="none"/>
        </w:rPr>
        <w:t>贯彻落实党中央全面实施预算绩效管理决策部署，根据财政部</w:t>
      </w:r>
      <w:r>
        <w:rPr>
          <w:rFonts w:hint="eastAsia"/>
          <w:bCs/>
          <w:sz w:val="32"/>
          <w:szCs w:val="32"/>
          <w:highlight w:val="none"/>
        </w:rPr>
        <w:t>《</w:t>
      </w:r>
      <w:r>
        <w:rPr>
          <w:bCs/>
          <w:sz w:val="32"/>
          <w:szCs w:val="32"/>
          <w:highlight w:val="none"/>
        </w:rPr>
        <w:t>关于开展202</w:t>
      </w:r>
      <w:r>
        <w:rPr>
          <w:rFonts w:hint="eastAsia"/>
          <w:bCs/>
          <w:sz w:val="32"/>
          <w:szCs w:val="32"/>
          <w:highlight w:val="none"/>
        </w:rPr>
        <w:t>4</w:t>
      </w:r>
      <w:r>
        <w:rPr>
          <w:bCs/>
          <w:sz w:val="32"/>
          <w:szCs w:val="32"/>
          <w:highlight w:val="none"/>
        </w:rPr>
        <w:t>年度中央对地方转移支付预算执行情况绩效自评工作的通知》（财监〔202</w:t>
      </w:r>
      <w:r>
        <w:rPr>
          <w:rFonts w:hint="eastAsia"/>
          <w:bCs/>
          <w:sz w:val="32"/>
          <w:szCs w:val="32"/>
          <w:highlight w:val="none"/>
        </w:rPr>
        <w:t>5</w:t>
      </w:r>
      <w:r>
        <w:rPr>
          <w:bCs/>
          <w:sz w:val="32"/>
          <w:szCs w:val="32"/>
          <w:highlight w:val="none"/>
        </w:rPr>
        <w:t>〕</w:t>
      </w:r>
      <w:r>
        <w:rPr>
          <w:rFonts w:hint="eastAsia"/>
          <w:bCs/>
          <w:sz w:val="32"/>
          <w:szCs w:val="32"/>
          <w:highlight w:val="none"/>
        </w:rPr>
        <w:t>1</w:t>
      </w:r>
      <w:r>
        <w:rPr>
          <w:bCs/>
          <w:sz w:val="32"/>
          <w:szCs w:val="32"/>
          <w:highlight w:val="none"/>
        </w:rPr>
        <w:t>号），自治区农业农村厅高度重视，严格按规范要求组织开展了202</w:t>
      </w:r>
      <w:r>
        <w:rPr>
          <w:rFonts w:hint="eastAsia"/>
          <w:bCs/>
          <w:sz w:val="32"/>
          <w:szCs w:val="32"/>
          <w:highlight w:val="none"/>
        </w:rPr>
        <w:t>4</w:t>
      </w:r>
      <w:r>
        <w:rPr>
          <w:bCs/>
          <w:sz w:val="32"/>
          <w:szCs w:val="32"/>
          <w:highlight w:val="none"/>
        </w:rPr>
        <w:t>年度新疆粮油生产保障中央补助资金绩效自评工作，现将自评情况报告如下：</w:t>
      </w:r>
    </w:p>
    <w:p>
      <w:pPr>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eastAsia="黑体"/>
          <w:bCs/>
          <w:sz w:val="32"/>
          <w:szCs w:val="32"/>
          <w:highlight w:val="none"/>
        </w:rPr>
      </w:pPr>
      <w:r>
        <w:rPr>
          <w:rFonts w:eastAsia="黑体"/>
          <w:bCs/>
          <w:sz w:val="32"/>
          <w:szCs w:val="32"/>
          <w:highlight w:val="none"/>
        </w:rPr>
        <w:t>一、绩效目标分解下达情况</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outlineLvl w:val="0"/>
        <w:rPr>
          <w:rFonts w:hint="eastAsia" w:eastAsia="楷体"/>
          <w:b/>
          <w:bCs/>
          <w:sz w:val="32"/>
          <w:szCs w:val="32"/>
          <w:highlight w:val="none"/>
          <w:lang w:eastAsia="zh-CN"/>
        </w:rPr>
      </w:pPr>
      <w:r>
        <w:rPr>
          <w:rFonts w:eastAsia="楷体"/>
          <w:b/>
          <w:bCs/>
          <w:sz w:val="32"/>
          <w:szCs w:val="32"/>
          <w:highlight w:val="none"/>
        </w:rPr>
        <w:t>（一）中央下达粮油生产保障专项转移支付预算和绩效目标情况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1</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下达预算情况</w:t>
      </w:r>
      <w:r>
        <w:rPr>
          <w:rFonts w:hint="eastAsia" w:ascii="仿宋_GB2312" w:hAnsi="仿宋_GB2312" w:eastAsia="仿宋_GB2312" w:cs="仿宋_GB2312"/>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年度，财政部分批下达我区粮油生产保障资金共计</w:t>
      </w:r>
      <w:r>
        <w:rPr>
          <w:rFonts w:hint="eastAsia" w:ascii="Times New Roman" w:hAnsi="Times New Roman"/>
          <w:sz w:val="32"/>
          <w:szCs w:val="32"/>
          <w:highlight w:val="none"/>
        </w:rPr>
        <w:t>16817</w:t>
      </w:r>
      <w:r>
        <w:rPr>
          <w:rFonts w:ascii="Times New Roman" w:hAnsi="Times New Roman"/>
          <w:sz w:val="32"/>
          <w:szCs w:val="32"/>
          <w:highlight w:val="none"/>
        </w:rPr>
        <w:t>万元，用于</w:t>
      </w:r>
      <w:r>
        <w:rPr>
          <w:rFonts w:hint="eastAsia" w:ascii="Times New Roman" w:hAnsi="Times New Roman"/>
          <w:sz w:val="32"/>
          <w:szCs w:val="32"/>
          <w:highlight w:val="none"/>
        </w:rPr>
        <w:t>粮油生产保障</w:t>
      </w:r>
      <w:r>
        <w:rPr>
          <w:rFonts w:ascii="Times New Roman" w:hAnsi="Times New Roman"/>
          <w:sz w:val="32"/>
          <w:szCs w:val="32"/>
          <w:highlight w:val="none"/>
        </w:rPr>
        <w:t>。详细如下：</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rPr>
      </w:pPr>
      <w:r>
        <w:rPr>
          <w:rFonts w:ascii="Times New Roman" w:hAnsi="Times New Roman"/>
          <w:sz w:val="32"/>
          <w:szCs w:val="32"/>
          <w:highlight w:val="none"/>
        </w:rPr>
        <w:t>2023年</w:t>
      </w:r>
      <w:r>
        <w:rPr>
          <w:rFonts w:hint="eastAsia" w:ascii="Times New Roman" w:hAnsi="Times New Roman"/>
          <w:sz w:val="32"/>
          <w:szCs w:val="32"/>
          <w:highlight w:val="none"/>
        </w:rPr>
        <w:t>11</w:t>
      </w:r>
      <w:r>
        <w:rPr>
          <w:rFonts w:ascii="Times New Roman" w:hAnsi="Times New Roman"/>
          <w:sz w:val="32"/>
          <w:szCs w:val="32"/>
          <w:highlight w:val="none"/>
        </w:rPr>
        <w:t>月</w:t>
      </w:r>
      <w:r>
        <w:rPr>
          <w:rFonts w:hint="eastAsia" w:ascii="Times New Roman" w:hAnsi="Times New Roman"/>
          <w:sz w:val="32"/>
          <w:szCs w:val="32"/>
          <w:highlight w:val="none"/>
        </w:rPr>
        <w:t>《</w:t>
      </w:r>
      <w:r>
        <w:rPr>
          <w:rFonts w:ascii="Times New Roman" w:hAnsi="Times New Roman"/>
          <w:sz w:val="32"/>
          <w:szCs w:val="32"/>
          <w:highlight w:val="none"/>
        </w:rPr>
        <w:t>财政部关于提前下达2024年农业相关转移支付资金预算的通知</w:t>
      </w:r>
      <w:r>
        <w:rPr>
          <w:rFonts w:hint="eastAsia" w:ascii="Times New Roman" w:hAnsi="Times New Roman"/>
          <w:sz w:val="32"/>
          <w:szCs w:val="32"/>
          <w:highlight w:val="none"/>
        </w:rPr>
        <w:t>》</w:t>
      </w:r>
      <w:r>
        <w:rPr>
          <w:rFonts w:ascii="Times New Roman" w:hAnsi="Times New Roman"/>
          <w:sz w:val="32"/>
          <w:szCs w:val="32"/>
          <w:highlight w:val="none"/>
        </w:rPr>
        <w:t>（财农〔2023〕87号</w:t>
      </w:r>
      <w:r>
        <w:rPr>
          <w:rFonts w:hint="eastAsia" w:ascii="Times New Roman" w:hAnsi="Times New Roman"/>
          <w:sz w:val="32"/>
          <w:szCs w:val="32"/>
          <w:highlight w:val="none"/>
        </w:rPr>
        <w:t>）提前</w:t>
      </w:r>
      <w:r>
        <w:rPr>
          <w:rFonts w:ascii="Times New Roman" w:hAnsi="Times New Roman"/>
          <w:sz w:val="32"/>
          <w:szCs w:val="32"/>
          <w:highlight w:val="none"/>
        </w:rPr>
        <w:t>下达</w:t>
      </w:r>
      <w:r>
        <w:rPr>
          <w:rFonts w:hint="eastAsia" w:ascii="Times New Roman" w:hAnsi="Times New Roman"/>
          <w:sz w:val="32"/>
          <w:szCs w:val="32"/>
          <w:highlight w:val="none"/>
        </w:rPr>
        <w:t>13855</w:t>
      </w:r>
      <w:r>
        <w:rPr>
          <w:rFonts w:ascii="Times New Roman" w:hAnsi="Times New Roman"/>
          <w:sz w:val="32"/>
          <w:szCs w:val="32"/>
          <w:highlight w:val="none"/>
        </w:rPr>
        <w:t>万元。</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w:t>
      </w:r>
      <w:r>
        <w:rPr>
          <w:rFonts w:hint="eastAsia" w:ascii="Times New Roman" w:hAnsi="Times New Roman"/>
          <w:sz w:val="32"/>
          <w:szCs w:val="32"/>
          <w:highlight w:val="none"/>
        </w:rPr>
        <w:t>4</w:t>
      </w:r>
      <w:r>
        <w:rPr>
          <w:rFonts w:ascii="Times New Roman" w:hAnsi="Times New Roman"/>
          <w:sz w:val="32"/>
          <w:szCs w:val="32"/>
          <w:highlight w:val="none"/>
        </w:rPr>
        <w:t>月</w:t>
      </w:r>
      <w:r>
        <w:rPr>
          <w:rFonts w:hint="eastAsia" w:ascii="Times New Roman" w:hAnsi="Times New Roman"/>
          <w:sz w:val="32"/>
          <w:szCs w:val="32"/>
          <w:highlight w:val="none"/>
        </w:rPr>
        <w:t>《</w:t>
      </w:r>
      <w:r>
        <w:rPr>
          <w:rFonts w:ascii="Times New Roman" w:hAnsi="Times New Roman"/>
          <w:sz w:val="32"/>
          <w:szCs w:val="32"/>
          <w:highlight w:val="none"/>
        </w:rPr>
        <w:t>财政部关于下达2024年粮油生产保障资金预算的通知</w:t>
      </w:r>
      <w:r>
        <w:rPr>
          <w:rFonts w:hint="eastAsia" w:ascii="Times New Roman" w:hAnsi="Times New Roman"/>
          <w:sz w:val="32"/>
          <w:szCs w:val="32"/>
          <w:highlight w:val="none"/>
        </w:rPr>
        <w:t>》</w:t>
      </w:r>
      <w:r>
        <w:rPr>
          <w:rFonts w:ascii="Times New Roman" w:hAnsi="Times New Roman"/>
          <w:sz w:val="32"/>
          <w:szCs w:val="32"/>
          <w:highlight w:val="none"/>
        </w:rPr>
        <w:t>（财农〔2024〕11号</w:t>
      </w:r>
      <w:r>
        <w:rPr>
          <w:rFonts w:hint="eastAsia" w:ascii="Times New Roman" w:hAnsi="Times New Roman"/>
          <w:sz w:val="32"/>
          <w:szCs w:val="32"/>
          <w:highlight w:val="none"/>
        </w:rPr>
        <w:t>）</w:t>
      </w:r>
      <w:r>
        <w:rPr>
          <w:rFonts w:ascii="Times New Roman" w:hAnsi="Times New Roman"/>
          <w:sz w:val="32"/>
          <w:szCs w:val="32"/>
          <w:highlight w:val="none"/>
        </w:rPr>
        <w:t>下达</w:t>
      </w:r>
      <w:r>
        <w:rPr>
          <w:rFonts w:hint="eastAsia" w:ascii="Times New Roman" w:hAnsi="Times New Roman"/>
          <w:sz w:val="32"/>
          <w:szCs w:val="32"/>
          <w:highlight w:val="none"/>
        </w:rPr>
        <w:t>2962</w:t>
      </w:r>
      <w:r>
        <w:rPr>
          <w:rFonts w:ascii="Times New Roman" w:hAnsi="Times New Roman"/>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2</w:t>
      </w:r>
      <w:r>
        <w:rPr>
          <w:rFonts w:hint="eastAsia" w:ascii="仿宋_GB2312" w:hAnsi="仿宋_GB2312" w:eastAsia="仿宋_GB2312" w:cs="仿宋_GB2312"/>
          <w:b/>
          <w:bCs/>
          <w:sz w:val="32"/>
          <w:szCs w:val="32"/>
          <w:highlight w:val="none"/>
          <w:lang w:val="en-US" w:eastAsia="zh-CN"/>
        </w:rPr>
        <w:t>.</w:t>
      </w:r>
      <w:r>
        <w:rPr>
          <w:rFonts w:hint="eastAsia" w:ascii="仿宋_GB2312" w:hAnsi="仿宋_GB2312" w:eastAsia="仿宋_GB2312" w:cs="仿宋_GB2312"/>
          <w:b/>
          <w:bCs/>
          <w:sz w:val="32"/>
          <w:szCs w:val="32"/>
          <w:highlight w:val="none"/>
        </w:rPr>
        <w:t>下达绩效目标情况</w:t>
      </w:r>
      <w:r>
        <w:rPr>
          <w:rFonts w:hint="eastAsia" w:ascii="仿宋_GB2312" w:hAnsi="仿宋_GB2312" w:eastAsia="仿宋_GB2312" w:cs="仿宋_GB2312"/>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0"/>
        <w:textAlignment w:val="auto"/>
        <w:rPr>
          <w:rFonts w:ascii="Times New Roman" w:hAnsi="Times New Roman" w:eastAsia="宋体"/>
          <w:b/>
          <w:bCs/>
          <w:spacing w:val="-8"/>
          <w:sz w:val="23"/>
          <w:szCs w:val="23"/>
          <w:highlight w:val="none"/>
        </w:rPr>
      </w:pPr>
      <w:r>
        <w:rPr>
          <w:rFonts w:hint="eastAsia" w:ascii="Times New Roman" w:hAnsi="Times New Roman"/>
          <w:sz w:val="32"/>
          <w:szCs w:val="32"/>
          <w:highlight w:val="none"/>
        </w:rPr>
        <w:t>《</w:t>
      </w:r>
      <w:r>
        <w:rPr>
          <w:rFonts w:ascii="Times New Roman" w:hAnsi="Times New Roman"/>
          <w:sz w:val="32"/>
          <w:szCs w:val="32"/>
          <w:highlight w:val="none"/>
        </w:rPr>
        <w:t>财政部关于下达2024年粮油生产保障资金预算的通知</w:t>
      </w:r>
      <w:r>
        <w:rPr>
          <w:rFonts w:hint="eastAsia" w:ascii="Times New Roman" w:hAnsi="Times New Roman"/>
          <w:sz w:val="32"/>
          <w:szCs w:val="32"/>
          <w:highlight w:val="none"/>
        </w:rPr>
        <w:t>》</w:t>
      </w:r>
      <w:r>
        <w:rPr>
          <w:rFonts w:ascii="Times New Roman" w:hAnsi="Times New Roman"/>
          <w:sz w:val="32"/>
          <w:szCs w:val="32"/>
          <w:highlight w:val="none"/>
        </w:rPr>
        <w:t>（财农〔2024〕11号</w:t>
      </w:r>
      <w:r>
        <w:rPr>
          <w:rFonts w:hint="eastAsia" w:ascii="Times New Roman" w:hAnsi="Times New Roman"/>
          <w:sz w:val="32"/>
          <w:szCs w:val="32"/>
          <w:highlight w:val="none"/>
        </w:rPr>
        <w:t>）</w:t>
      </w:r>
      <w:r>
        <w:rPr>
          <w:rFonts w:ascii="Times New Roman" w:hAnsi="Times New Roman"/>
          <w:sz w:val="32"/>
          <w:szCs w:val="32"/>
          <w:highlight w:val="none"/>
        </w:rPr>
        <w:t>随文下达新疆区域绩效目标，情况详见下表</w:t>
      </w:r>
      <w:r>
        <w:rPr>
          <w:rFonts w:ascii="Times New Roman" w:hAnsi="Times New Roman"/>
          <w:color w:val="000000"/>
          <w:highlight w:val="none"/>
        </w:rPr>
        <w:t>：</w:t>
      </w:r>
    </w:p>
    <w:p>
      <w:pPr>
        <w:spacing w:before="107" w:line="209" w:lineRule="auto"/>
        <w:jc w:val="center"/>
        <w:outlineLvl w:val="0"/>
        <w:rPr>
          <w:rFonts w:eastAsia="宋体"/>
          <w:sz w:val="32"/>
          <w:szCs w:val="32"/>
          <w:highlight w:val="none"/>
        </w:rPr>
      </w:pPr>
      <w:r>
        <w:rPr>
          <w:rFonts w:eastAsia="宋体"/>
          <w:b/>
          <w:bCs/>
          <w:spacing w:val="-8"/>
          <w:sz w:val="32"/>
          <w:szCs w:val="32"/>
          <w:highlight w:val="none"/>
        </w:rPr>
        <w:t>粮油生产保障资金区域绩效目标表</w:t>
      </w:r>
    </w:p>
    <w:p>
      <w:pPr>
        <w:keepNext w:val="0"/>
        <w:keepLines w:val="0"/>
        <w:pageBreakBefore w:val="0"/>
        <w:widowControl w:val="0"/>
        <w:kinsoku/>
        <w:wordWrap/>
        <w:overflowPunct/>
        <w:topLinePunct w:val="0"/>
        <w:autoSpaceDE/>
        <w:autoSpaceDN/>
        <w:bidi w:val="0"/>
        <w:adjustRightInd/>
        <w:snapToGrid/>
        <w:spacing w:after="0" w:line="240" w:lineRule="exact"/>
        <w:jc w:val="center"/>
        <w:textAlignment w:val="auto"/>
        <w:outlineLvl w:val="0"/>
        <w:rPr>
          <w:rFonts w:eastAsia="宋体"/>
          <w:sz w:val="22"/>
          <w:szCs w:val="22"/>
          <w:highlight w:val="none"/>
        </w:rPr>
      </w:pPr>
      <w:r>
        <w:rPr>
          <w:rFonts w:eastAsia="宋体"/>
          <w:b/>
          <w:bCs/>
          <w:spacing w:val="2"/>
          <w:sz w:val="22"/>
          <w:szCs w:val="22"/>
          <w:highlight w:val="none"/>
        </w:rPr>
        <w:t>(202</w:t>
      </w:r>
      <w:r>
        <w:rPr>
          <w:rFonts w:hint="eastAsia" w:eastAsia="宋体"/>
          <w:b/>
          <w:bCs/>
          <w:spacing w:val="2"/>
          <w:sz w:val="22"/>
          <w:szCs w:val="22"/>
          <w:highlight w:val="none"/>
        </w:rPr>
        <w:t>4</w:t>
      </w:r>
      <w:r>
        <w:rPr>
          <w:rFonts w:eastAsia="宋体"/>
          <w:b/>
          <w:bCs/>
          <w:spacing w:val="2"/>
          <w:sz w:val="22"/>
          <w:szCs w:val="22"/>
          <w:highlight w:val="none"/>
        </w:rPr>
        <w:t>年度）</w:t>
      </w:r>
    </w:p>
    <w:p>
      <w:pPr>
        <w:spacing w:line="27" w:lineRule="exact"/>
        <w:rPr>
          <w:highlight w:val="none"/>
        </w:rPr>
      </w:pPr>
    </w:p>
    <w:tbl>
      <w:tblPr>
        <w:tblStyle w:val="15"/>
        <w:tblW w:w="922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43"/>
        <w:gridCol w:w="808"/>
        <w:gridCol w:w="1962"/>
        <w:gridCol w:w="3263"/>
        <w:gridCol w:w="21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76"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rPr>
            </w:pPr>
            <w:r>
              <w:rPr>
                <w:rFonts w:ascii="Times New Roman" w:hAnsi="Times New Roman" w:cs="Times New Roman"/>
                <w:spacing w:val="2"/>
                <w:sz w:val="16"/>
                <w:szCs w:val="16"/>
                <w:highlight w:val="none"/>
              </w:rPr>
              <w:t>资金名称</w:t>
            </w:r>
          </w:p>
        </w:tc>
        <w:tc>
          <w:tcPr>
            <w:tcW w:w="2153" w:type="dxa"/>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rPr>
            </w:pPr>
            <w:r>
              <w:rPr>
                <w:rFonts w:ascii="Times New Roman" w:hAnsi="Times New Roman" w:cs="Times New Roman"/>
                <w:spacing w:val="-1"/>
                <w:sz w:val="16"/>
                <w:szCs w:val="16"/>
                <w:highlight w:val="none"/>
              </w:rPr>
              <w:t>粮油生产保障资金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76"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rPr>
            </w:pPr>
            <w:r>
              <w:rPr>
                <w:rFonts w:ascii="Times New Roman" w:hAnsi="Times New Roman" w:cs="Times New Roman"/>
                <w:spacing w:val="3"/>
                <w:sz w:val="16"/>
                <w:szCs w:val="16"/>
                <w:highlight w:val="none"/>
              </w:rPr>
              <w:t>中央主管部门</w:t>
            </w:r>
          </w:p>
        </w:tc>
        <w:tc>
          <w:tcPr>
            <w:tcW w:w="2153" w:type="dxa"/>
          </w:tcPr>
          <w:p>
            <w:pPr>
              <w:pStyle w:val="14"/>
              <w:keepNext w:val="0"/>
              <w:keepLines w:val="0"/>
              <w:pageBreakBefore w:val="0"/>
              <w:widowControl w:val="0"/>
              <w:kinsoku/>
              <w:wordWrap/>
              <w:overflowPunct/>
              <w:topLinePunct w:val="0"/>
              <w:autoSpaceDE/>
              <w:autoSpaceDN/>
              <w:bidi w:val="0"/>
              <w:adjustRightInd/>
              <w:snapToGrid/>
              <w:spacing w:after="0" w:line="400" w:lineRule="exact"/>
              <w:ind w:left="69"/>
              <w:jc w:val="center"/>
              <w:textAlignment w:val="auto"/>
              <w:rPr>
                <w:rFonts w:ascii="Times New Roman" w:hAnsi="Times New Roman" w:cs="Times New Roman"/>
                <w:sz w:val="16"/>
                <w:szCs w:val="16"/>
                <w:highlight w:val="none"/>
              </w:rPr>
            </w:pPr>
            <w:r>
              <w:rPr>
                <w:rFonts w:ascii="Times New Roman" w:hAnsi="Times New Roman" w:cs="Times New Roman"/>
                <w:spacing w:val="-1"/>
                <w:sz w:val="16"/>
                <w:szCs w:val="16"/>
                <w:highlight w:val="none"/>
              </w:rPr>
              <w:t>财政部、农业农村部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9" w:hRule="atLeast"/>
          <w:jc w:val="center"/>
        </w:trPr>
        <w:tc>
          <w:tcPr>
            <w:tcW w:w="7076"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rPr>
            </w:pPr>
            <w:r>
              <w:rPr>
                <w:rFonts w:ascii="Times New Roman" w:hAnsi="Times New Roman" w:cs="Times New Roman"/>
                <w:spacing w:val="3"/>
                <w:sz w:val="16"/>
                <w:szCs w:val="16"/>
                <w:highlight w:val="none"/>
              </w:rPr>
              <w:t>省级财政部门</w:t>
            </w:r>
          </w:p>
        </w:tc>
        <w:tc>
          <w:tcPr>
            <w:tcW w:w="2153" w:type="dxa"/>
            <w:vAlign w:val="center"/>
          </w:tcPr>
          <w:p>
            <w:pPr>
              <w:pStyle w:val="14"/>
              <w:keepNext w:val="0"/>
              <w:keepLines w:val="0"/>
              <w:pageBreakBefore w:val="0"/>
              <w:widowControl w:val="0"/>
              <w:kinsoku/>
              <w:wordWrap/>
              <w:overflowPunct/>
              <w:topLinePunct w:val="0"/>
              <w:autoSpaceDE/>
              <w:autoSpaceDN/>
              <w:bidi w:val="0"/>
              <w:adjustRightInd/>
              <w:snapToGrid/>
              <w:spacing w:after="0" w:line="240" w:lineRule="exact"/>
              <w:ind w:right="147"/>
              <w:jc w:val="center"/>
              <w:textAlignment w:val="auto"/>
              <w:rPr>
                <w:rFonts w:ascii="Times New Roman" w:hAnsi="Times New Roman" w:cs="Times New Roman"/>
                <w:spacing w:val="-1"/>
                <w:sz w:val="16"/>
                <w:szCs w:val="16"/>
                <w:highlight w:val="none"/>
                <w:lang w:eastAsia="zh-CN"/>
              </w:rPr>
            </w:pPr>
            <w:r>
              <w:rPr>
                <w:rFonts w:ascii="Times New Roman" w:hAnsi="Times New Roman" w:cs="Times New Roman"/>
                <w:spacing w:val="-1"/>
                <w:sz w:val="16"/>
                <w:szCs w:val="16"/>
                <w:highlight w:val="none"/>
                <w:lang w:eastAsia="zh-CN"/>
              </w:rPr>
              <w:t>新疆维吾尔自治区</w:t>
            </w:r>
          </w:p>
          <w:p>
            <w:pPr>
              <w:pStyle w:val="14"/>
              <w:keepNext w:val="0"/>
              <w:keepLines w:val="0"/>
              <w:pageBreakBefore w:val="0"/>
              <w:widowControl w:val="0"/>
              <w:kinsoku/>
              <w:wordWrap/>
              <w:overflowPunct/>
              <w:topLinePunct w:val="0"/>
              <w:autoSpaceDE/>
              <w:autoSpaceDN/>
              <w:bidi w:val="0"/>
              <w:adjustRightInd/>
              <w:snapToGrid/>
              <w:spacing w:after="0" w:line="240" w:lineRule="exact"/>
              <w:ind w:right="147"/>
              <w:jc w:val="center"/>
              <w:textAlignment w:val="auto"/>
              <w:rPr>
                <w:rFonts w:ascii="Times New Roman" w:hAnsi="Times New Roman" w:cs="Times New Roman"/>
                <w:sz w:val="16"/>
                <w:szCs w:val="16"/>
                <w:highlight w:val="none"/>
                <w:lang w:eastAsia="zh-CN"/>
              </w:rPr>
            </w:pPr>
            <w:r>
              <w:rPr>
                <w:rFonts w:ascii="Times New Roman" w:hAnsi="Times New Roman" w:cs="Times New Roman"/>
                <w:spacing w:val="-1"/>
                <w:sz w:val="16"/>
                <w:szCs w:val="16"/>
                <w:highlight w:val="none"/>
                <w:lang w:eastAsia="zh-CN"/>
              </w:rPr>
              <w:t>农</w:t>
            </w:r>
            <w:r>
              <w:rPr>
                <w:rFonts w:ascii="Times New Roman" w:hAnsi="Times New Roman" w:cs="Times New Roman"/>
                <w:spacing w:val="-2"/>
                <w:sz w:val="16"/>
                <w:szCs w:val="16"/>
                <w:highlight w:val="none"/>
                <w:lang w:eastAsia="zh-CN"/>
              </w:rPr>
              <w:t>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7076" w:type="dxa"/>
            <w:gridSpan w:val="4"/>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rPr>
            </w:pPr>
            <w:r>
              <w:rPr>
                <w:rFonts w:ascii="Times New Roman" w:hAnsi="Times New Roman" w:cs="Times New Roman"/>
                <w:spacing w:val="3"/>
                <w:sz w:val="16"/>
                <w:szCs w:val="16"/>
                <w:highlight w:val="none"/>
              </w:rPr>
              <w:t>省级主管部门</w:t>
            </w:r>
          </w:p>
        </w:tc>
        <w:tc>
          <w:tcPr>
            <w:tcW w:w="2153" w:type="dxa"/>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ind w:right="82"/>
              <w:jc w:val="center"/>
              <w:textAlignment w:val="auto"/>
              <w:rPr>
                <w:rFonts w:ascii="Times New Roman" w:hAnsi="Times New Roman" w:cs="Times New Roman"/>
                <w:sz w:val="16"/>
                <w:szCs w:val="16"/>
                <w:highlight w:val="none"/>
                <w:lang w:eastAsia="zh-CN"/>
              </w:rPr>
            </w:pPr>
            <w:r>
              <w:rPr>
                <w:rFonts w:ascii="Times New Roman" w:hAnsi="Times New Roman" w:cs="Times New Roman"/>
                <w:spacing w:val="-1"/>
                <w:sz w:val="16"/>
                <w:szCs w:val="16"/>
                <w:highlight w:val="none"/>
                <w:lang w:eastAsia="zh-CN"/>
              </w:rPr>
              <w:t>新疆维吾尔自治区农</w:t>
            </w:r>
            <w:r>
              <w:rPr>
                <w:rFonts w:ascii="Times New Roman" w:hAnsi="Times New Roman" w:cs="Times New Roman"/>
                <w:spacing w:val="-2"/>
                <w:sz w:val="16"/>
                <w:szCs w:val="16"/>
                <w:highlight w:val="none"/>
                <w:lang w:eastAsia="zh-CN"/>
              </w:rPr>
              <w:t>业农村厅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restart"/>
            <w:tcBorders>
              <w:bottom w:val="nil"/>
            </w:tcBorders>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ind w:right="120"/>
              <w:jc w:val="center"/>
              <w:textAlignment w:val="auto"/>
              <w:rPr>
                <w:rFonts w:ascii="Times New Roman" w:hAnsi="Times New Roman" w:cs="Times New Roman"/>
                <w:sz w:val="16"/>
                <w:szCs w:val="16"/>
                <w:highlight w:val="none"/>
                <w:lang w:eastAsia="zh-CN"/>
              </w:rPr>
            </w:pPr>
            <w:r>
              <w:rPr>
                <w:rFonts w:ascii="Times New Roman" w:hAnsi="Times New Roman" w:cs="Times New Roman"/>
                <w:sz w:val="16"/>
                <w:szCs w:val="16"/>
                <w:highlight w:val="none"/>
                <w:lang w:eastAsia="zh-CN"/>
              </w:rPr>
              <w:t>资金情况</w:t>
            </w:r>
          </w:p>
        </w:tc>
        <w:tc>
          <w:tcPr>
            <w:tcW w:w="6033" w:type="dxa"/>
            <w:gridSpan w:val="3"/>
          </w:tcPr>
          <w:p>
            <w:pPr>
              <w:pStyle w:val="14"/>
              <w:keepNext w:val="0"/>
              <w:keepLines w:val="0"/>
              <w:pageBreakBefore w:val="0"/>
              <w:widowControl w:val="0"/>
              <w:kinsoku/>
              <w:wordWrap/>
              <w:overflowPunct/>
              <w:topLinePunct w:val="0"/>
              <w:autoSpaceDE/>
              <w:autoSpaceDN/>
              <w:bidi w:val="0"/>
              <w:adjustRightInd/>
              <w:snapToGrid/>
              <w:spacing w:after="0" w:line="400" w:lineRule="exact"/>
              <w:ind w:left="2691"/>
              <w:textAlignment w:val="auto"/>
              <w:rPr>
                <w:rFonts w:ascii="Times New Roman" w:hAnsi="Times New Roman" w:cs="Times New Roman"/>
                <w:sz w:val="16"/>
                <w:szCs w:val="16"/>
                <w:highlight w:val="none"/>
              </w:rPr>
            </w:pPr>
            <w:r>
              <w:rPr>
                <w:rFonts w:ascii="Times New Roman" w:hAnsi="Times New Roman" w:cs="Times New Roman"/>
                <w:spacing w:val="5"/>
                <w:sz w:val="16"/>
                <w:szCs w:val="16"/>
                <w:highlight w:val="none"/>
              </w:rPr>
              <w:t>年度金额</w:t>
            </w:r>
            <w:r>
              <w:rPr>
                <w:rFonts w:ascii="Times New Roman" w:hAnsi="Times New Roman" w:cs="Times New Roman"/>
                <w:spacing w:val="5"/>
                <w:sz w:val="16"/>
                <w:szCs w:val="16"/>
                <w:highlight w:val="none"/>
                <w:lang w:eastAsia="zh-CN"/>
              </w:rPr>
              <w:t>（</w:t>
            </w:r>
            <w:r>
              <w:rPr>
                <w:rFonts w:ascii="Times New Roman" w:hAnsi="Times New Roman" w:cs="Times New Roman"/>
                <w:spacing w:val="5"/>
                <w:sz w:val="16"/>
                <w:szCs w:val="16"/>
                <w:highlight w:val="none"/>
              </w:rPr>
              <w:t>万元</w:t>
            </w:r>
            <w:r>
              <w:rPr>
                <w:rFonts w:ascii="Times New Roman" w:hAnsi="Times New Roman" w:cs="Times New Roman"/>
                <w:spacing w:val="5"/>
                <w:sz w:val="16"/>
                <w:szCs w:val="16"/>
                <w:highlight w:val="none"/>
                <w:lang w:eastAsia="zh-CN"/>
              </w:rPr>
              <w:t>）</w:t>
            </w:r>
          </w:p>
        </w:tc>
        <w:tc>
          <w:tcPr>
            <w:tcW w:w="2153" w:type="dxa"/>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lang w:eastAsia="zh-CN"/>
              </w:rPr>
            </w:pPr>
            <w:r>
              <w:rPr>
                <w:rFonts w:hint="eastAsia" w:ascii="Times New Roman" w:hAnsi="Times New Roman" w:cs="Times New Roman"/>
                <w:spacing w:val="-4"/>
                <w:sz w:val="16"/>
                <w:szCs w:val="16"/>
                <w:highlight w:val="none"/>
                <w:lang w:eastAsia="zh-CN"/>
              </w:rPr>
              <w:t>16817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sz w:val="16"/>
                <w:szCs w:val="16"/>
                <w:highlight w:val="none"/>
              </w:rPr>
            </w:pPr>
          </w:p>
        </w:tc>
        <w:tc>
          <w:tcPr>
            <w:tcW w:w="6033" w:type="dxa"/>
            <w:gridSpan w:val="3"/>
          </w:tcPr>
          <w:p>
            <w:pPr>
              <w:pStyle w:val="14"/>
              <w:keepNext w:val="0"/>
              <w:keepLines w:val="0"/>
              <w:pageBreakBefore w:val="0"/>
              <w:widowControl w:val="0"/>
              <w:kinsoku/>
              <w:wordWrap/>
              <w:overflowPunct/>
              <w:topLinePunct w:val="0"/>
              <w:autoSpaceDE/>
              <w:autoSpaceDN/>
              <w:bidi w:val="0"/>
              <w:adjustRightInd/>
              <w:snapToGrid/>
              <w:spacing w:after="0" w:line="400" w:lineRule="exact"/>
              <w:ind w:left="2691"/>
              <w:textAlignment w:val="auto"/>
              <w:rPr>
                <w:rFonts w:ascii="Times New Roman" w:hAnsi="Times New Roman" w:cs="Times New Roman"/>
                <w:sz w:val="16"/>
                <w:szCs w:val="16"/>
                <w:highlight w:val="none"/>
              </w:rPr>
            </w:pPr>
            <w:r>
              <w:rPr>
                <w:rFonts w:ascii="Times New Roman" w:hAnsi="Times New Roman" w:cs="Times New Roman"/>
                <w:spacing w:val="-2"/>
                <w:sz w:val="16"/>
                <w:szCs w:val="16"/>
                <w:highlight w:val="none"/>
              </w:rPr>
              <w:t>其中：中央补助</w:t>
            </w:r>
          </w:p>
        </w:tc>
        <w:tc>
          <w:tcPr>
            <w:tcW w:w="2153" w:type="dxa"/>
          </w:tcPr>
          <w:p>
            <w:pPr>
              <w:pStyle w:val="14"/>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rFonts w:ascii="Times New Roman" w:hAnsi="Times New Roman" w:cs="Times New Roman"/>
                <w:sz w:val="16"/>
                <w:szCs w:val="16"/>
                <w:highlight w:val="none"/>
                <w:lang w:eastAsia="zh-CN"/>
              </w:rPr>
            </w:pPr>
            <w:r>
              <w:rPr>
                <w:rFonts w:hint="eastAsia" w:ascii="Times New Roman" w:hAnsi="Times New Roman" w:cs="Times New Roman"/>
                <w:spacing w:val="-4"/>
                <w:sz w:val="16"/>
                <w:szCs w:val="16"/>
                <w:highlight w:val="none"/>
                <w:lang w:eastAsia="zh-CN"/>
              </w:rPr>
              <w:t>16817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tcBorders>
            <w:vAlign w:val="center"/>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sz w:val="16"/>
                <w:szCs w:val="16"/>
                <w:highlight w:val="none"/>
              </w:rPr>
            </w:pPr>
          </w:p>
        </w:tc>
        <w:tc>
          <w:tcPr>
            <w:tcW w:w="6033" w:type="dxa"/>
            <w:gridSpan w:val="3"/>
          </w:tcPr>
          <w:p>
            <w:pPr>
              <w:pStyle w:val="14"/>
              <w:keepNext w:val="0"/>
              <w:keepLines w:val="0"/>
              <w:pageBreakBefore w:val="0"/>
              <w:widowControl w:val="0"/>
              <w:kinsoku/>
              <w:wordWrap/>
              <w:overflowPunct/>
              <w:topLinePunct w:val="0"/>
              <w:autoSpaceDE/>
              <w:autoSpaceDN/>
              <w:bidi w:val="0"/>
              <w:adjustRightInd/>
              <w:snapToGrid/>
              <w:spacing w:after="0" w:line="400" w:lineRule="exact"/>
              <w:ind w:left="2980"/>
              <w:textAlignment w:val="auto"/>
              <w:rPr>
                <w:rFonts w:ascii="Times New Roman" w:hAnsi="Times New Roman" w:cs="Times New Roman"/>
                <w:sz w:val="16"/>
                <w:szCs w:val="16"/>
                <w:highlight w:val="none"/>
              </w:rPr>
            </w:pPr>
            <w:r>
              <w:rPr>
                <w:rFonts w:ascii="Times New Roman" w:hAnsi="Times New Roman" w:cs="Times New Roman"/>
                <w:spacing w:val="-2"/>
                <w:sz w:val="16"/>
                <w:szCs w:val="16"/>
                <w:highlight w:val="none"/>
              </w:rPr>
              <w:t>地方资金</w:t>
            </w:r>
          </w:p>
        </w:tc>
        <w:tc>
          <w:tcPr>
            <w:tcW w:w="2153" w:type="dxa"/>
          </w:tcPr>
          <w:p>
            <w:pPr>
              <w:keepNext w:val="0"/>
              <w:keepLines w:val="0"/>
              <w:pageBreakBefore w:val="0"/>
              <w:widowControl w:val="0"/>
              <w:kinsoku/>
              <w:wordWrap/>
              <w:overflowPunct/>
              <w:topLinePunct w:val="0"/>
              <w:autoSpaceDE/>
              <w:autoSpaceDN/>
              <w:bidi w:val="0"/>
              <w:adjustRightInd/>
              <w:snapToGrid/>
              <w:spacing w:after="0" w:line="400" w:lineRule="exact"/>
              <w:jc w:val="center"/>
              <w:textAlignment w:val="auto"/>
              <w:rPr>
                <w:sz w:val="16"/>
                <w:szCs w:val="16"/>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Align w:val="center"/>
          </w:tcPr>
          <w:p>
            <w:pPr>
              <w:pStyle w:val="14"/>
              <w:keepNext w:val="0"/>
              <w:keepLines w:val="0"/>
              <w:pageBreakBefore w:val="0"/>
              <w:widowControl w:val="0"/>
              <w:kinsoku/>
              <w:wordWrap/>
              <w:overflowPunct/>
              <w:topLinePunct w:val="0"/>
              <w:autoSpaceDE/>
              <w:autoSpaceDN/>
              <w:bidi w:val="0"/>
              <w:adjustRightInd/>
              <w:snapToGrid/>
              <w:spacing w:after="0" w:line="400" w:lineRule="exact"/>
              <w:ind w:left="115" w:right="121"/>
              <w:jc w:val="center"/>
              <w:textAlignment w:val="auto"/>
              <w:rPr>
                <w:rFonts w:ascii="Times New Roman" w:hAnsi="Times New Roman" w:cs="Times New Roman"/>
                <w:sz w:val="16"/>
                <w:szCs w:val="16"/>
                <w:highlight w:val="none"/>
              </w:rPr>
            </w:pPr>
            <w:r>
              <w:rPr>
                <w:rFonts w:ascii="Times New Roman" w:hAnsi="Times New Roman" w:cs="Times New Roman"/>
                <w:spacing w:val="-5"/>
                <w:sz w:val="16"/>
                <w:szCs w:val="16"/>
                <w:highlight w:val="none"/>
              </w:rPr>
              <w:t>年度</w:t>
            </w:r>
            <w:r>
              <w:rPr>
                <w:rFonts w:ascii="Times New Roman" w:hAnsi="Times New Roman" w:cs="Times New Roman"/>
                <w:spacing w:val="3"/>
                <w:sz w:val="16"/>
                <w:szCs w:val="16"/>
                <w:highlight w:val="none"/>
              </w:rPr>
              <w:t>目标</w:t>
            </w:r>
          </w:p>
        </w:tc>
        <w:tc>
          <w:tcPr>
            <w:tcW w:w="8186" w:type="dxa"/>
            <w:gridSpan w:val="4"/>
          </w:tcPr>
          <w:p>
            <w:pPr>
              <w:pStyle w:val="14"/>
              <w:keepNext w:val="0"/>
              <w:keepLines w:val="0"/>
              <w:pageBreakBefore w:val="0"/>
              <w:widowControl w:val="0"/>
              <w:kinsoku/>
              <w:wordWrap/>
              <w:overflowPunct/>
              <w:topLinePunct w:val="0"/>
              <w:autoSpaceDE/>
              <w:autoSpaceDN/>
              <w:bidi w:val="0"/>
              <w:adjustRightInd/>
              <w:snapToGrid/>
              <w:spacing w:after="0" w:line="400" w:lineRule="exact"/>
              <w:ind w:left="31"/>
              <w:jc w:val="center"/>
              <w:textAlignment w:val="auto"/>
              <w:rPr>
                <w:rFonts w:ascii="Times New Roman" w:hAnsi="Times New Roman" w:cs="Times New Roman"/>
                <w:sz w:val="16"/>
                <w:szCs w:val="16"/>
                <w:highlight w:val="none"/>
                <w:lang w:eastAsia="zh-CN"/>
              </w:rPr>
            </w:pPr>
            <w:r>
              <w:rPr>
                <w:rFonts w:ascii="Times New Roman" w:hAnsi="Times New Roman" w:cs="Times New Roman"/>
                <w:spacing w:val="-1"/>
                <w:sz w:val="16"/>
                <w:szCs w:val="16"/>
                <w:highlight w:val="none"/>
                <w:lang w:eastAsia="zh-CN"/>
              </w:rPr>
              <w:t>按照相关规划或实施方案，结合地方实际开展粮油生产保障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restart"/>
            <w:tcBorders>
              <w:bottom w:val="nil"/>
            </w:tcBorders>
            <w:vAlign w:val="center"/>
          </w:tcPr>
          <w:p>
            <w:pPr>
              <w:pStyle w:val="14"/>
              <w:spacing w:before="62" w:line="217" w:lineRule="auto"/>
              <w:ind w:left="115" w:right="121"/>
              <w:jc w:val="center"/>
              <w:rPr>
                <w:rFonts w:ascii="Times New Roman" w:hAnsi="Times New Roman" w:cs="Times New Roman"/>
                <w:spacing w:val="-6"/>
                <w:sz w:val="16"/>
                <w:szCs w:val="16"/>
                <w:highlight w:val="none"/>
              </w:rPr>
            </w:pPr>
            <w:r>
              <w:rPr>
                <w:rFonts w:ascii="Times New Roman" w:hAnsi="Times New Roman" w:cs="Times New Roman"/>
                <w:spacing w:val="-6"/>
                <w:sz w:val="16"/>
                <w:szCs w:val="16"/>
                <w:highlight w:val="none"/>
              </w:rPr>
              <w:t>绩</w:t>
            </w:r>
          </w:p>
          <w:p>
            <w:pPr>
              <w:pStyle w:val="14"/>
              <w:spacing w:before="62" w:line="217" w:lineRule="auto"/>
              <w:ind w:left="115" w:right="121"/>
              <w:jc w:val="center"/>
              <w:rPr>
                <w:rFonts w:ascii="Times New Roman" w:hAnsi="Times New Roman" w:cs="Times New Roman"/>
                <w:spacing w:val="-6"/>
                <w:sz w:val="16"/>
                <w:szCs w:val="16"/>
                <w:highlight w:val="none"/>
              </w:rPr>
            </w:pPr>
            <w:r>
              <w:rPr>
                <w:rFonts w:ascii="Times New Roman" w:hAnsi="Times New Roman" w:cs="Times New Roman"/>
                <w:spacing w:val="-6"/>
                <w:sz w:val="16"/>
                <w:szCs w:val="16"/>
                <w:highlight w:val="none"/>
              </w:rPr>
              <w:t>效</w:t>
            </w:r>
          </w:p>
          <w:p>
            <w:pPr>
              <w:pStyle w:val="14"/>
              <w:spacing w:before="62" w:line="217" w:lineRule="auto"/>
              <w:ind w:left="115" w:right="121"/>
              <w:jc w:val="center"/>
              <w:rPr>
                <w:rFonts w:ascii="Times New Roman" w:hAnsi="Times New Roman" w:cs="Times New Roman"/>
                <w:spacing w:val="3"/>
                <w:sz w:val="16"/>
                <w:szCs w:val="16"/>
                <w:highlight w:val="none"/>
              </w:rPr>
            </w:pPr>
            <w:r>
              <w:rPr>
                <w:rFonts w:ascii="Times New Roman" w:hAnsi="Times New Roman" w:cs="Times New Roman"/>
                <w:spacing w:val="3"/>
                <w:sz w:val="16"/>
                <w:szCs w:val="16"/>
                <w:highlight w:val="none"/>
              </w:rPr>
              <w:t>目</w:t>
            </w:r>
          </w:p>
          <w:p>
            <w:pPr>
              <w:pStyle w:val="14"/>
              <w:spacing w:before="62" w:line="217" w:lineRule="auto"/>
              <w:ind w:left="115" w:right="121"/>
              <w:jc w:val="center"/>
              <w:rPr>
                <w:rFonts w:ascii="Times New Roman" w:hAnsi="Times New Roman" w:cs="Times New Roman"/>
                <w:sz w:val="16"/>
                <w:szCs w:val="16"/>
                <w:highlight w:val="none"/>
              </w:rPr>
            </w:pPr>
            <w:r>
              <w:rPr>
                <w:rFonts w:ascii="Times New Roman" w:hAnsi="Times New Roman" w:cs="Times New Roman"/>
                <w:spacing w:val="3"/>
                <w:sz w:val="16"/>
                <w:szCs w:val="16"/>
                <w:highlight w:val="none"/>
              </w:rPr>
              <w:t>标</w:t>
            </w:r>
          </w:p>
        </w:tc>
        <w:tc>
          <w:tcPr>
            <w:tcW w:w="808" w:type="dxa"/>
          </w:tcPr>
          <w:p>
            <w:pPr>
              <w:pStyle w:val="14"/>
              <w:spacing w:before="159" w:line="220" w:lineRule="auto"/>
              <w:ind w:left="163"/>
              <w:rPr>
                <w:rFonts w:ascii="Times New Roman" w:hAnsi="Times New Roman" w:cs="Times New Roman"/>
                <w:sz w:val="16"/>
                <w:szCs w:val="16"/>
                <w:highlight w:val="none"/>
              </w:rPr>
            </w:pPr>
            <w:r>
              <w:rPr>
                <w:rFonts w:ascii="Times New Roman" w:hAnsi="Times New Roman" w:cs="Times New Roman"/>
                <w:b/>
                <w:bCs/>
                <w:spacing w:val="-5"/>
                <w:sz w:val="16"/>
                <w:szCs w:val="16"/>
                <w:highlight w:val="none"/>
              </w:rPr>
              <w:t>一级指标</w:t>
            </w:r>
          </w:p>
        </w:tc>
        <w:tc>
          <w:tcPr>
            <w:tcW w:w="1962" w:type="dxa"/>
          </w:tcPr>
          <w:p>
            <w:pPr>
              <w:pStyle w:val="14"/>
              <w:spacing w:before="159" w:line="220" w:lineRule="auto"/>
              <w:ind w:left="565"/>
              <w:rPr>
                <w:rFonts w:ascii="Times New Roman" w:hAnsi="Times New Roman" w:cs="Times New Roman"/>
                <w:sz w:val="16"/>
                <w:szCs w:val="16"/>
                <w:highlight w:val="none"/>
              </w:rPr>
            </w:pPr>
            <w:r>
              <w:rPr>
                <w:rFonts w:ascii="Times New Roman" w:hAnsi="Times New Roman" w:cs="Times New Roman"/>
                <w:b/>
                <w:bCs/>
                <w:spacing w:val="-4"/>
                <w:sz w:val="16"/>
                <w:szCs w:val="16"/>
                <w:highlight w:val="none"/>
              </w:rPr>
              <w:t>二级指标</w:t>
            </w:r>
          </w:p>
        </w:tc>
        <w:tc>
          <w:tcPr>
            <w:tcW w:w="3263" w:type="dxa"/>
          </w:tcPr>
          <w:p>
            <w:pPr>
              <w:pStyle w:val="14"/>
              <w:spacing w:before="159" w:line="220" w:lineRule="auto"/>
              <w:jc w:val="center"/>
              <w:rPr>
                <w:rFonts w:ascii="Times New Roman" w:hAnsi="Times New Roman" w:cs="Times New Roman"/>
                <w:sz w:val="16"/>
                <w:szCs w:val="16"/>
                <w:highlight w:val="none"/>
              </w:rPr>
            </w:pPr>
            <w:r>
              <w:rPr>
                <w:rFonts w:ascii="Times New Roman" w:hAnsi="Times New Roman" w:cs="Times New Roman"/>
                <w:b/>
                <w:bCs/>
                <w:spacing w:val="-4"/>
                <w:sz w:val="16"/>
                <w:szCs w:val="16"/>
                <w:highlight w:val="none"/>
              </w:rPr>
              <w:t>三级指标</w:t>
            </w:r>
          </w:p>
        </w:tc>
        <w:tc>
          <w:tcPr>
            <w:tcW w:w="2153" w:type="dxa"/>
          </w:tcPr>
          <w:p>
            <w:pPr>
              <w:pStyle w:val="14"/>
              <w:spacing w:before="159" w:line="219" w:lineRule="auto"/>
              <w:ind w:left="641"/>
              <w:rPr>
                <w:rFonts w:ascii="Times New Roman" w:hAnsi="Times New Roman" w:cs="Times New Roman"/>
                <w:sz w:val="16"/>
                <w:szCs w:val="16"/>
                <w:highlight w:val="none"/>
              </w:rPr>
            </w:pPr>
            <w:r>
              <w:rPr>
                <w:rFonts w:ascii="Times New Roman" w:hAnsi="Times New Roman" w:cs="Times New Roman"/>
                <w:b/>
                <w:bCs/>
                <w:spacing w:val="-5"/>
                <w:sz w:val="16"/>
                <w:szCs w:val="16"/>
                <w:highlight w:val="none"/>
              </w:rPr>
              <w:t>指标值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restart"/>
            <w:tcBorders>
              <w:bottom w:val="nil"/>
            </w:tcBorders>
            <w:vAlign w:val="center"/>
          </w:tcPr>
          <w:p>
            <w:pPr>
              <w:pStyle w:val="14"/>
              <w:spacing w:before="62" w:line="219" w:lineRule="auto"/>
              <w:jc w:val="center"/>
              <w:rPr>
                <w:rFonts w:ascii="Times New Roman" w:hAnsi="Times New Roman" w:cs="Times New Roman"/>
                <w:sz w:val="16"/>
                <w:szCs w:val="16"/>
                <w:highlight w:val="none"/>
              </w:rPr>
            </w:pPr>
            <w:r>
              <w:rPr>
                <w:rFonts w:ascii="Times New Roman" w:hAnsi="Times New Roman" w:cs="Times New Roman"/>
                <w:spacing w:val="-2"/>
                <w:sz w:val="16"/>
                <w:szCs w:val="16"/>
                <w:highlight w:val="none"/>
              </w:rPr>
              <w:t>产出指标</w:t>
            </w:r>
          </w:p>
        </w:tc>
        <w:tc>
          <w:tcPr>
            <w:tcW w:w="1962" w:type="dxa"/>
            <w:vMerge w:val="restart"/>
            <w:tcBorders>
              <w:bottom w:val="nil"/>
            </w:tcBorders>
            <w:vAlign w:val="center"/>
          </w:tcPr>
          <w:p>
            <w:pPr>
              <w:pStyle w:val="14"/>
              <w:spacing w:before="62" w:line="219" w:lineRule="auto"/>
              <w:jc w:val="center"/>
              <w:rPr>
                <w:rFonts w:ascii="Times New Roman" w:hAnsi="Times New Roman" w:cs="Times New Roman"/>
                <w:sz w:val="16"/>
                <w:szCs w:val="16"/>
                <w:highlight w:val="none"/>
              </w:rPr>
            </w:pPr>
            <w:r>
              <w:rPr>
                <w:rFonts w:ascii="Times New Roman" w:hAnsi="Times New Roman" w:cs="Times New Roman"/>
                <w:spacing w:val="-2"/>
                <w:sz w:val="16"/>
                <w:szCs w:val="16"/>
                <w:highlight w:val="none"/>
              </w:rPr>
              <w:t>数量指标</w:t>
            </w:r>
          </w:p>
        </w:tc>
        <w:tc>
          <w:tcPr>
            <w:tcW w:w="3263" w:type="dxa"/>
          </w:tcPr>
          <w:p>
            <w:pPr>
              <w:pStyle w:val="14"/>
              <w:spacing w:before="162" w:line="219" w:lineRule="auto"/>
              <w:ind w:left="35"/>
              <w:rPr>
                <w:rFonts w:ascii="Times New Roman" w:hAnsi="Times New Roman" w:cs="Times New Roman"/>
                <w:sz w:val="16"/>
                <w:szCs w:val="16"/>
                <w:highlight w:val="none"/>
                <w:lang w:eastAsia="zh-CN"/>
              </w:rPr>
            </w:pPr>
            <w:r>
              <w:rPr>
                <w:rFonts w:ascii="Times New Roman" w:hAnsi="Times New Roman" w:cs="Times New Roman"/>
                <w:spacing w:val="3"/>
                <w:sz w:val="16"/>
                <w:szCs w:val="16"/>
                <w:highlight w:val="none"/>
                <w:lang w:eastAsia="zh-CN"/>
              </w:rPr>
              <w:t>集中育秧设施建设数量（个）</w:t>
            </w:r>
          </w:p>
        </w:tc>
        <w:tc>
          <w:tcPr>
            <w:tcW w:w="2153" w:type="dxa"/>
            <w:vAlign w:val="center"/>
          </w:tcPr>
          <w:p>
            <w:pPr>
              <w:jc w:val="center"/>
              <w:rPr>
                <w:sz w:val="16"/>
                <w:szCs w:val="16"/>
                <w:highlight w:val="none"/>
              </w:rPr>
            </w:pPr>
            <w:r>
              <w:rPr>
                <w:rFonts w:eastAsia="宋体"/>
                <w:spacing w:val="-1"/>
                <w:position w:val="-1"/>
                <w:sz w:val="9"/>
                <w:szCs w:val="9"/>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Borders>
              <w:top w:val="nil"/>
              <w:bottom w:val="nil"/>
            </w:tcBorders>
          </w:tcPr>
          <w:p>
            <w:pPr>
              <w:jc w:val="center"/>
              <w:rPr>
                <w:sz w:val="16"/>
                <w:szCs w:val="16"/>
                <w:highlight w:val="none"/>
              </w:rPr>
            </w:pPr>
          </w:p>
        </w:tc>
        <w:tc>
          <w:tcPr>
            <w:tcW w:w="3263" w:type="dxa"/>
          </w:tcPr>
          <w:p>
            <w:pPr>
              <w:pStyle w:val="14"/>
              <w:spacing w:before="162" w:line="219" w:lineRule="auto"/>
              <w:ind w:left="35"/>
              <w:rPr>
                <w:rFonts w:ascii="Times New Roman" w:hAnsi="Times New Roman" w:cs="Times New Roman"/>
                <w:sz w:val="16"/>
                <w:szCs w:val="16"/>
                <w:highlight w:val="none"/>
                <w:lang w:eastAsia="zh-CN"/>
              </w:rPr>
            </w:pPr>
            <w:r>
              <w:rPr>
                <w:rFonts w:ascii="Times New Roman" w:hAnsi="Times New Roman" w:cs="Times New Roman"/>
                <w:spacing w:val="2"/>
                <w:sz w:val="16"/>
                <w:szCs w:val="16"/>
                <w:highlight w:val="none"/>
                <w:lang w:eastAsia="zh-CN"/>
              </w:rPr>
              <w:t>集中育秧设施服务水稻大田面积（万亩次）</w:t>
            </w:r>
          </w:p>
        </w:tc>
        <w:tc>
          <w:tcPr>
            <w:tcW w:w="2153" w:type="dxa"/>
            <w:vAlign w:val="center"/>
          </w:tcPr>
          <w:p>
            <w:pPr>
              <w:spacing w:before="250" w:line="3" w:lineRule="exact"/>
              <w:jc w:val="center"/>
              <w:rPr>
                <w:rFonts w:eastAsia="宋体"/>
                <w:sz w:val="16"/>
                <w:szCs w:val="16"/>
                <w:highlight w:val="none"/>
              </w:rPr>
            </w:pPr>
            <w:r>
              <w:rPr>
                <w:rFonts w:eastAsia="宋体"/>
                <w:spacing w:val="-1"/>
                <w:position w:val="-1"/>
                <w:sz w:val="9"/>
                <w:szCs w:val="9"/>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Borders>
              <w:top w:val="nil"/>
              <w:bottom w:val="nil"/>
            </w:tcBorders>
          </w:tcPr>
          <w:p>
            <w:pPr>
              <w:jc w:val="center"/>
              <w:rPr>
                <w:sz w:val="16"/>
                <w:szCs w:val="16"/>
                <w:highlight w:val="none"/>
              </w:rPr>
            </w:pPr>
          </w:p>
        </w:tc>
        <w:tc>
          <w:tcPr>
            <w:tcW w:w="3263" w:type="dxa"/>
          </w:tcPr>
          <w:p>
            <w:pPr>
              <w:pStyle w:val="14"/>
              <w:spacing w:before="154" w:line="219" w:lineRule="auto"/>
              <w:ind w:left="35"/>
              <w:rPr>
                <w:rFonts w:ascii="Times New Roman" w:hAnsi="Times New Roman" w:cs="Times New Roman"/>
                <w:sz w:val="16"/>
                <w:szCs w:val="16"/>
                <w:highlight w:val="none"/>
                <w:lang w:eastAsia="zh-CN"/>
              </w:rPr>
            </w:pPr>
            <w:r>
              <w:rPr>
                <w:rFonts w:ascii="Times New Roman" w:hAnsi="Times New Roman" w:cs="Times New Roman"/>
                <w:spacing w:val="3"/>
                <w:sz w:val="16"/>
                <w:szCs w:val="16"/>
                <w:highlight w:val="none"/>
                <w:lang w:eastAsia="zh-CN"/>
              </w:rPr>
              <w:t>扩种油菜任务面积（万亩）</w:t>
            </w:r>
          </w:p>
        </w:tc>
        <w:tc>
          <w:tcPr>
            <w:tcW w:w="2153" w:type="dxa"/>
            <w:vAlign w:val="center"/>
          </w:tcPr>
          <w:p>
            <w:pPr>
              <w:jc w:val="center"/>
              <w:rPr>
                <w:sz w:val="16"/>
                <w:szCs w:val="16"/>
                <w:highlight w:val="none"/>
              </w:rPr>
            </w:pPr>
            <w:r>
              <w:rPr>
                <w:rFonts w:eastAsia="宋体"/>
                <w:spacing w:val="-1"/>
                <w:position w:val="-1"/>
                <w:sz w:val="9"/>
                <w:szCs w:val="9"/>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Borders>
              <w:top w:val="nil"/>
              <w:bottom w:val="nil"/>
            </w:tcBorders>
          </w:tcPr>
          <w:p>
            <w:pPr>
              <w:jc w:val="center"/>
              <w:rPr>
                <w:sz w:val="16"/>
                <w:szCs w:val="16"/>
                <w:highlight w:val="none"/>
              </w:rPr>
            </w:pPr>
          </w:p>
        </w:tc>
        <w:tc>
          <w:tcPr>
            <w:tcW w:w="3263" w:type="dxa"/>
          </w:tcPr>
          <w:p>
            <w:pPr>
              <w:pStyle w:val="14"/>
              <w:spacing w:before="154" w:line="219" w:lineRule="auto"/>
              <w:ind w:left="35"/>
              <w:rPr>
                <w:rFonts w:ascii="Times New Roman" w:hAnsi="Times New Roman" w:cs="Times New Roman"/>
                <w:sz w:val="16"/>
                <w:szCs w:val="16"/>
                <w:highlight w:val="none"/>
                <w:lang w:eastAsia="zh-CN"/>
              </w:rPr>
            </w:pPr>
            <w:r>
              <w:rPr>
                <w:rFonts w:ascii="Times New Roman" w:hAnsi="Times New Roman" w:cs="Times New Roman"/>
                <w:spacing w:val="2"/>
                <w:sz w:val="16"/>
                <w:szCs w:val="16"/>
                <w:highlight w:val="none"/>
                <w:lang w:eastAsia="zh-CN"/>
              </w:rPr>
              <w:t>大豆玉米带状复合种植任务面积（万亩）</w:t>
            </w:r>
          </w:p>
        </w:tc>
        <w:tc>
          <w:tcPr>
            <w:tcW w:w="2153" w:type="dxa"/>
            <w:vAlign w:val="center"/>
          </w:tcPr>
          <w:p>
            <w:pPr>
              <w:jc w:val="center"/>
              <w:rPr>
                <w:sz w:val="16"/>
                <w:szCs w:val="16"/>
                <w:highlight w:val="none"/>
              </w:rPr>
            </w:pPr>
            <w:r>
              <w:rPr>
                <w:rFonts w:eastAsia="宋体"/>
                <w:spacing w:val="-1"/>
                <w:position w:val="-1"/>
                <w:sz w:val="9"/>
                <w:szCs w:val="9"/>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Borders>
              <w:top w:val="nil"/>
              <w:bottom w:val="nil"/>
            </w:tcBorders>
          </w:tcPr>
          <w:p>
            <w:pPr>
              <w:jc w:val="center"/>
              <w:rPr>
                <w:sz w:val="16"/>
                <w:szCs w:val="16"/>
                <w:highlight w:val="none"/>
              </w:rPr>
            </w:pPr>
          </w:p>
        </w:tc>
        <w:tc>
          <w:tcPr>
            <w:tcW w:w="3263" w:type="dxa"/>
          </w:tcPr>
          <w:p>
            <w:pPr>
              <w:pStyle w:val="14"/>
              <w:spacing w:before="153" w:line="219" w:lineRule="auto"/>
              <w:ind w:left="35"/>
              <w:rPr>
                <w:rFonts w:ascii="Times New Roman" w:hAnsi="Times New Roman" w:cs="Times New Roman"/>
                <w:sz w:val="16"/>
                <w:szCs w:val="16"/>
                <w:highlight w:val="none"/>
                <w:lang w:eastAsia="zh-CN"/>
              </w:rPr>
            </w:pPr>
            <w:r>
              <w:rPr>
                <w:rFonts w:ascii="Times New Roman" w:hAnsi="Times New Roman" w:cs="Times New Roman"/>
                <w:spacing w:val="-1"/>
                <w:sz w:val="16"/>
                <w:szCs w:val="16"/>
                <w:highlight w:val="none"/>
                <w:lang w:eastAsia="zh-CN"/>
              </w:rPr>
              <w:t>重点作物绿色高产</w:t>
            </w:r>
            <w:r>
              <w:rPr>
                <w:rFonts w:hint="eastAsia" w:ascii="Times New Roman" w:hAnsi="Times New Roman" w:cs="Times New Roman"/>
                <w:spacing w:val="-1"/>
                <w:sz w:val="16"/>
                <w:szCs w:val="16"/>
                <w:highlight w:val="none"/>
                <w:lang w:eastAsia="zh-CN"/>
              </w:rPr>
              <w:t>高效行动推进县数量（个）</w:t>
            </w:r>
          </w:p>
        </w:tc>
        <w:tc>
          <w:tcPr>
            <w:tcW w:w="2153" w:type="dxa"/>
            <w:vAlign w:val="center"/>
          </w:tcPr>
          <w:p>
            <w:pPr>
              <w:pStyle w:val="14"/>
              <w:spacing w:before="155" w:line="219" w:lineRule="auto"/>
              <w:jc w:val="center"/>
              <w:rPr>
                <w:rFonts w:ascii="Times New Roman" w:hAnsi="Times New Roman" w:cs="Times New Roman"/>
                <w:sz w:val="16"/>
                <w:szCs w:val="16"/>
                <w:highlight w:val="none"/>
                <w:lang w:eastAsia="zh-CN"/>
              </w:rPr>
            </w:pPr>
            <w:r>
              <w:rPr>
                <w:rFonts w:hint="eastAsia" w:ascii="Times New Roman" w:hAnsi="Times New Roman" w:cs="Times New Roman"/>
                <w:sz w:val="16"/>
                <w:szCs w:val="16"/>
                <w:highlight w:val="none"/>
                <w:lang w:eastAsia="zh-CN"/>
              </w:rPr>
              <w:t>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Borders>
              <w:top w:val="nil"/>
            </w:tcBorders>
          </w:tcPr>
          <w:p>
            <w:pPr>
              <w:jc w:val="center"/>
              <w:rPr>
                <w:sz w:val="16"/>
                <w:szCs w:val="16"/>
                <w:highlight w:val="none"/>
              </w:rPr>
            </w:pPr>
          </w:p>
        </w:tc>
        <w:tc>
          <w:tcPr>
            <w:tcW w:w="3263" w:type="dxa"/>
            <w:vAlign w:val="center"/>
          </w:tcPr>
          <w:p>
            <w:pPr>
              <w:pStyle w:val="14"/>
              <w:keepNext w:val="0"/>
              <w:keepLines w:val="0"/>
              <w:pageBreakBefore w:val="0"/>
              <w:widowControl w:val="0"/>
              <w:kinsoku/>
              <w:wordWrap/>
              <w:overflowPunct/>
              <w:topLinePunct w:val="0"/>
              <w:autoSpaceDE/>
              <w:autoSpaceDN/>
              <w:bidi w:val="0"/>
              <w:adjustRightInd/>
              <w:snapToGrid/>
              <w:spacing w:after="0" w:line="240" w:lineRule="exact"/>
              <w:textAlignment w:val="auto"/>
              <w:rPr>
                <w:rFonts w:ascii="Times New Roman" w:hAnsi="Times New Roman" w:cs="Times New Roman"/>
                <w:sz w:val="16"/>
                <w:szCs w:val="16"/>
                <w:highlight w:val="none"/>
                <w:lang w:eastAsia="zh-CN"/>
              </w:rPr>
            </w:pPr>
            <w:r>
              <w:rPr>
                <w:rFonts w:hint="eastAsia" w:ascii="Times New Roman" w:hAnsi="Times New Roman" w:cs="Times New Roman"/>
                <w:spacing w:val="-1"/>
                <w:sz w:val="16"/>
                <w:szCs w:val="16"/>
                <w:highlight w:val="none"/>
                <w:lang w:eastAsia="zh-CN"/>
              </w:rPr>
              <w:t>大豆玉米小麦油菜单产提升整建制推进县数量（个）</w:t>
            </w:r>
          </w:p>
        </w:tc>
        <w:tc>
          <w:tcPr>
            <w:tcW w:w="2153" w:type="dxa"/>
            <w:vAlign w:val="center"/>
          </w:tcPr>
          <w:p>
            <w:pPr>
              <w:pStyle w:val="14"/>
              <w:spacing w:before="165" w:line="221" w:lineRule="auto"/>
              <w:jc w:val="center"/>
              <w:rPr>
                <w:rFonts w:hint="default" w:ascii="Times New Roman" w:hAnsi="Times New Roman" w:cs="Times New Roman"/>
                <w:sz w:val="16"/>
                <w:szCs w:val="16"/>
                <w:highlight w:val="none"/>
                <w:lang w:val="en-US" w:eastAsia="zh-CN"/>
              </w:rPr>
            </w:pPr>
            <w:r>
              <w:rPr>
                <w:rFonts w:hint="eastAsia" w:ascii="Times New Roman" w:hAnsi="Times New Roman" w:cs="Times New Roman"/>
                <w:spacing w:val="7"/>
                <w:sz w:val="16"/>
                <w:szCs w:val="16"/>
                <w:highlight w:val="none"/>
                <w:lang w:val="en-US" w:eastAsia="zh-CN"/>
              </w:rPr>
              <w:t>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tcPr>
          <w:p>
            <w:pPr>
              <w:pStyle w:val="14"/>
              <w:spacing w:before="155" w:line="220" w:lineRule="auto"/>
              <w:jc w:val="center"/>
              <w:rPr>
                <w:rFonts w:ascii="Times New Roman" w:hAnsi="Times New Roman" w:cs="Times New Roman"/>
                <w:sz w:val="16"/>
                <w:szCs w:val="16"/>
                <w:highlight w:val="none"/>
              </w:rPr>
            </w:pPr>
            <w:r>
              <w:rPr>
                <w:rFonts w:ascii="Times New Roman" w:hAnsi="Times New Roman" w:cs="Times New Roman"/>
                <w:spacing w:val="1"/>
                <w:sz w:val="16"/>
                <w:szCs w:val="16"/>
                <w:highlight w:val="none"/>
              </w:rPr>
              <w:t>时效指标</w:t>
            </w:r>
          </w:p>
        </w:tc>
        <w:tc>
          <w:tcPr>
            <w:tcW w:w="3263" w:type="dxa"/>
          </w:tcPr>
          <w:p>
            <w:pPr>
              <w:pStyle w:val="14"/>
              <w:spacing w:before="153" w:line="219" w:lineRule="auto"/>
              <w:ind w:left="35"/>
              <w:rPr>
                <w:rFonts w:ascii="Times New Roman" w:hAnsi="Times New Roman" w:cs="Times New Roman"/>
                <w:sz w:val="16"/>
                <w:szCs w:val="16"/>
                <w:highlight w:val="none"/>
                <w:lang w:eastAsia="zh-CN"/>
              </w:rPr>
            </w:pPr>
            <w:r>
              <w:rPr>
                <w:rFonts w:ascii="Times New Roman" w:hAnsi="Times New Roman" w:cs="Times New Roman"/>
                <w:sz w:val="16"/>
                <w:szCs w:val="16"/>
                <w:highlight w:val="none"/>
                <w:lang w:eastAsia="zh-CN"/>
              </w:rPr>
              <w:t>小麦“一喷三防”措施落实完成时限</w:t>
            </w:r>
          </w:p>
        </w:tc>
        <w:tc>
          <w:tcPr>
            <w:tcW w:w="2153" w:type="dxa"/>
            <w:vAlign w:val="center"/>
          </w:tcPr>
          <w:p>
            <w:pPr>
              <w:pStyle w:val="14"/>
              <w:spacing w:before="155" w:line="219" w:lineRule="auto"/>
              <w:jc w:val="center"/>
              <w:rPr>
                <w:rFonts w:ascii="Times New Roman" w:hAnsi="Times New Roman" w:cs="Times New Roman"/>
                <w:sz w:val="16"/>
                <w:szCs w:val="16"/>
                <w:highlight w:val="none"/>
                <w:lang w:eastAsia="zh-CN"/>
              </w:rPr>
            </w:pPr>
            <w:r>
              <w:rPr>
                <w:rFonts w:ascii="Times New Roman" w:hAnsi="Times New Roman" w:cs="Times New Roman"/>
                <w:sz w:val="16"/>
                <w:szCs w:val="16"/>
                <w:highlight w:val="none"/>
                <w:lang w:eastAsia="zh-CN"/>
              </w:rPr>
              <w:t>7月3</w:t>
            </w:r>
            <w:r>
              <w:rPr>
                <w:rFonts w:hint="eastAsia" w:ascii="Times New Roman" w:hAnsi="Times New Roman" w:cs="Times New Roman"/>
                <w:sz w:val="16"/>
                <w:szCs w:val="16"/>
                <w:highlight w:val="none"/>
                <w:lang w:eastAsia="zh-CN"/>
              </w:rPr>
              <w:t>1</w:t>
            </w:r>
            <w:r>
              <w:rPr>
                <w:rFonts w:ascii="Times New Roman" w:hAnsi="Times New Roman" w:cs="Times New Roman"/>
                <w:sz w:val="16"/>
                <w:szCs w:val="16"/>
                <w:highlight w:val="none"/>
                <w:lang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tcBorders>
          </w:tcPr>
          <w:p>
            <w:pPr>
              <w:rPr>
                <w:sz w:val="16"/>
                <w:szCs w:val="16"/>
                <w:highlight w:val="none"/>
              </w:rPr>
            </w:pPr>
          </w:p>
        </w:tc>
        <w:tc>
          <w:tcPr>
            <w:tcW w:w="1962" w:type="dxa"/>
          </w:tcPr>
          <w:p>
            <w:pPr>
              <w:pStyle w:val="14"/>
              <w:spacing w:before="163" w:line="219" w:lineRule="auto"/>
              <w:jc w:val="center"/>
              <w:rPr>
                <w:rFonts w:ascii="Times New Roman" w:hAnsi="Times New Roman" w:cs="Times New Roman"/>
                <w:sz w:val="16"/>
                <w:szCs w:val="16"/>
                <w:highlight w:val="none"/>
              </w:rPr>
            </w:pPr>
            <w:r>
              <w:rPr>
                <w:rFonts w:ascii="Times New Roman" w:hAnsi="Times New Roman" w:cs="Times New Roman"/>
                <w:spacing w:val="-2"/>
                <w:sz w:val="16"/>
                <w:szCs w:val="16"/>
                <w:highlight w:val="none"/>
              </w:rPr>
              <w:t>成本指标</w:t>
            </w:r>
          </w:p>
        </w:tc>
        <w:tc>
          <w:tcPr>
            <w:tcW w:w="3263" w:type="dxa"/>
            <w:vAlign w:val="center"/>
          </w:tcPr>
          <w:p>
            <w:pPr>
              <w:pStyle w:val="14"/>
              <w:spacing w:before="163" w:line="219" w:lineRule="auto"/>
              <w:rPr>
                <w:rFonts w:ascii="Times New Roman" w:hAnsi="Times New Roman" w:cs="Times New Roman"/>
                <w:sz w:val="16"/>
                <w:szCs w:val="16"/>
                <w:highlight w:val="none"/>
                <w:lang w:eastAsia="zh-CN"/>
              </w:rPr>
            </w:pPr>
            <w:r>
              <w:rPr>
                <w:rFonts w:ascii="Times New Roman" w:hAnsi="Times New Roman" w:cs="Times New Roman"/>
                <w:spacing w:val="-1"/>
                <w:sz w:val="16"/>
                <w:szCs w:val="16"/>
                <w:highlight w:val="none"/>
                <w:lang w:eastAsia="zh-CN"/>
              </w:rPr>
              <w:t>重点作物绿色高产高效项目区节本增效水平</w:t>
            </w:r>
          </w:p>
        </w:tc>
        <w:tc>
          <w:tcPr>
            <w:tcW w:w="2153" w:type="dxa"/>
            <w:vAlign w:val="center"/>
          </w:tcPr>
          <w:p>
            <w:pPr>
              <w:pStyle w:val="14"/>
              <w:spacing w:before="165" w:line="221" w:lineRule="auto"/>
              <w:jc w:val="center"/>
              <w:rPr>
                <w:rFonts w:ascii="Times New Roman" w:hAnsi="Times New Roman" w:cs="Times New Roman"/>
                <w:sz w:val="16"/>
                <w:szCs w:val="16"/>
                <w:highlight w:val="none"/>
                <w:lang w:eastAsia="zh-CN"/>
              </w:rPr>
            </w:pPr>
            <w:r>
              <w:rPr>
                <w:rFonts w:hint="eastAsia" w:ascii="Times New Roman" w:hAnsi="Times New Roman" w:cs="Times New Roman"/>
                <w:spacing w:val="-6"/>
                <w:sz w:val="16"/>
                <w:szCs w:val="16"/>
                <w:highlight w:val="none"/>
                <w:lang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restart"/>
            <w:tcBorders>
              <w:bottom w:val="nil"/>
            </w:tcBorders>
            <w:vAlign w:val="center"/>
          </w:tcPr>
          <w:p>
            <w:pPr>
              <w:pStyle w:val="14"/>
              <w:spacing w:before="62" w:line="220" w:lineRule="auto"/>
              <w:jc w:val="center"/>
              <w:rPr>
                <w:rFonts w:ascii="Times New Roman" w:hAnsi="Times New Roman" w:cs="Times New Roman"/>
                <w:sz w:val="16"/>
                <w:szCs w:val="16"/>
                <w:highlight w:val="none"/>
              </w:rPr>
            </w:pPr>
            <w:r>
              <w:rPr>
                <w:rFonts w:ascii="Times New Roman" w:hAnsi="Times New Roman" w:cs="Times New Roman"/>
                <w:spacing w:val="-3"/>
                <w:sz w:val="16"/>
                <w:szCs w:val="16"/>
                <w:highlight w:val="none"/>
              </w:rPr>
              <w:t>效益指标</w:t>
            </w:r>
          </w:p>
        </w:tc>
        <w:tc>
          <w:tcPr>
            <w:tcW w:w="1962" w:type="dxa"/>
            <w:vMerge w:val="restart"/>
          </w:tcPr>
          <w:p>
            <w:pPr>
              <w:pStyle w:val="14"/>
              <w:spacing w:before="164" w:line="600" w:lineRule="auto"/>
              <w:ind w:firstLine="468" w:firstLineChars="300"/>
              <w:rPr>
                <w:rFonts w:ascii="Times New Roman" w:hAnsi="Times New Roman" w:cs="Times New Roman"/>
                <w:sz w:val="16"/>
                <w:szCs w:val="16"/>
                <w:highlight w:val="none"/>
              </w:rPr>
            </w:pPr>
            <w:r>
              <w:rPr>
                <w:rFonts w:ascii="Times New Roman" w:hAnsi="Times New Roman" w:cs="Times New Roman"/>
                <w:spacing w:val="-2"/>
                <w:sz w:val="16"/>
                <w:szCs w:val="16"/>
                <w:highlight w:val="none"/>
              </w:rPr>
              <w:t>社会效益指标</w:t>
            </w:r>
          </w:p>
        </w:tc>
        <w:tc>
          <w:tcPr>
            <w:tcW w:w="3263" w:type="dxa"/>
          </w:tcPr>
          <w:p>
            <w:pPr>
              <w:pStyle w:val="14"/>
              <w:spacing w:before="164" w:line="219" w:lineRule="auto"/>
              <w:ind w:left="35"/>
              <w:rPr>
                <w:rFonts w:ascii="Times New Roman" w:hAnsi="Times New Roman" w:cs="Times New Roman"/>
                <w:sz w:val="16"/>
                <w:szCs w:val="16"/>
                <w:highlight w:val="none"/>
                <w:lang w:eastAsia="zh-CN"/>
              </w:rPr>
            </w:pPr>
            <w:r>
              <w:rPr>
                <w:rFonts w:hint="eastAsia" w:ascii="Times New Roman" w:hAnsi="Times New Roman" w:cs="Times New Roman"/>
                <w:sz w:val="16"/>
                <w:szCs w:val="16"/>
                <w:highlight w:val="none"/>
                <w:lang w:eastAsia="zh-CN"/>
              </w:rPr>
              <w:t>集成推广绿色高质高效模式（套）</w:t>
            </w:r>
          </w:p>
        </w:tc>
        <w:tc>
          <w:tcPr>
            <w:tcW w:w="2153" w:type="dxa"/>
            <w:vAlign w:val="center"/>
          </w:tcPr>
          <w:p>
            <w:pPr>
              <w:pStyle w:val="14"/>
              <w:spacing w:before="165" w:line="220" w:lineRule="auto"/>
              <w:jc w:val="center"/>
              <w:rPr>
                <w:rFonts w:ascii="Times New Roman" w:hAnsi="Times New Roman" w:cs="Times New Roman"/>
                <w:sz w:val="16"/>
                <w:szCs w:val="16"/>
                <w:highlight w:val="none"/>
                <w:lang w:eastAsia="zh-CN"/>
              </w:rPr>
            </w:pPr>
            <w:r>
              <w:rPr>
                <w:rFonts w:hint="eastAsia" w:ascii="Times New Roman" w:hAnsi="Times New Roman" w:cs="Times New Roman"/>
                <w:sz w:val="16"/>
                <w:szCs w:val="16"/>
                <w:highlight w:val="none"/>
                <w:lang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bottom w:val="nil"/>
            </w:tcBorders>
          </w:tcPr>
          <w:p>
            <w:pPr>
              <w:rPr>
                <w:sz w:val="16"/>
                <w:szCs w:val="16"/>
                <w:highlight w:val="none"/>
              </w:rPr>
            </w:pPr>
          </w:p>
        </w:tc>
        <w:tc>
          <w:tcPr>
            <w:tcW w:w="1962" w:type="dxa"/>
            <w:vMerge w:val="continue"/>
          </w:tcPr>
          <w:p>
            <w:pPr>
              <w:pStyle w:val="14"/>
              <w:spacing w:before="164" w:line="219" w:lineRule="auto"/>
              <w:jc w:val="center"/>
              <w:rPr>
                <w:rFonts w:ascii="Times New Roman" w:hAnsi="Times New Roman" w:cs="Times New Roman"/>
                <w:sz w:val="16"/>
                <w:szCs w:val="16"/>
                <w:highlight w:val="none"/>
              </w:rPr>
            </w:pPr>
          </w:p>
        </w:tc>
        <w:tc>
          <w:tcPr>
            <w:tcW w:w="3263" w:type="dxa"/>
          </w:tcPr>
          <w:p>
            <w:pPr>
              <w:pStyle w:val="14"/>
              <w:spacing w:before="165" w:line="219" w:lineRule="auto"/>
              <w:ind w:left="35"/>
              <w:rPr>
                <w:rFonts w:ascii="Times New Roman" w:hAnsi="Times New Roman" w:cs="Times New Roman"/>
                <w:sz w:val="16"/>
                <w:szCs w:val="16"/>
                <w:highlight w:val="none"/>
                <w:lang w:eastAsia="zh-CN"/>
              </w:rPr>
            </w:pPr>
            <w:r>
              <w:rPr>
                <w:rFonts w:hint="eastAsia" w:ascii="Times New Roman" w:hAnsi="Times New Roman" w:cs="Times New Roman"/>
                <w:spacing w:val="2"/>
                <w:sz w:val="16"/>
                <w:szCs w:val="16"/>
                <w:highlight w:val="none"/>
                <w:lang w:eastAsia="zh-CN"/>
              </w:rPr>
              <w:t>资金使用重大违规违纪问题</w:t>
            </w:r>
          </w:p>
        </w:tc>
        <w:tc>
          <w:tcPr>
            <w:tcW w:w="2153" w:type="dxa"/>
            <w:vAlign w:val="center"/>
          </w:tcPr>
          <w:p>
            <w:pPr>
              <w:pStyle w:val="14"/>
              <w:spacing w:before="214" w:line="183" w:lineRule="auto"/>
              <w:jc w:val="center"/>
              <w:rPr>
                <w:rFonts w:ascii="Times New Roman" w:hAnsi="Times New Roman" w:cs="Times New Roman"/>
                <w:sz w:val="16"/>
                <w:szCs w:val="16"/>
                <w:highlight w:val="none"/>
                <w:lang w:eastAsia="zh-CN"/>
              </w:rPr>
            </w:pPr>
            <w:r>
              <w:rPr>
                <w:rFonts w:hint="eastAsia" w:ascii="Times New Roman" w:hAnsi="Times New Roman" w:cs="Times New Roman"/>
                <w:sz w:val="16"/>
                <w:szCs w:val="16"/>
                <w:highlight w:val="none"/>
                <w:lang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bottom w:val="nil"/>
            </w:tcBorders>
          </w:tcPr>
          <w:p>
            <w:pPr>
              <w:rPr>
                <w:sz w:val="16"/>
                <w:szCs w:val="16"/>
                <w:highlight w:val="none"/>
              </w:rPr>
            </w:pPr>
          </w:p>
        </w:tc>
        <w:tc>
          <w:tcPr>
            <w:tcW w:w="808" w:type="dxa"/>
            <w:vMerge w:val="continue"/>
            <w:tcBorders>
              <w:top w:val="nil"/>
            </w:tcBorders>
          </w:tcPr>
          <w:p>
            <w:pPr>
              <w:rPr>
                <w:sz w:val="16"/>
                <w:szCs w:val="16"/>
                <w:highlight w:val="none"/>
              </w:rPr>
            </w:pPr>
          </w:p>
        </w:tc>
        <w:tc>
          <w:tcPr>
            <w:tcW w:w="1962" w:type="dxa"/>
          </w:tcPr>
          <w:p>
            <w:pPr>
              <w:pStyle w:val="14"/>
              <w:spacing w:before="237" w:line="220" w:lineRule="auto"/>
              <w:jc w:val="center"/>
              <w:rPr>
                <w:rFonts w:ascii="Times New Roman" w:hAnsi="Times New Roman" w:cs="Times New Roman"/>
                <w:sz w:val="16"/>
                <w:szCs w:val="16"/>
                <w:highlight w:val="none"/>
              </w:rPr>
            </w:pPr>
            <w:r>
              <w:rPr>
                <w:rFonts w:ascii="Times New Roman" w:hAnsi="Times New Roman" w:cs="Times New Roman"/>
                <w:spacing w:val="-2"/>
                <w:sz w:val="16"/>
                <w:szCs w:val="16"/>
                <w:highlight w:val="none"/>
              </w:rPr>
              <w:t>生态效益指标</w:t>
            </w:r>
          </w:p>
        </w:tc>
        <w:tc>
          <w:tcPr>
            <w:tcW w:w="3263" w:type="dxa"/>
            <w:vAlign w:val="center"/>
          </w:tcPr>
          <w:p>
            <w:pPr>
              <w:pStyle w:val="14"/>
              <w:keepNext w:val="0"/>
              <w:keepLines w:val="0"/>
              <w:pageBreakBefore w:val="0"/>
              <w:widowControl w:val="0"/>
              <w:kinsoku/>
              <w:wordWrap/>
              <w:overflowPunct/>
              <w:topLinePunct w:val="0"/>
              <w:autoSpaceDE/>
              <w:autoSpaceDN/>
              <w:bidi w:val="0"/>
              <w:adjustRightInd/>
              <w:snapToGrid/>
              <w:spacing w:after="0" w:line="240" w:lineRule="exact"/>
              <w:ind w:right="57"/>
              <w:jc w:val="both"/>
              <w:textAlignment w:val="auto"/>
              <w:rPr>
                <w:rFonts w:ascii="Times New Roman" w:hAnsi="Times New Roman" w:cs="Times New Roman"/>
                <w:sz w:val="16"/>
                <w:szCs w:val="16"/>
                <w:highlight w:val="none"/>
                <w:lang w:eastAsia="zh-CN"/>
              </w:rPr>
            </w:pPr>
            <w:r>
              <w:rPr>
                <w:rFonts w:ascii="Times New Roman" w:hAnsi="Times New Roman" w:cs="Times New Roman"/>
                <w:sz w:val="16"/>
                <w:szCs w:val="16"/>
                <w:highlight w:val="none"/>
                <w:lang w:eastAsia="zh-CN"/>
              </w:rPr>
              <w:t>重点作物绿色高产高效项目区病虫害危害损</w:t>
            </w:r>
            <w:r>
              <w:rPr>
                <w:rFonts w:ascii="Times New Roman" w:hAnsi="Times New Roman" w:cs="Times New Roman"/>
                <w:spacing w:val="4"/>
                <w:sz w:val="16"/>
                <w:szCs w:val="16"/>
                <w:highlight w:val="none"/>
                <w:lang w:eastAsia="zh-CN"/>
              </w:rPr>
              <w:t>失率</w:t>
            </w:r>
          </w:p>
        </w:tc>
        <w:tc>
          <w:tcPr>
            <w:tcW w:w="2153" w:type="dxa"/>
            <w:vAlign w:val="center"/>
          </w:tcPr>
          <w:p>
            <w:pPr>
              <w:pStyle w:val="14"/>
              <w:spacing w:before="253" w:line="236" w:lineRule="auto"/>
              <w:jc w:val="center"/>
              <w:rPr>
                <w:rFonts w:hint="default" w:ascii="Times New Roman" w:hAnsi="Times New Roman" w:eastAsia="宋体" w:cs="Times New Roman"/>
                <w:sz w:val="16"/>
                <w:szCs w:val="16"/>
                <w:highlight w:val="none"/>
                <w:lang w:val="en-US" w:eastAsia="zh-CN"/>
              </w:rPr>
            </w:pPr>
            <w:r>
              <w:rPr>
                <w:rFonts w:hint="eastAsia" w:ascii="Times New Roman" w:hAnsi="Times New Roman" w:cs="Times New Roman"/>
                <w:sz w:val="16"/>
                <w:szCs w:val="16"/>
                <w:highlight w:val="none"/>
                <w:lang w:val="en-US" w:eastAsia="zh-CN"/>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jc w:val="center"/>
        </w:trPr>
        <w:tc>
          <w:tcPr>
            <w:tcW w:w="1043" w:type="dxa"/>
            <w:vMerge w:val="continue"/>
            <w:tcBorders>
              <w:top w:val="nil"/>
            </w:tcBorders>
          </w:tcPr>
          <w:p>
            <w:pPr>
              <w:rPr>
                <w:sz w:val="16"/>
                <w:szCs w:val="16"/>
                <w:highlight w:val="none"/>
              </w:rPr>
            </w:pPr>
          </w:p>
        </w:tc>
        <w:tc>
          <w:tcPr>
            <w:tcW w:w="808" w:type="dxa"/>
            <w:vAlign w:val="center"/>
          </w:tcPr>
          <w:p>
            <w:pPr>
              <w:pStyle w:val="14"/>
              <w:keepNext w:val="0"/>
              <w:keepLines w:val="0"/>
              <w:pageBreakBefore w:val="0"/>
              <w:widowControl w:val="0"/>
              <w:kinsoku/>
              <w:wordWrap/>
              <w:overflowPunct/>
              <w:topLinePunct w:val="0"/>
              <w:autoSpaceDE/>
              <w:autoSpaceDN/>
              <w:bidi w:val="0"/>
              <w:adjustRightInd/>
              <w:snapToGrid/>
              <w:spacing w:after="0" w:line="240" w:lineRule="exact"/>
              <w:ind w:left="62"/>
              <w:jc w:val="center"/>
              <w:textAlignment w:val="auto"/>
              <w:rPr>
                <w:rFonts w:ascii="Times New Roman" w:hAnsi="Times New Roman" w:cs="Times New Roman"/>
                <w:spacing w:val="-2"/>
                <w:sz w:val="16"/>
                <w:szCs w:val="16"/>
                <w:highlight w:val="none"/>
              </w:rPr>
            </w:pPr>
            <w:r>
              <w:rPr>
                <w:rFonts w:ascii="Times New Roman" w:hAnsi="Times New Roman" w:cs="Times New Roman"/>
                <w:spacing w:val="-2"/>
                <w:sz w:val="16"/>
                <w:szCs w:val="16"/>
                <w:highlight w:val="none"/>
              </w:rPr>
              <w:t>满意度</w:t>
            </w:r>
          </w:p>
          <w:p>
            <w:pPr>
              <w:pStyle w:val="14"/>
              <w:keepNext w:val="0"/>
              <w:keepLines w:val="0"/>
              <w:pageBreakBefore w:val="0"/>
              <w:widowControl w:val="0"/>
              <w:kinsoku/>
              <w:wordWrap/>
              <w:overflowPunct/>
              <w:topLinePunct w:val="0"/>
              <w:autoSpaceDE/>
              <w:autoSpaceDN/>
              <w:bidi w:val="0"/>
              <w:adjustRightInd/>
              <w:snapToGrid/>
              <w:spacing w:after="0" w:line="240" w:lineRule="exact"/>
              <w:ind w:left="62"/>
              <w:jc w:val="center"/>
              <w:textAlignment w:val="auto"/>
              <w:rPr>
                <w:rFonts w:ascii="Times New Roman" w:hAnsi="Times New Roman" w:cs="Times New Roman"/>
                <w:sz w:val="16"/>
                <w:szCs w:val="16"/>
                <w:highlight w:val="none"/>
              </w:rPr>
            </w:pPr>
            <w:r>
              <w:rPr>
                <w:rFonts w:ascii="Times New Roman" w:hAnsi="Times New Roman" w:cs="Times New Roman"/>
                <w:spacing w:val="-2"/>
                <w:sz w:val="16"/>
                <w:szCs w:val="16"/>
                <w:highlight w:val="none"/>
              </w:rPr>
              <w:t>指标</w:t>
            </w:r>
          </w:p>
        </w:tc>
        <w:tc>
          <w:tcPr>
            <w:tcW w:w="1962" w:type="dxa"/>
          </w:tcPr>
          <w:p>
            <w:pPr>
              <w:pStyle w:val="14"/>
              <w:spacing w:before="157" w:line="219" w:lineRule="auto"/>
              <w:jc w:val="center"/>
              <w:rPr>
                <w:rFonts w:ascii="Times New Roman" w:hAnsi="Times New Roman" w:cs="Times New Roman"/>
                <w:sz w:val="16"/>
                <w:szCs w:val="16"/>
                <w:highlight w:val="none"/>
              </w:rPr>
            </w:pPr>
            <w:r>
              <w:rPr>
                <w:rFonts w:ascii="Times New Roman" w:hAnsi="Times New Roman" w:cs="Times New Roman"/>
                <w:spacing w:val="-1"/>
                <w:sz w:val="16"/>
                <w:szCs w:val="16"/>
                <w:highlight w:val="none"/>
              </w:rPr>
              <w:t>服务对象满意度指标</w:t>
            </w:r>
          </w:p>
        </w:tc>
        <w:tc>
          <w:tcPr>
            <w:tcW w:w="3263" w:type="dxa"/>
            <w:vAlign w:val="center"/>
          </w:tcPr>
          <w:p>
            <w:pPr>
              <w:pStyle w:val="14"/>
              <w:spacing w:before="157" w:line="219" w:lineRule="auto"/>
              <w:ind w:left="35"/>
              <w:rPr>
                <w:rFonts w:ascii="Times New Roman" w:hAnsi="Times New Roman" w:cs="Times New Roman"/>
                <w:sz w:val="16"/>
                <w:szCs w:val="16"/>
                <w:highlight w:val="none"/>
              </w:rPr>
            </w:pPr>
            <w:r>
              <w:rPr>
                <w:rFonts w:ascii="Times New Roman" w:hAnsi="Times New Roman" w:cs="Times New Roman"/>
                <w:spacing w:val="1"/>
                <w:sz w:val="16"/>
                <w:szCs w:val="16"/>
                <w:highlight w:val="none"/>
              </w:rPr>
              <w:t>指导服务对象满意度</w:t>
            </w:r>
          </w:p>
        </w:tc>
        <w:tc>
          <w:tcPr>
            <w:tcW w:w="2153" w:type="dxa"/>
            <w:vAlign w:val="center"/>
          </w:tcPr>
          <w:p>
            <w:pPr>
              <w:pStyle w:val="14"/>
              <w:spacing w:before="176" w:line="237" w:lineRule="auto"/>
              <w:jc w:val="center"/>
              <w:rPr>
                <w:rFonts w:ascii="Times New Roman" w:hAnsi="Times New Roman" w:cs="Times New Roman"/>
                <w:sz w:val="16"/>
                <w:szCs w:val="16"/>
                <w:highlight w:val="none"/>
              </w:rPr>
            </w:pPr>
            <w:r>
              <w:rPr>
                <w:rFonts w:ascii="Times New Roman" w:hAnsi="Times New Roman" w:cs="Times New Roman"/>
                <w:spacing w:val="-6"/>
                <w:sz w:val="16"/>
                <w:szCs w:val="16"/>
                <w:highlight w:val="none"/>
              </w:rPr>
              <w:t>≥</w:t>
            </w:r>
            <w:r>
              <w:rPr>
                <w:rFonts w:hint="eastAsia" w:ascii="Times New Roman" w:hAnsi="Times New Roman" w:cs="Times New Roman"/>
                <w:spacing w:val="-6"/>
                <w:sz w:val="16"/>
                <w:szCs w:val="16"/>
                <w:highlight w:val="none"/>
                <w:lang w:eastAsia="zh-CN"/>
              </w:rPr>
              <w:t>90</w:t>
            </w:r>
            <w:r>
              <w:rPr>
                <w:rFonts w:ascii="Times New Roman" w:hAnsi="Times New Roman" w:cs="Times New Roman"/>
                <w:spacing w:val="-6"/>
                <w:sz w:val="16"/>
                <w:szCs w:val="16"/>
                <w:highlight w:val="none"/>
              </w:rPr>
              <w:t>%</w:t>
            </w:r>
          </w:p>
        </w:tc>
      </w:tr>
    </w:tbl>
    <w:p>
      <w:pPr>
        <w:rPr>
          <w:highlight w:val="none"/>
        </w:rPr>
        <w:sectPr>
          <w:footerReference r:id="rId5" w:type="default"/>
          <w:pgSz w:w="11906" w:h="16838"/>
          <w:pgMar w:top="1440" w:right="1800" w:bottom="1440" w:left="1800" w:header="851" w:footer="992" w:gutter="0"/>
          <w:pgNumType w:fmt="decimal" w:start="1"/>
          <w:cols w:space="425" w:num="1"/>
          <w:docGrid w:type="lines" w:linePitch="312" w:charSpace="0"/>
        </w:sectPr>
      </w:pPr>
    </w:p>
    <w:p>
      <w:pPr>
        <w:pStyle w:val="11"/>
        <w:keepNext w:val="0"/>
        <w:keepLines w:val="0"/>
        <w:pageBreakBefore w:val="0"/>
        <w:widowControl w:val="0"/>
        <w:kinsoku/>
        <w:wordWrap/>
        <w:overflowPunct/>
        <w:topLinePunct w:val="0"/>
        <w:autoSpaceDE/>
        <w:autoSpaceDN/>
        <w:bidi w:val="0"/>
        <w:adjustRightInd/>
        <w:snapToGrid/>
        <w:spacing w:after="0" w:line="560" w:lineRule="exact"/>
        <w:ind w:left="0" w:leftChars="0" w:firstLine="643"/>
        <w:textAlignment w:val="auto"/>
        <w:rPr>
          <w:rFonts w:hint="eastAsia" w:ascii="Times New Roman" w:hAnsi="Times New Roman" w:eastAsia="楷体"/>
          <w:b/>
          <w:bCs/>
          <w:sz w:val="32"/>
          <w:szCs w:val="32"/>
          <w:highlight w:val="none"/>
          <w:lang w:eastAsia="zh-CN"/>
        </w:rPr>
      </w:pPr>
      <w:r>
        <w:rPr>
          <w:rFonts w:ascii="Times New Roman" w:hAnsi="Times New Roman" w:eastAsia="楷体"/>
          <w:b/>
          <w:bCs/>
          <w:sz w:val="32"/>
          <w:szCs w:val="36"/>
          <w:highlight w:val="none"/>
        </w:rPr>
        <w:t>（二）</w:t>
      </w:r>
      <w:r>
        <w:rPr>
          <w:rFonts w:ascii="Times New Roman" w:hAnsi="Times New Roman" w:eastAsia="楷体"/>
          <w:b/>
          <w:bCs/>
          <w:sz w:val="32"/>
          <w:szCs w:val="32"/>
          <w:highlight w:val="none"/>
        </w:rPr>
        <w:t>自治区</w:t>
      </w:r>
      <w:r>
        <w:rPr>
          <w:rFonts w:ascii="Times New Roman" w:hAnsi="Times New Roman" w:eastAsia="楷体"/>
          <w:b/>
          <w:bCs/>
          <w:sz w:val="32"/>
          <w:szCs w:val="36"/>
          <w:highlight w:val="none"/>
        </w:rPr>
        <w:t>分解下达预算和</w:t>
      </w:r>
      <w:r>
        <w:rPr>
          <w:rFonts w:ascii="Times New Roman" w:hAnsi="Times New Roman" w:eastAsia="楷体"/>
          <w:b/>
          <w:bCs/>
          <w:sz w:val="32"/>
          <w:szCs w:val="32"/>
          <w:highlight w:val="none"/>
        </w:rPr>
        <w:t>绩效目标情况</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1.自治区分解下达预算情况</w:t>
      </w:r>
      <w:r>
        <w:rPr>
          <w:rFonts w:hint="eastAsia" w:ascii="仿宋_GB2312" w:hAnsi="仿宋_GB2312" w:eastAsia="仿宋_GB2312" w:cs="仿宋_GB2312"/>
          <w:b/>
          <w:bCs/>
          <w:sz w:val="32"/>
          <w:szCs w:val="32"/>
          <w:highlight w:val="none"/>
          <w:lang w:eastAsia="zh-CN"/>
        </w:rPr>
        <w:t>。</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ascii="Times New Roman" w:hAnsi="Times New Roman"/>
          <w:sz w:val="32"/>
          <w:szCs w:val="32"/>
          <w:highlight w:val="none"/>
        </w:rPr>
      </w:pPr>
      <w:r>
        <w:rPr>
          <w:rFonts w:hint="eastAsia" w:ascii="Times New Roman" w:hAnsi="Times New Roman"/>
          <w:sz w:val="32"/>
          <w:szCs w:val="32"/>
          <w:highlight w:val="none"/>
        </w:rPr>
        <w:t>2023年12月12日，自治区财政厅下发《关于提前下达2024年中央粮油生产保障资金预算的通知》（新财农〔2023〕94号）下达资金13855万元。</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w:t>
      </w:r>
      <w:r>
        <w:rPr>
          <w:rFonts w:hint="eastAsia" w:ascii="Times New Roman" w:hAnsi="Times New Roman"/>
          <w:sz w:val="32"/>
          <w:szCs w:val="32"/>
          <w:highlight w:val="none"/>
        </w:rPr>
        <w:t>5</w:t>
      </w:r>
      <w:r>
        <w:rPr>
          <w:rFonts w:ascii="Times New Roman" w:hAnsi="Times New Roman"/>
          <w:sz w:val="32"/>
          <w:szCs w:val="32"/>
          <w:highlight w:val="none"/>
        </w:rPr>
        <w:t>月</w:t>
      </w:r>
      <w:r>
        <w:rPr>
          <w:rFonts w:hint="eastAsia" w:ascii="Times New Roman" w:hAnsi="Times New Roman"/>
          <w:sz w:val="32"/>
          <w:szCs w:val="32"/>
          <w:highlight w:val="none"/>
        </w:rPr>
        <w:t>15</w:t>
      </w:r>
      <w:r>
        <w:rPr>
          <w:rFonts w:ascii="Times New Roman" w:hAnsi="Times New Roman"/>
          <w:sz w:val="32"/>
          <w:szCs w:val="32"/>
          <w:highlight w:val="none"/>
        </w:rPr>
        <w:t>日，自治区财政厅下发</w:t>
      </w:r>
      <w:bookmarkStart w:id="0" w:name="OLE_LINK2"/>
      <w:r>
        <w:rPr>
          <w:rFonts w:ascii="Times New Roman" w:hAnsi="Times New Roman"/>
          <w:sz w:val="32"/>
          <w:szCs w:val="32"/>
          <w:highlight w:val="none"/>
        </w:rPr>
        <w:t>《关于下达2024年中央粮油生产保障资金预算的通知</w:t>
      </w:r>
      <w:r>
        <w:rPr>
          <w:rFonts w:hint="eastAsia" w:ascii="Times New Roman" w:hAnsi="Times New Roman"/>
          <w:sz w:val="32"/>
          <w:szCs w:val="32"/>
          <w:highlight w:val="none"/>
        </w:rPr>
        <w:t>》</w:t>
      </w:r>
      <w:r>
        <w:rPr>
          <w:rFonts w:ascii="Times New Roman" w:hAnsi="Times New Roman"/>
          <w:sz w:val="32"/>
          <w:szCs w:val="32"/>
          <w:highlight w:val="none"/>
        </w:rPr>
        <w:t>（新财农〔2024〕26号</w:t>
      </w:r>
      <w:r>
        <w:rPr>
          <w:rFonts w:hint="eastAsia" w:ascii="Times New Roman" w:hAnsi="Times New Roman"/>
          <w:sz w:val="32"/>
          <w:szCs w:val="32"/>
          <w:highlight w:val="none"/>
        </w:rPr>
        <w:t>）</w:t>
      </w:r>
      <w:bookmarkEnd w:id="0"/>
      <w:r>
        <w:rPr>
          <w:rFonts w:ascii="Times New Roman" w:hAnsi="Times New Roman"/>
          <w:sz w:val="32"/>
          <w:szCs w:val="32"/>
          <w:highlight w:val="none"/>
        </w:rPr>
        <w:t>下达资金</w:t>
      </w:r>
      <w:r>
        <w:rPr>
          <w:rFonts w:hint="eastAsia" w:ascii="Times New Roman" w:hAnsi="Times New Roman"/>
          <w:sz w:val="32"/>
          <w:szCs w:val="32"/>
          <w:highlight w:val="none"/>
        </w:rPr>
        <w:t>2962</w:t>
      </w:r>
      <w:r>
        <w:rPr>
          <w:rFonts w:ascii="Times New Roman" w:hAnsi="Times New Roman"/>
          <w:sz w:val="32"/>
          <w:szCs w:val="32"/>
          <w:highlight w:val="none"/>
        </w:rPr>
        <w:t>万元</w:t>
      </w:r>
      <w:r>
        <w:rPr>
          <w:rFonts w:hint="eastAsia" w:ascii="Times New Roman" w:hAnsi="Times New Roman"/>
          <w:sz w:val="32"/>
          <w:szCs w:val="32"/>
          <w:highlight w:val="none"/>
        </w:rPr>
        <w:t>。</w:t>
      </w:r>
    </w:p>
    <w:p>
      <w:pPr>
        <w:pStyle w:val="11"/>
        <w:keepNext w:val="0"/>
        <w:keepLines w:val="0"/>
        <w:pageBreakBefore w:val="0"/>
        <w:widowControl w:val="0"/>
        <w:kinsoku/>
        <w:wordWrap/>
        <w:overflowPunct/>
        <w:topLinePunct w:val="0"/>
        <w:autoSpaceDE/>
        <w:autoSpaceDN/>
        <w:bidi w:val="0"/>
        <w:adjustRightInd/>
        <w:snapToGrid/>
        <w:spacing w:line="560" w:lineRule="exact"/>
        <w:ind w:left="0" w:leftChars="0" w:firstLine="640"/>
        <w:textAlignment w:val="auto"/>
        <w:rPr>
          <w:rFonts w:hint="eastAsia" w:ascii="Times New Roman" w:hAnsi="Times New Roman"/>
          <w:sz w:val="32"/>
          <w:szCs w:val="32"/>
          <w:highlight w:val="none"/>
        </w:rPr>
      </w:pPr>
      <w:r>
        <w:rPr>
          <w:rFonts w:hint="eastAsia" w:ascii="Times New Roman" w:hAnsi="Times New Roman"/>
          <w:sz w:val="32"/>
          <w:szCs w:val="32"/>
          <w:highlight w:val="none"/>
        </w:rPr>
        <w:t>根据新财农随文下达2024年粮油生产保障资金合计16817万元。资金分解情况详见下表：</w:t>
      </w:r>
    </w:p>
    <w:p>
      <w:pPr>
        <w:rPr>
          <w:rFonts w:hint="eastAsia" w:ascii="Times New Roman" w:hAnsi="Times New Roman"/>
          <w:sz w:val="32"/>
          <w:szCs w:val="32"/>
          <w:highlight w:val="none"/>
        </w:rPr>
      </w:pPr>
      <w:r>
        <w:rPr>
          <w:rFonts w:hint="eastAsia" w:ascii="Times New Roman" w:hAnsi="Times New Roman"/>
          <w:sz w:val="32"/>
          <w:szCs w:val="32"/>
          <w:highlight w:val="none"/>
        </w:rPr>
        <w:br w:type="page"/>
      </w:r>
    </w:p>
    <w:p>
      <w:pPr>
        <w:pStyle w:val="16"/>
        <w:ind w:firstLine="642" w:firstLineChars="200"/>
        <w:jc w:val="center"/>
        <w:rPr>
          <w:rFonts w:ascii="Times New Roman" w:hAnsi="Times New Roman"/>
          <w:b/>
          <w:bCs/>
          <w:sz w:val="32"/>
          <w:szCs w:val="32"/>
          <w:highlight w:val="none"/>
        </w:rPr>
      </w:pPr>
      <w:r>
        <w:rPr>
          <w:rFonts w:ascii="Times New Roman" w:hAnsi="Times New Roman"/>
          <w:b/>
          <w:bCs/>
          <w:sz w:val="32"/>
          <w:szCs w:val="32"/>
          <w:highlight w:val="none"/>
        </w:rPr>
        <w:t>202</w:t>
      </w:r>
      <w:r>
        <w:rPr>
          <w:rFonts w:hint="eastAsia" w:ascii="Times New Roman" w:hAnsi="Times New Roman"/>
          <w:b/>
          <w:bCs/>
          <w:sz w:val="32"/>
          <w:szCs w:val="32"/>
          <w:highlight w:val="none"/>
        </w:rPr>
        <w:t>4</w:t>
      </w:r>
      <w:r>
        <w:rPr>
          <w:rFonts w:ascii="Times New Roman" w:hAnsi="Times New Roman"/>
          <w:b/>
          <w:bCs/>
          <w:sz w:val="32"/>
          <w:szCs w:val="32"/>
          <w:highlight w:val="none"/>
        </w:rPr>
        <w:t>年中央粮油生产保障资金分配建议表</w:t>
      </w:r>
    </w:p>
    <w:p>
      <w:pPr>
        <w:pStyle w:val="16"/>
        <w:ind w:firstLine="441" w:firstLineChars="200"/>
        <w:jc w:val="right"/>
        <w:rPr>
          <w:rFonts w:ascii="Times New Roman" w:hAnsi="Times New Roman"/>
          <w:b/>
          <w:bCs/>
          <w:sz w:val="22"/>
          <w:highlight w:val="none"/>
        </w:rPr>
      </w:pPr>
      <w:r>
        <w:rPr>
          <w:rFonts w:ascii="Times New Roman" w:hAnsi="Times New Roman"/>
          <w:b/>
          <w:bCs/>
          <w:sz w:val="22"/>
          <w:highlight w:val="none"/>
        </w:rPr>
        <w:t xml:space="preserve">  单位：万元</w:t>
      </w:r>
    </w:p>
    <w:tbl>
      <w:tblPr>
        <w:tblStyle w:val="12"/>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97"/>
        <w:gridCol w:w="1781"/>
        <w:gridCol w:w="1757"/>
        <w:gridCol w:w="2943"/>
        <w:gridCol w:w="11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52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序号</w:t>
            </w:r>
          </w:p>
        </w:tc>
        <w:tc>
          <w:tcPr>
            <w:tcW w:w="1045"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Fonts w:hint="eastAsia" w:ascii="宋体" w:hAnsi="宋体" w:eastAsia="宋体" w:cs="宋体"/>
                <w:b/>
                <w:bCs/>
                <w:i w:val="0"/>
                <w:iCs w:val="0"/>
                <w:color w:val="auto"/>
                <w:kern w:val="0"/>
                <w:sz w:val="20"/>
                <w:szCs w:val="20"/>
                <w:highlight w:val="none"/>
                <w:u w:val="none"/>
                <w:lang w:val="en-US" w:eastAsia="zh-CN" w:bidi="ar"/>
              </w:rPr>
              <w:t>地州/单位</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Style w:val="17"/>
                <w:rFonts w:hint="eastAsia" w:ascii="宋体" w:hAnsi="宋体" w:eastAsia="宋体" w:cs="宋体"/>
                <w:b/>
                <w:bCs/>
                <w:color w:val="auto"/>
                <w:sz w:val="20"/>
                <w:szCs w:val="20"/>
                <w:highlight w:val="none"/>
                <w:lang w:val="en-US" w:eastAsia="zh-CN" w:bidi="ar"/>
              </w:rPr>
              <w:t>小麦“一喷三防”</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rPr>
            </w:pPr>
            <w:r>
              <w:rPr>
                <w:rStyle w:val="17"/>
                <w:rFonts w:hint="eastAsia" w:ascii="宋体" w:hAnsi="宋体" w:eastAsia="宋体" w:cs="宋体"/>
                <w:b/>
                <w:bCs/>
                <w:color w:val="auto"/>
                <w:sz w:val="20"/>
                <w:szCs w:val="20"/>
                <w:highlight w:val="none"/>
                <w:lang w:val="en-US" w:eastAsia="zh-CN" w:bidi="ar"/>
              </w:rPr>
              <w:t>粮油等重点作物绿色高产高效</w:t>
            </w:r>
          </w:p>
        </w:tc>
        <w:tc>
          <w:tcPr>
            <w:tcW w:w="669"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20"/>
                <w:szCs w:val="20"/>
                <w:highlight w:val="none"/>
                <w:u w:val="none"/>
                <w:lang w:val="en-US" w:eastAsia="zh-CN"/>
              </w:rPr>
            </w:pPr>
            <w:r>
              <w:rPr>
                <w:rFonts w:hint="eastAsia" w:ascii="宋体" w:hAnsi="宋体" w:eastAsia="宋体" w:cs="宋体"/>
                <w:b/>
                <w:bCs/>
                <w:i w:val="0"/>
                <w:iCs w:val="0"/>
                <w:color w:val="auto"/>
                <w:sz w:val="20"/>
                <w:szCs w:val="20"/>
                <w:highlight w:val="none"/>
                <w:u w:val="none"/>
                <w:lang w:val="en-US" w:eastAsia="zh-CN"/>
              </w:rPr>
              <w:t>分配金额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1</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乌鲁木齐市</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15.08</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2</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伊犁州</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955.31</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2210.9</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3166.21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3</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塔城地区</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502.8</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732.4</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4</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阿勒泰地区</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150.84</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249.25</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400.09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5</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克拉玛依市</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sz w:val="20"/>
                <w:szCs w:val="20"/>
                <w:highlight w:val="none"/>
                <w:u w:val="none"/>
                <w:lang w:val="en-US" w:eastAsia="zh-CN"/>
              </w:rPr>
            </w:pPr>
            <w:r>
              <w:rPr>
                <w:rFonts w:hint="eastAsia" w:ascii="宋体" w:hAnsi="宋体" w:eastAsia="宋体" w:cs="宋体"/>
                <w:b w:val="0"/>
                <w:bCs w:val="0"/>
                <w:i w:val="0"/>
                <w:iCs w:val="0"/>
                <w:color w:val="auto"/>
                <w:sz w:val="20"/>
                <w:szCs w:val="20"/>
                <w:highlight w:val="none"/>
                <w:u w:val="none"/>
                <w:lang w:val="en-US" w:eastAsia="zh-CN"/>
              </w:rPr>
              <w:t>0</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6</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博州</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60.34</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1012.4</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1072.74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b w:val="0"/>
                <w:bCs w:val="0"/>
                <w:i w:val="0"/>
                <w:iCs w:val="0"/>
                <w:color w:val="auto"/>
                <w:kern w:val="0"/>
                <w:sz w:val="20"/>
                <w:szCs w:val="20"/>
                <w:highlight w:val="none"/>
                <w:u w:val="none"/>
                <w:lang w:val="en-US" w:eastAsia="zh-CN" w:bidi="ar"/>
              </w:rPr>
              <w:t>7</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昌吉州</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804.47</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1369.25</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2173.72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lang w:val="en-US"/>
              </w:rPr>
            </w:pPr>
            <w:r>
              <w:rPr>
                <w:rFonts w:hint="eastAsia" w:ascii="宋体" w:hAnsi="宋体" w:eastAsia="宋体" w:cs="宋体"/>
                <w:b w:val="0"/>
                <w:bCs w:val="0"/>
                <w:i w:val="0"/>
                <w:iCs w:val="0"/>
                <w:color w:val="auto"/>
                <w:kern w:val="0"/>
                <w:sz w:val="20"/>
                <w:szCs w:val="20"/>
                <w:highlight w:val="none"/>
                <w:u w:val="none"/>
                <w:lang w:val="en-US" w:eastAsia="zh-CN" w:bidi="ar"/>
              </w:rPr>
              <w:t>8</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哈密市</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100.56</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100.56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2"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lang w:val="en-US"/>
              </w:rPr>
            </w:pPr>
            <w:r>
              <w:rPr>
                <w:rFonts w:hint="eastAsia" w:ascii="宋体" w:hAnsi="宋体" w:eastAsia="宋体" w:cs="宋体"/>
                <w:b w:val="0"/>
                <w:bCs w:val="0"/>
                <w:i w:val="0"/>
                <w:iCs w:val="0"/>
                <w:color w:val="auto"/>
                <w:kern w:val="0"/>
                <w:sz w:val="20"/>
                <w:szCs w:val="20"/>
                <w:highlight w:val="none"/>
                <w:u w:val="none"/>
                <w:lang w:val="en-US" w:eastAsia="zh-CN" w:bidi="ar"/>
              </w:rPr>
              <w:t>9</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吐鲁番市</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iCs w:val="0"/>
                <w:color w:val="auto"/>
                <w:sz w:val="20"/>
                <w:szCs w:val="20"/>
                <w:highlight w:val="none"/>
                <w:u w:val="none"/>
                <w:lang w:val="en-US" w:eastAsia="zh-CN"/>
              </w:rPr>
            </w:pPr>
            <w:r>
              <w:rPr>
                <w:rFonts w:hint="eastAsia" w:ascii="宋体" w:hAnsi="宋体" w:eastAsia="宋体" w:cs="宋体"/>
                <w:b w:val="0"/>
                <w:bCs w:val="0"/>
                <w:i w:val="0"/>
                <w:iCs w:val="0"/>
                <w:color w:val="auto"/>
                <w:sz w:val="20"/>
                <w:szCs w:val="20"/>
                <w:highlight w:val="none"/>
                <w:u w:val="none"/>
                <w:lang w:val="en-US" w:eastAsia="zh-CN"/>
              </w:rPr>
              <w:t>0</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lang w:val="en-US"/>
              </w:rPr>
            </w:pPr>
            <w:r>
              <w:rPr>
                <w:rFonts w:hint="eastAsia" w:ascii="宋体" w:hAnsi="宋体" w:eastAsia="宋体" w:cs="宋体"/>
                <w:b w:val="0"/>
                <w:bCs w:val="0"/>
                <w:i w:val="0"/>
                <w:iCs w:val="0"/>
                <w:color w:val="auto"/>
                <w:kern w:val="0"/>
                <w:sz w:val="20"/>
                <w:szCs w:val="20"/>
                <w:highlight w:val="none"/>
                <w:u w:val="none"/>
                <w:lang w:val="en-US" w:eastAsia="zh-CN" w:bidi="ar"/>
              </w:rPr>
              <w:t>10</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巴州</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276.54</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840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1116.54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lang w:val="en-US"/>
              </w:rPr>
            </w:pPr>
            <w:r>
              <w:rPr>
                <w:rFonts w:hint="eastAsia" w:ascii="宋体" w:hAnsi="宋体" w:eastAsia="宋体" w:cs="宋体"/>
                <w:b w:val="0"/>
                <w:bCs w:val="0"/>
                <w:i w:val="0"/>
                <w:iCs w:val="0"/>
                <w:color w:val="auto"/>
                <w:kern w:val="0"/>
                <w:sz w:val="20"/>
                <w:szCs w:val="20"/>
                <w:highlight w:val="none"/>
                <w:u w:val="none"/>
                <w:lang w:val="en-US" w:eastAsia="zh-CN" w:bidi="ar"/>
              </w:rPr>
              <w:t>11</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阿克苏地区</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1256.98</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1432.4</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2689.38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12</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zh-CN" w:bidi="ar-SA"/>
              </w:rPr>
            </w:pPr>
            <w:r>
              <w:rPr>
                <w:rFonts w:hint="eastAsia" w:ascii="宋体" w:hAnsi="宋体" w:eastAsia="宋体" w:cs="宋体"/>
                <w:color w:val="auto"/>
                <w:spacing w:val="3"/>
                <w:kern w:val="2"/>
                <w:sz w:val="20"/>
                <w:szCs w:val="20"/>
                <w:highlight w:val="none"/>
                <w:lang w:val="en-US" w:eastAsia="zh-CN" w:bidi="ar-SA"/>
              </w:rPr>
              <w:t>克州</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201.12</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420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621.12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13</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zh-CN" w:bidi="ar-SA"/>
              </w:rPr>
            </w:pPr>
            <w:r>
              <w:rPr>
                <w:rFonts w:hint="eastAsia" w:ascii="宋体" w:hAnsi="宋体" w:eastAsia="宋体" w:cs="宋体"/>
                <w:color w:val="auto"/>
                <w:spacing w:val="3"/>
                <w:kern w:val="2"/>
                <w:sz w:val="20"/>
                <w:szCs w:val="20"/>
                <w:highlight w:val="none"/>
                <w:lang w:val="en-US" w:eastAsia="zh-CN" w:bidi="ar-SA"/>
              </w:rPr>
              <w:t>喀什地区</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1759.77</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1712.4</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3472.17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5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lang w:val="en-US"/>
              </w:rPr>
            </w:pPr>
            <w:r>
              <w:rPr>
                <w:rFonts w:hint="eastAsia" w:ascii="宋体" w:hAnsi="宋体" w:eastAsia="宋体" w:cs="宋体"/>
                <w:b w:val="0"/>
                <w:bCs w:val="0"/>
                <w:i w:val="0"/>
                <w:iCs w:val="0"/>
                <w:color w:val="auto"/>
                <w:kern w:val="0"/>
                <w:sz w:val="20"/>
                <w:szCs w:val="20"/>
                <w:highlight w:val="none"/>
                <w:u w:val="none"/>
                <w:lang w:val="en-US" w:eastAsia="zh-CN" w:bidi="ar"/>
              </w:rPr>
              <w:t>14</w:t>
            </w:r>
          </w:p>
        </w:tc>
        <w:tc>
          <w:tcPr>
            <w:tcW w:w="104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auto"/>
                <w:spacing w:val="3"/>
                <w:kern w:val="2"/>
                <w:sz w:val="20"/>
                <w:szCs w:val="20"/>
                <w:highlight w:val="none"/>
                <w:lang w:val="en-US" w:eastAsia="en-US" w:bidi="ar-SA"/>
              </w:rPr>
            </w:pPr>
            <w:r>
              <w:rPr>
                <w:rFonts w:hint="eastAsia" w:ascii="宋体" w:hAnsi="宋体" w:eastAsia="宋体" w:cs="宋体"/>
                <w:color w:val="auto"/>
                <w:spacing w:val="3"/>
                <w:kern w:val="2"/>
                <w:sz w:val="20"/>
                <w:szCs w:val="20"/>
                <w:highlight w:val="none"/>
                <w:lang w:val="en-US" w:eastAsia="zh-CN" w:bidi="ar-SA"/>
              </w:rPr>
              <w:t>和田地区</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754.19</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0</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754.19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7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b/>
                <w:bCs/>
                <w:i w:val="0"/>
                <w:iCs w:val="0"/>
                <w:color w:val="auto"/>
                <w:kern w:val="0"/>
                <w:sz w:val="20"/>
                <w:szCs w:val="20"/>
                <w:highlight w:val="none"/>
                <w:u w:val="none"/>
                <w:lang w:val="en-US" w:eastAsia="zh-CN" w:bidi="ar"/>
              </w:rPr>
              <w:t>合计</w:t>
            </w:r>
          </w:p>
        </w:tc>
        <w:tc>
          <w:tcPr>
            <w:tcW w:w="103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6838</w:t>
            </w:r>
          </w:p>
        </w:tc>
        <w:tc>
          <w:tcPr>
            <w:tcW w:w="172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9979</w:t>
            </w:r>
          </w:p>
        </w:tc>
        <w:tc>
          <w:tcPr>
            <w:tcW w:w="66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kern w:val="0"/>
                <w:sz w:val="20"/>
                <w:szCs w:val="20"/>
                <w:highlight w:val="none"/>
                <w:u w:val="none"/>
                <w:lang w:val="en-US" w:eastAsia="zh-CN" w:bidi="ar"/>
              </w:rPr>
            </w:pPr>
            <w:r>
              <w:rPr>
                <w:rFonts w:hint="eastAsia" w:ascii="宋体" w:hAnsi="宋体" w:eastAsia="宋体" w:cs="宋体"/>
                <w:i w:val="0"/>
                <w:iCs w:val="0"/>
                <w:color w:val="auto"/>
                <w:kern w:val="0"/>
                <w:sz w:val="20"/>
                <w:szCs w:val="20"/>
                <w:highlight w:val="none"/>
                <w:u w:val="none"/>
                <w:lang w:val="en-US" w:eastAsia="zh-CN" w:bidi="ar"/>
              </w:rPr>
              <w:t>16817</w:t>
            </w:r>
          </w:p>
        </w:tc>
      </w:tr>
    </w:tbl>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2.自治区分解下达绩效目标情况如下</w:t>
      </w:r>
      <w:r>
        <w:rPr>
          <w:rFonts w:hint="eastAsia" w:ascii="仿宋_GB2312" w:hAnsi="仿宋_GB2312" w:cs="仿宋_GB2312"/>
          <w:b/>
          <w:bCs/>
          <w:sz w:val="32"/>
          <w:szCs w:val="32"/>
          <w:highlight w:val="none"/>
          <w:lang w:eastAsia="zh-CN"/>
        </w:rPr>
        <w:t>：</w:t>
      </w:r>
    </w:p>
    <w:p>
      <w:pPr>
        <w:pStyle w:val="16"/>
        <w:spacing w:line="560" w:lineRule="exact"/>
        <w:ind w:firstLine="640" w:firstLineChars="200"/>
        <w:jc w:val="left"/>
        <w:rPr>
          <w:rFonts w:ascii="Times New Roman" w:hAnsi="Times New Roman" w:eastAsia="仿宋_GB2312"/>
          <w:sz w:val="32"/>
          <w:szCs w:val="32"/>
          <w:highlight w:val="none"/>
        </w:rPr>
        <w:sectPr>
          <w:pgSz w:w="11906" w:h="16838"/>
          <w:pgMar w:top="1440" w:right="1800" w:bottom="1440" w:left="1800" w:header="851" w:footer="992" w:gutter="0"/>
          <w:pgNumType w:fmt="decimal"/>
          <w:cols w:space="425" w:num="1"/>
          <w:docGrid w:type="lines" w:linePitch="312" w:charSpace="0"/>
        </w:sectPr>
      </w:pPr>
      <w:r>
        <w:rPr>
          <w:rFonts w:ascii="Times New Roman" w:hAnsi="Times New Roman" w:eastAsia="仿宋_GB2312"/>
          <w:sz w:val="32"/>
          <w:szCs w:val="32"/>
          <w:highlight w:val="none"/>
        </w:rPr>
        <w:t>根据自治区财政厅下达的资金文件确定的绩效目标，结合脱贫县涉农资金整合情况，对县（市）资金的分配主要根据任务的特点进行合理的安排，根据</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关于下达2024年中央粮油生产保障资金预算的通知</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（新财农〔2024〕26号</w:t>
      </w:r>
      <w:r>
        <w:rPr>
          <w:rFonts w:hint="eastAsia" w:ascii="Times New Roman" w:hAnsi="Times New Roman" w:eastAsia="仿宋_GB2312"/>
          <w:sz w:val="32"/>
          <w:szCs w:val="32"/>
          <w:highlight w:val="none"/>
        </w:rPr>
        <w:t>）</w:t>
      </w:r>
      <w:r>
        <w:rPr>
          <w:rFonts w:ascii="Times New Roman" w:hAnsi="Times New Roman" w:eastAsia="仿宋_GB2312"/>
          <w:sz w:val="32"/>
          <w:szCs w:val="32"/>
          <w:highlight w:val="none"/>
        </w:rPr>
        <w:t>，绩效目标详见下表：</w:t>
      </w:r>
    </w:p>
    <w:p>
      <w:pPr>
        <w:pStyle w:val="16"/>
        <w:spacing w:line="560" w:lineRule="exact"/>
        <w:ind w:firstLine="441" w:firstLineChars="200"/>
        <w:jc w:val="center"/>
        <w:rPr>
          <w:rFonts w:ascii="Times New Roman" w:hAnsi="Times New Roman" w:eastAsia="仿宋_GB2312"/>
          <w:b/>
          <w:bCs/>
          <w:sz w:val="22"/>
          <w:highlight w:val="none"/>
        </w:rPr>
      </w:pPr>
      <w:r>
        <w:rPr>
          <w:rFonts w:ascii="Times New Roman" w:hAnsi="Times New Roman" w:eastAsia="仿宋_GB2312"/>
          <w:b/>
          <w:bCs/>
          <w:sz w:val="22"/>
          <w:highlight w:val="none"/>
        </w:rPr>
        <w:t>202</w:t>
      </w:r>
      <w:r>
        <w:rPr>
          <w:rFonts w:hint="eastAsia" w:ascii="Times New Roman" w:hAnsi="Times New Roman" w:eastAsia="仿宋_GB2312"/>
          <w:b/>
          <w:bCs/>
          <w:sz w:val="22"/>
          <w:highlight w:val="none"/>
        </w:rPr>
        <w:t>4</w:t>
      </w:r>
      <w:r>
        <w:rPr>
          <w:rFonts w:ascii="Times New Roman" w:hAnsi="Times New Roman" w:eastAsia="仿宋_GB2312"/>
          <w:b/>
          <w:bCs/>
          <w:sz w:val="22"/>
          <w:highlight w:val="none"/>
        </w:rPr>
        <w:t>年中央粮油生产保障资金</w:t>
      </w:r>
      <w:r>
        <w:rPr>
          <w:rFonts w:hint="eastAsia" w:ascii="Times New Roman" w:hAnsi="Times New Roman" w:eastAsia="仿宋_GB2312"/>
          <w:b/>
          <w:bCs/>
          <w:sz w:val="22"/>
          <w:highlight w:val="none"/>
          <w:lang w:val="en-US" w:eastAsia="zh-CN"/>
        </w:rPr>
        <w:t>项目</w:t>
      </w:r>
      <w:r>
        <w:rPr>
          <w:rFonts w:ascii="Times New Roman" w:hAnsi="Times New Roman" w:eastAsia="仿宋_GB2312"/>
          <w:b/>
          <w:bCs/>
          <w:sz w:val="22"/>
          <w:highlight w:val="none"/>
        </w:rPr>
        <w:t>绩效目标表</w:t>
      </w:r>
    </w:p>
    <w:tbl>
      <w:tblPr>
        <w:tblStyle w:val="12"/>
        <w:tblW w:w="0" w:type="auto"/>
        <w:tblInd w:w="0" w:type="dxa"/>
        <w:tblLayout w:type="autofit"/>
        <w:tblCellMar>
          <w:top w:w="0" w:type="dxa"/>
          <w:left w:w="108" w:type="dxa"/>
          <w:bottom w:w="0" w:type="dxa"/>
          <w:right w:w="108" w:type="dxa"/>
        </w:tblCellMar>
      </w:tblPr>
      <w:tblGrid>
        <w:gridCol w:w="800"/>
        <w:gridCol w:w="721"/>
        <w:gridCol w:w="760"/>
        <w:gridCol w:w="1679"/>
        <w:gridCol w:w="612"/>
        <w:gridCol w:w="759"/>
        <w:gridCol w:w="641"/>
        <w:gridCol w:w="659"/>
        <w:gridCol w:w="625"/>
        <w:gridCol w:w="665"/>
        <w:gridCol w:w="548"/>
        <w:gridCol w:w="659"/>
        <w:gridCol w:w="659"/>
        <w:gridCol w:w="625"/>
        <w:gridCol w:w="495"/>
        <w:gridCol w:w="659"/>
        <w:gridCol w:w="699"/>
        <w:gridCol w:w="625"/>
        <w:gridCol w:w="659"/>
        <w:gridCol w:w="625"/>
      </w:tblGrid>
      <w:tr>
        <w:tblPrEx>
          <w:tblCellMar>
            <w:top w:w="0" w:type="dxa"/>
            <w:left w:w="108" w:type="dxa"/>
            <w:bottom w:w="0" w:type="dxa"/>
            <w:right w:w="108" w:type="dxa"/>
          </w:tblCellMar>
        </w:tblPrEx>
        <w:trPr>
          <w:trHeight w:val="46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b/>
                <w:bCs/>
                <w:color w:val="000000"/>
                <w:kern w:val="0"/>
                <w:sz w:val="12"/>
                <w:szCs w:val="12"/>
                <w:highlight w:val="none"/>
                <w:lang w:bidi="ar"/>
              </w:rPr>
            </w:pPr>
            <w:r>
              <w:rPr>
                <w:rFonts w:hint="eastAsia" w:eastAsia="黑体"/>
                <w:b/>
                <w:bCs/>
                <w:color w:val="000000"/>
                <w:kern w:val="0"/>
                <w:sz w:val="12"/>
                <w:szCs w:val="12"/>
                <w:highlight w:val="none"/>
                <w:lang w:bidi="ar"/>
              </w:rPr>
              <w:t>资金名称</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b/>
                <w:bCs/>
                <w:color w:val="000000"/>
                <w:kern w:val="0"/>
                <w:sz w:val="12"/>
                <w:szCs w:val="12"/>
                <w:highlight w:val="none"/>
                <w:lang w:bidi="ar"/>
              </w:rPr>
            </w:pPr>
            <w:r>
              <w:rPr>
                <w:rFonts w:hint="eastAsia" w:eastAsia="黑体"/>
                <w:b/>
                <w:bCs/>
                <w:color w:val="000000"/>
                <w:kern w:val="0"/>
                <w:sz w:val="12"/>
                <w:szCs w:val="12"/>
                <w:highlight w:val="none"/>
                <w:lang w:bidi="ar"/>
              </w:rPr>
              <w:t>中央粮油生产保障资金（全年总表）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eastAsia="黑体"/>
                <w:b/>
                <w:bCs/>
                <w:color w:val="000000"/>
                <w:kern w:val="0"/>
                <w:sz w:val="12"/>
                <w:szCs w:val="12"/>
                <w:highlight w:val="none"/>
                <w:lang w:bidi="ar"/>
              </w:rPr>
            </w:pPr>
            <w:r>
              <w:rPr>
                <w:rFonts w:hint="eastAsia" w:eastAsia="黑体"/>
                <w:b/>
                <w:bCs/>
                <w:color w:val="000000"/>
                <w:kern w:val="0"/>
                <w:sz w:val="12"/>
                <w:szCs w:val="12"/>
                <w:highlight w:val="none"/>
                <w:lang w:bidi="ar"/>
              </w:rPr>
              <w:t>全区总绩效目标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b/>
                <w:bCs/>
                <w:color w:val="000000"/>
                <w:kern w:val="0"/>
                <w:sz w:val="12"/>
                <w:szCs w:val="12"/>
                <w:highlight w:val="none"/>
                <w:lang w:bidi="ar"/>
              </w:rPr>
            </w:pPr>
          </w:p>
        </w:tc>
        <w:tc>
          <w:tcPr>
            <w:tcW w:w="0" w:type="auto"/>
            <w:gridSpan w:val="13"/>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b/>
                <w:bCs/>
                <w:color w:val="000000"/>
                <w:kern w:val="0"/>
                <w:sz w:val="12"/>
                <w:szCs w:val="12"/>
                <w:highlight w:val="none"/>
                <w:lang w:bidi="ar"/>
              </w:rPr>
            </w:pPr>
            <w:r>
              <w:rPr>
                <w:rFonts w:hint="eastAsia" w:eastAsia="黑体"/>
                <w:b/>
                <w:bCs/>
                <w:color w:val="000000"/>
                <w:kern w:val="0"/>
                <w:sz w:val="12"/>
                <w:szCs w:val="12"/>
                <w:highlight w:val="none"/>
                <w:lang w:bidi="ar"/>
              </w:rPr>
              <w:t>分区域绩效目标</w:t>
            </w:r>
          </w:p>
        </w:tc>
      </w:tr>
      <w:tr>
        <w:tblPrEx>
          <w:tblCellMar>
            <w:top w:w="0" w:type="dxa"/>
            <w:left w:w="108" w:type="dxa"/>
            <w:bottom w:w="0" w:type="dxa"/>
            <w:right w:w="108" w:type="dxa"/>
          </w:tblCellMar>
        </w:tblPrEx>
        <w:trPr>
          <w:trHeight w:val="600"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中央主管部门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财政部、农业农村部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合计</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乌鲁木齐市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伊犁州直</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塔城地区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阿勒泰地区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克拉玛依市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博州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昌吉州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哈密市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吐鲁番市</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巴州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阿克苏地区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克州</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喀什地区</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和田地区</w:t>
            </w:r>
          </w:p>
        </w:tc>
      </w:tr>
      <w:tr>
        <w:tblPrEx>
          <w:tblCellMar>
            <w:top w:w="0" w:type="dxa"/>
            <w:left w:w="108" w:type="dxa"/>
            <w:bottom w:w="0" w:type="dxa"/>
            <w:right w:w="108" w:type="dxa"/>
          </w:tblCellMar>
        </w:tblPrEx>
        <w:trPr>
          <w:trHeight w:val="40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省级财政部门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新疆维吾尔自治区财政厅</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gridSpan w:val="1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各地州市财政局、农业农村局</w:t>
            </w:r>
          </w:p>
        </w:tc>
      </w:tr>
      <w:tr>
        <w:tblPrEx>
          <w:tblCellMar>
            <w:top w:w="0" w:type="dxa"/>
            <w:left w:w="108" w:type="dxa"/>
            <w:bottom w:w="0" w:type="dxa"/>
            <w:right w:w="108" w:type="dxa"/>
          </w:tblCellMar>
        </w:tblPrEx>
        <w:trPr>
          <w:trHeight w:val="402"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省级主管部门</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新疆维吾尔自治区农业农村厅</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gridSpan w:val="1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40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资金情况 （万元）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年度金额：</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16817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16817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15.08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3166.21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1235.2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400.09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1072.74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2173.72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1116.54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2689.38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621.12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3472.17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754.19</w:t>
            </w:r>
          </w:p>
        </w:tc>
      </w:tr>
      <w:tr>
        <w:tblPrEx>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其中：中央补助</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16817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16817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15.08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3166.21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1235.2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400.09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1072.74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2173.72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100.56</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1116.54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2689.38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621.12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3472.17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754.19</w:t>
            </w:r>
          </w:p>
        </w:tc>
      </w:tr>
      <w:tr>
        <w:tblPrEx>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地方资金</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40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年度目标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1。实施小麦“一喷三防”；</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r>
      <w:tr>
        <w:tblPrEx>
          <w:tblCellMar>
            <w:top w:w="0" w:type="dxa"/>
            <w:left w:w="108" w:type="dxa"/>
            <w:bottom w:w="0" w:type="dxa"/>
            <w:right w:w="108" w:type="dxa"/>
          </w:tblCellMar>
        </w:tblPrEx>
        <w:trPr>
          <w:trHeight w:val="40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2.实施粮油等重点作物绿色高产高效行动。</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绩效指标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一级指标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二级指标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三级指标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指标值</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14</w:t>
            </w: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产出指标</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数量指标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小麦“一喷三防”补助面积（万亩）</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≥1360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≥1360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≥350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≥150</w:t>
            </w: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重点作物绿色高产高效创建县数量（个）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大豆玉米小麦油菜单产提升整建制推进县数量（个）</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时效指标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小麦“一喷三防”措施落实完成时限</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7月31日</w:t>
            </w: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成本指标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重点作物绿色高产高效项目区节本增效水平（%）</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效益指标</w:t>
            </w:r>
          </w:p>
        </w:tc>
        <w:tc>
          <w:tcPr>
            <w:tcW w:w="0" w:type="auto"/>
            <w:vMerge w:val="restart"/>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社会效益指标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集成推广绿色高质高效模式（套）</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nil"/>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资金使用重大违规违纪问题</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无</w:t>
            </w: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生态效益指标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重点作物绿色高产高效项目区病虫害危害损失率（%）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&lt;5%</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r>
      <w:tr>
        <w:tblPrEx>
          <w:tblCellMar>
            <w:top w:w="0" w:type="dxa"/>
            <w:left w:w="108" w:type="dxa"/>
            <w:bottom w:w="0" w:type="dxa"/>
            <w:right w:w="108" w:type="dxa"/>
          </w:tblCellMar>
        </w:tblPrEx>
        <w:trPr>
          <w:trHeight w:val="500"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服务对象满意度指标</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小麦“一喷三防”服务群众满意度（%）</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eastAsia="黑体"/>
                <w:color w:val="000000"/>
                <w:kern w:val="0"/>
                <w:sz w:val="12"/>
                <w:szCs w:val="12"/>
                <w:highlight w:val="none"/>
                <w:lang w:bidi="ar"/>
              </w:rPr>
            </w:pPr>
            <w:r>
              <w:rPr>
                <w:rFonts w:eastAsia="黑体"/>
                <w:color w:val="000000"/>
                <w:kern w:val="0"/>
                <w:sz w:val="12"/>
                <w:szCs w:val="12"/>
                <w:highlight w:val="none"/>
                <w:lang w:bidi="ar"/>
              </w:rPr>
              <w:t>≥90%</w:t>
            </w:r>
          </w:p>
        </w:tc>
      </w:tr>
    </w:tbl>
    <w:p>
      <w:pPr>
        <w:pStyle w:val="16"/>
        <w:spacing w:line="560" w:lineRule="exact"/>
        <w:jc w:val="both"/>
        <w:rPr>
          <w:rFonts w:ascii="Times New Roman" w:hAnsi="Times New Roman" w:eastAsia="仿宋_GB2312"/>
          <w:b/>
          <w:bCs/>
          <w:sz w:val="22"/>
          <w:highlight w:val="none"/>
        </w:rPr>
        <w:sectPr>
          <w:pgSz w:w="16838" w:h="11906" w:orient="landscape"/>
          <w:pgMar w:top="1800" w:right="1440" w:bottom="1800" w:left="1440" w:header="851" w:footer="992" w:gutter="0"/>
          <w:pgNumType w:fmt="decimal"/>
          <w:cols w:space="425" w:num="1"/>
          <w:docGrid w:type="lines" w:linePitch="312" w:charSpace="0"/>
        </w:sectPr>
      </w:pPr>
    </w:p>
    <w:p>
      <w:pPr>
        <w:spacing w:line="560" w:lineRule="exact"/>
        <w:ind w:firstLine="640" w:firstLineChars="200"/>
        <w:rPr>
          <w:rFonts w:eastAsia="黑体"/>
          <w:bCs/>
          <w:sz w:val="32"/>
          <w:szCs w:val="32"/>
          <w:highlight w:val="none"/>
        </w:rPr>
      </w:pPr>
      <w:r>
        <w:rPr>
          <w:rFonts w:eastAsia="黑体"/>
          <w:bCs/>
          <w:sz w:val="32"/>
          <w:szCs w:val="32"/>
          <w:highlight w:val="none"/>
        </w:rPr>
        <w:t>二、绩效目标完成情况分析</w:t>
      </w:r>
    </w:p>
    <w:p>
      <w:pPr>
        <w:pStyle w:val="11"/>
        <w:spacing w:after="0" w:line="560" w:lineRule="exact"/>
        <w:ind w:left="0" w:leftChars="0" w:firstLine="643"/>
        <w:rPr>
          <w:rFonts w:hint="eastAsia" w:ascii="Times New Roman" w:hAnsi="Times New Roman" w:eastAsia="楷体"/>
          <w:b/>
          <w:bCs/>
          <w:sz w:val="32"/>
          <w:szCs w:val="32"/>
          <w:highlight w:val="none"/>
          <w:lang w:eastAsia="zh-CN"/>
        </w:rPr>
      </w:pPr>
      <w:r>
        <w:rPr>
          <w:rFonts w:ascii="Times New Roman" w:hAnsi="Times New Roman" w:eastAsia="楷体"/>
          <w:b/>
          <w:bCs/>
          <w:sz w:val="32"/>
          <w:szCs w:val="32"/>
          <w:highlight w:val="none"/>
        </w:rPr>
        <w:t>（一）资金投入情况分析</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1.项目资金到位情况分析</w:t>
      </w:r>
      <w:r>
        <w:rPr>
          <w:rFonts w:hint="eastAsia" w:ascii="仿宋_GB2312" w:hAnsi="仿宋_GB2312" w:eastAsia="仿宋_GB2312" w:cs="仿宋_GB2312"/>
          <w:b/>
          <w:bCs/>
          <w:sz w:val="32"/>
          <w:szCs w:val="32"/>
          <w:highlight w:val="none"/>
          <w:lang w:eastAsia="zh-CN"/>
        </w:rPr>
        <w:t>。</w:t>
      </w:r>
    </w:p>
    <w:p>
      <w:pPr>
        <w:pStyle w:val="11"/>
        <w:spacing w:after="0" w:line="560" w:lineRule="exact"/>
        <w:ind w:left="0" w:leftChars="0" w:firstLine="640"/>
        <w:rPr>
          <w:rFonts w:hint="eastAsia"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年度中央下达新疆粮油生产保障资金</w:t>
      </w:r>
      <w:r>
        <w:rPr>
          <w:rFonts w:hint="eastAsia" w:ascii="Times New Roman" w:hAnsi="Times New Roman"/>
          <w:sz w:val="32"/>
          <w:szCs w:val="32"/>
          <w:highlight w:val="none"/>
        </w:rPr>
        <w:t>16817</w:t>
      </w:r>
      <w:r>
        <w:rPr>
          <w:rFonts w:ascii="Times New Roman" w:hAnsi="Times New Roman"/>
          <w:sz w:val="32"/>
          <w:szCs w:val="32"/>
          <w:highlight w:val="none"/>
        </w:rPr>
        <w:t>万元，资金到位</w:t>
      </w:r>
      <w:r>
        <w:rPr>
          <w:rFonts w:hint="eastAsia" w:ascii="Times New Roman" w:hAnsi="Times New Roman"/>
          <w:sz w:val="32"/>
          <w:szCs w:val="32"/>
          <w:highlight w:val="none"/>
        </w:rPr>
        <w:t>16817</w:t>
      </w:r>
      <w:r>
        <w:rPr>
          <w:rFonts w:ascii="Times New Roman" w:hAnsi="Times New Roman"/>
          <w:sz w:val="32"/>
          <w:szCs w:val="32"/>
          <w:highlight w:val="none"/>
        </w:rPr>
        <w:t>万元，到位率</w:t>
      </w:r>
      <w:r>
        <w:rPr>
          <w:rFonts w:hint="eastAsia" w:ascii="Times New Roman" w:hAnsi="Times New Roman"/>
          <w:sz w:val="32"/>
          <w:szCs w:val="32"/>
          <w:highlight w:val="none"/>
        </w:rPr>
        <w:t>100</w:t>
      </w:r>
      <w:r>
        <w:rPr>
          <w:rFonts w:ascii="Times New Roman" w:hAnsi="Times New Roman"/>
          <w:sz w:val="32"/>
          <w:szCs w:val="32"/>
          <w:highlight w:val="none"/>
        </w:rPr>
        <w:t>%</w:t>
      </w:r>
      <w:r>
        <w:rPr>
          <w:rFonts w:hint="eastAsia" w:ascii="Times New Roman" w:hAnsi="Times New Roman"/>
          <w:sz w:val="32"/>
          <w:szCs w:val="32"/>
          <w:highlight w:val="none"/>
        </w:rPr>
        <w:t>。</w:t>
      </w:r>
    </w:p>
    <w:p>
      <w:pPr>
        <w:pStyle w:val="11"/>
        <w:spacing w:after="0" w:line="560" w:lineRule="exact"/>
        <w:ind w:left="0" w:leftChars="0" w:firstLine="640"/>
        <w:rPr>
          <w:rFonts w:ascii="Times New Roman" w:hAnsi="Times New Roman"/>
          <w:sz w:val="32"/>
          <w:szCs w:val="32"/>
          <w:highlight w:val="none"/>
        </w:rPr>
      </w:pPr>
      <w:r>
        <w:rPr>
          <w:rFonts w:hint="eastAsia" w:ascii="Times New Roman" w:hAnsi="Times New Roman"/>
          <w:sz w:val="32"/>
          <w:szCs w:val="32"/>
          <w:highlight w:val="none"/>
          <w:lang w:eastAsia="zh-CN"/>
        </w:rPr>
        <w:t>其中，</w:t>
      </w:r>
      <w:r>
        <w:rPr>
          <w:rFonts w:ascii="Times New Roman" w:hAnsi="Times New Roman"/>
          <w:sz w:val="32"/>
          <w:szCs w:val="32"/>
          <w:highlight w:val="none"/>
        </w:rPr>
        <w:t>2023年</w:t>
      </w:r>
      <w:r>
        <w:rPr>
          <w:rFonts w:hint="eastAsia" w:ascii="Times New Roman" w:hAnsi="Times New Roman"/>
          <w:sz w:val="32"/>
          <w:szCs w:val="32"/>
          <w:highlight w:val="none"/>
        </w:rPr>
        <w:t>11</w:t>
      </w:r>
      <w:r>
        <w:rPr>
          <w:rFonts w:ascii="Times New Roman" w:hAnsi="Times New Roman"/>
          <w:sz w:val="32"/>
          <w:szCs w:val="32"/>
          <w:highlight w:val="none"/>
        </w:rPr>
        <w:t>月</w:t>
      </w:r>
      <w:r>
        <w:rPr>
          <w:rFonts w:hint="eastAsia" w:ascii="Times New Roman" w:hAnsi="Times New Roman"/>
          <w:sz w:val="32"/>
          <w:szCs w:val="32"/>
          <w:highlight w:val="none"/>
        </w:rPr>
        <w:t>《</w:t>
      </w:r>
      <w:r>
        <w:rPr>
          <w:rFonts w:ascii="Times New Roman" w:hAnsi="Times New Roman"/>
          <w:sz w:val="32"/>
          <w:szCs w:val="32"/>
          <w:highlight w:val="none"/>
        </w:rPr>
        <w:t>财政部关于提前下达2024年农业相关转移支付资金预算的通知</w:t>
      </w:r>
      <w:r>
        <w:rPr>
          <w:rFonts w:hint="eastAsia" w:ascii="Times New Roman" w:hAnsi="Times New Roman"/>
          <w:sz w:val="32"/>
          <w:szCs w:val="32"/>
          <w:highlight w:val="none"/>
        </w:rPr>
        <w:t>》</w:t>
      </w:r>
      <w:r>
        <w:rPr>
          <w:rFonts w:ascii="Times New Roman" w:hAnsi="Times New Roman"/>
          <w:sz w:val="32"/>
          <w:szCs w:val="32"/>
          <w:highlight w:val="none"/>
        </w:rPr>
        <w:t>（财农〔2023〕87号</w:t>
      </w:r>
      <w:r>
        <w:rPr>
          <w:rFonts w:hint="eastAsia" w:ascii="Times New Roman" w:hAnsi="Times New Roman"/>
          <w:sz w:val="32"/>
          <w:szCs w:val="32"/>
          <w:highlight w:val="none"/>
        </w:rPr>
        <w:t>）提前</w:t>
      </w:r>
      <w:r>
        <w:rPr>
          <w:rFonts w:ascii="Times New Roman" w:hAnsi="Times New Roman"/>
          <w:sz w:val="32"/>
          <w:szCs w:val="32"/>
          <w:highlight w:val="none"/>
        </w:rPr>
        <w:t>下达</w:t>
      </w:r>
      <w:r>
        <w:rPr>
          <w:rFonts w:hint="eastAsia" w:ascii="Times New Roman" w:hAnsi="Times New Roman"/>
          <w:sz w:val="32"/>
          <w:szCs w:val="32"/>
          <w:highlight w:val="none"/>
        </w:rPr>
        <w:t>13855</w:t>
      </w:r>
      <w:r>
        <w:rPr>
          <w:rFonts w:ascii="Times New Roman" w:hAnsi="Times New Roman"/>
          <w:sz w:val="32"/>
          <w:szCs w:val="32"/>
          <w:highlight w:val="none"/>
        </w:rPr>
        <w:t>万元。</w:t>
      </w:r>
    </w:p>
    <w:p>
      <w:pPr>
        <w:pStyle w:val="11"/>
        <w:spacing w:after="0" w:line="560" w:lineRule="exact"/>
        <w:ind w:left="0" w:leftChars="0" w:firstLine="640"/>
        <w:rPr>
          <w:rFonts w:hint="default" w:ascii="Times New Roman" w:hAnsi="Times New Roman" w:eastAsia="仿宋_GB2312"/>
          <w:sz w:val="32"/>
          <w:szCs w:val="32"/>
          <w:highlight w:val="none"/>
          <w:lang w:val="en-US" w:eastAsia="zh-CN"/>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w:t>
      </w:r>
      <w:r>
        <w:rPr>
          <w:rFonts w:hint="eastAsia" w:ascii="Times New Roman" w:hAnsi="Times New Roman"/>
          <w:sz w:val="32"/>
          <w:szCs w:val="32"/>
          <w:highlight w:val="none"/>
        </w:rPr>
        <w:t>4</w:t>
      </w:r>
      <w:r>
        <w:rPr>
          <w:rFonts w:ascii="Times New Roman" w:hAnsi="Times New Roman"/>
          <w:sz w:val="32"/>
          <w:szCs w:val="32"/>
          <w:highlight w:val="none"/>
        </w:rPr>
        <w:t>月</w:t>
      </w:r>
      <w:r>
        <w:rPr>
          <w:rFonts w:hint="eastAsia" w:ascii="Times New Roman" w:hAnsi="Times New Roman"/>
          <w:sz w:val="32"/>
          <w:szCs w:val="32"/>
          <w:highlight w:val="none"/>
        </w:rPr>
        <w:t>《</w:t>
      </w:r>
      <w:r>
        <w:rPr>
          <w:rFonts w:ascii="Times New Roman" w:hAnsi="Times New Roman"/>
          <w:sz w:val="32"/>
          <w:szCs w:val="32"/>
          <w:highlight w:val="none"/>
        </w:rPr>
        <w:t>财政部关于下达2024年粮油生产保障资金预算的通知</w:t>
      </w:r>
      <w:r>
        <w:rPr>
          <w:rFonts w:hint="eastAsia" w:ascii="Times New Roman" w:hAnsi="Times New Roman"/>
          <w:sz w:val="32"/>
          <w:szCs w:val="32"/>
          <w:highlight w:val="none"/>
        </w:rPr>
        <w:t>》</w:t>
      </w:r>
      <w:r>
        <w:rPr>
          <w:rFonts w:ascii="Times New Roman" w:hAnsi="Times New Roman"/>
          <w:sz w:val="32"/>
          <w:szCs w:val="32"/>
          <w:highlight w:val="none"/>
        </w:rPr>
        <w:t>（财农〔2024〕11号</w:t>
      </w:r>
      <w:r>
        <w:rPr>
          <w:rFonts w:hint="eastAsia" w:ascii="Times New Roman" w:hAnsi="Times New Roman"/>
          <w:sz w:val="32"/>
          <w:szCs w:val="32"/>
          <w:highlight w:val="none"/>
        </w:rPr>
        <w:t>）</w:t>
      </w:r>
      <w:r>
        <w:rPr>
          <w:rFonts w:ascii="Times New Roman" w:hAnsi="Times New Roman"/>
          <w:sz w:val="32"/>
          <w:szCs w:val="32"/>
          <w:highlight w:val="none"/>
        </w:rPr>
        <w:t>下达</w:t>
      </w:r>
      <w:r>
        <w:rPr>
          <w:rFonts w:hint="eastAsia" w:ascii="Times New Roman" w:hAnsi="Times New Roman"/>
          <w:sz w:val="32"/>
          <w:szCs w:val="32"/>
          <w:highlight w:val="none"/>
        </w:rPr>
        <w:t>2962</w:t>
      </w:r>
      <w:r>
        <w:rPr>
          <w:rFonts w:ascii="Times New Roman" w:hAnsi="Times New Roman"/>
          <w:sz w:val="32"/>
          <w:szCs w:val="32"/>
          <w:highlight w:val="none"/>
        </w:rPr>
        <w:t>万元</w:t>
      </w:r>
      <w:r>
        <w:rPr>
          <w:rFonts w:hint="eastAsia" w:ascii="Times New Roman" w:hAnsi="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2.项目资金执行情况分析</w:t>
      </w:r>
      <w:r>
        <w:rPr>
          <w:rFonts w:hint="eastAsia" w:ascii="仿宋_GB2312" w:hAnsi="仿宋_GB2312" w:eastAsia="仿宋_GB2312" w:cs="仿宋_GB2312"/>
          <w:b/>
          <w:bCs/>
          <w:sz w:val="32"/>
          <w:szCs w:val="32"/>
          <w:highlight w:val="none"/>
          <w:lang w:eastAsia="zh-CN"/>
        </w:rPr>
        <w:t>。</w:t>
      </w:r>
    </w:p>
    <w:p>
      <w:pPr>
        <w:pStyle w:val="11"/>
        <w:adjustRightInd w:val="0"/>
        <w:spacing w:after="0" w:line="560" w:lineRule="exact"/>
        <w:ind w:left="0" w:leftChars="0" w:firstLine="640"/>
        <w:rPr>
          <w:rFonts w:ascii="Times New Roman" w:hAnsi="Times New Roman"/>
          <w:sz w:val="32"/>
          <w:szCs w:val="32"/>
          <w:highlight w:val="none"/>
        </w:rPr>
      </w:pPr>
      <w:r>
        <w:rPr>
          <w:rFonts w:ascii="Times New Roman" w:hAnsi="Times New Roman"/>
          <w:sz w:val="32"/>
          <w:szCs w:val="32"/>
          <w:highlight w:val="none"/>
        </w:rPr>
        <w:t>202</w:t>
      </w:r>
      <w:r>
        <w:rPr>
          <w:rFonts w:hint="eastAsia" w:ascii="Times New Roman" w:hAnsi="Times New Roman"/>
          <w:sz w:val="32"/>
          <w:szCs w:val="32"/>
          <w:highlight w:val="none"/>
        </w:rPr>
        <w:t>4</w:t>
      </w:r>
      <w:r>
        <w:rPr>
          <w:rFonts w:ascii="Times New Roman" w:hAnsi="Times New Roman"/>
          <w:sz w:val="32"/>
          <w:szCs w:val="32"/>
          <w:highlight w:val="none"/>
        </w:rPr>
        <w:t>年度下达粮油生产保障项目资金</w:t>
      </w:r>
      <w:r>
        <w:rPr>
          <w:rFonts w:hint="eastAsia" w:ascii="Times New Roman" w:hAnsi="Times New Roman"/>
          <w:sz w:val="32"/>
          <w:szCs w:val="32"/>
          <w:highlight w:val="none"/>
        </w:rPr>
        <w:t>16817</w:t>
      </w:r>
      <w:r>
        <w:rPr>
          <w:rFonts w:ascii="Times New Roman" w:hAnsi="Times New Roman"/>
          <w:sz w:val="32"/>
          <w:szCs w:val="32"/>
          <w:highlight w:val="none"/>
        </w:rPr>
        <w:t>万元</w:t>
      </w:r>
      <w:r>
        <w:rPr>
          <w:rFonts w:hint="eastAsia" w:ascii="Times New Roman" w:hAnsi="Times New Roman"/>
          <w:sz w:val="32"/>
          <w:szCs w:val="32"/>
          <w:highlight w:val="none"/>
        </w:rPr>
        <w:t>，</w:t>
      </w:r>
      <w:r>
        <w:rPr>
          <w:rFonts w:ascii="Times New Roman" w:hAnsi="Times New Roman"/>
          <w:sz w:val="32"/>
          <w:szCs w:val="32"/>
          <w:highlight w:val="none"/>
        </w:rPr>
        <w:t>截至202</w:t>
      </w:r>
      <w:r>
        <w:rPr>
          <w:rFonts w:hint="eastAsia" w:ascii="Times New Roman" w:hAnsi="Times New Roman"/>
          <w:sz w:val="32"/>
          <w:szCs w:val="32"/>
          <w:highlight w:val="none"/>
        </w:rPr>
        <w:t>4</w:t>
      </w:r>
      <w:r>
        <w:rPr>
          <w:rFonts w:ascii="Times New Roman" w:hAnsi="Times New Roman"/>
          <w:sz w:val="32"/>
          <w:szCs w:val="32"/>
          <w:highlight w:val="none"/>
        </w:rPr>
        <w:t>年12月31日，</w:t>
      </w:r>
      <w:r>
        <w:rPr>
          <w:rFonts w:hint="eastAsia" w:ascii="Times New Roman" w:hAnsi="Times New Roman"/>
          <w:sz w:val="32"/>
          <w:szCs w:val="32"/>
          <w:highlight w:val="none"/>
        </w:rPr>
        <w:t>资金执行14987.14</w:t>
      </w:r>
      <w:r>
        <w:rPr>
          <w:rFonts w:ascii="Times New Roman" w:hAnsi="Times New Roman"/>
          <w:sz w:val="32"/>
          <w:szCs w:val="32"/>
          <w:highlight w:val="none"/>
        </w:rPr>
        <w:t>万元</w:t>
      </w:r>
      <w:r>
        <w:rPr>
          <w:rFonts w:hint="eastAsia" w:ascii="Times New Roman" w:hAnsi="Times New Roman"/>
          <w:sz w:val="32"/>
          <w:szCs w:val="32"/>
          <w:highlight w:val="none"/>
        </w:rPr>
        <w:t>，资金执行率8</w:t>
      </w:r>
      <w:r>
        <w:rPr>
          <w:rFonts w:hint="eastAsia" w:ascii="Times New Roman" w:hAnsi="Times New Roman"/>
          <w:sz w:val="32"/>
          <w:szCs w:val="32"/>
          <w:highlight w:val="none"/>
          <w:lang w:val="en-US" w:eastAsia="zh-CN"/>
        </w:rPr>
        <w:t>9</w:t>
      </w:r>
      <w:r>
        <w:rPr>
          <w:rFonts w:hint="eastAsia" w:ascii="Times New Roman" w:hAnsi="Times New Roman"/>
          <w:sz w:val="32"/>
          <w:szCs w:val="32"/>
          <w:highlight w:val="none"/>
        </w:rPr>
        <w:t>.</w:t>
      </w:r>
      <w:r>
        <w:rPr>
          <w:rFonts w:hint="eastAsia" w:ascii="Times New Roman" w:hAnsi="Times New Roman"/>
          <w:sz w:val="32"/>
          <w:szCs w:val="32"/>
          <w:highlight w:val="none"/>
          <w:lang w:val="en-US" w:eastAsia="zh-CN"/>
        </w:rPr>
        <w:t>12</w:t>
      </w:r>
      <w:r>
        <w:rPr>
          <w:rFonts w:hint="eastAsia" w:ascii="Times New Roman" w:hAnsi="Times New Roman"/>
          <w:sz w:val="32"/>
          <w:szCs w:val="32"/>
          <w:highlight w:val="none"/>
        </w:rPr>
        <w:t>%。</w:t>
      </w:r>
      <w:r>
        <w:rPr>
          <w:rFonts w:ascii="Times New Roman" w:hAnsi="Times New Roman"/>
          <w:sz w:val="32"/>
          <w:szCs w:val="32"/>
          <w:highlight w:val="none"/>
        </w:rPr>
        <w:t>各地州资金执行情况详见下表：</w:t>
      </w:r>
    </w:p>
    <w:p>
      <w:pPr>
        <w:rPr>
          <w:rFonts w:ascii="Times New Roman" w:hAnsi="Times New Roman"/>
          <w:sz w:val="32"/>
          <w:szCs w:val="32"/>
          <w:highlight w:val="none"/>
        </w:rPr>
      </w:pPr>
      <w:r>
        <w:rPr>
          <w:rFonts w:ascii="Times New Roman" w:hAnsi="Times New Roman"/>
          <w:sz w:val="32"/>
          <w:szCs w:val="32"/>
          <w:highlight w:val="none"/>
        </w:rPr>
        <w:br w:type="page"/>
      </w:r>
    </w:p>
    <w:p>
      <w:pPr>
        <w:pStyle w:val="16"/>
        <w:spacing w:line="560" w:lineRule="exact"/>
        <w:ind w:firstLine="642" w:firstLineChars="200"/>
        <w:jc w:val="center"/>
        <w:rPr>
          <w:rFonts w:ascii="Times New Roman" w:hAnsi="Times New Roman"/>
          <w:b/>
          <w:bCs/>
          <w:sz w:val="32"/>
          <w:szCs w:val="32"/>
          <w:highlight w:val="none"/>
        </w:rPr>
      </w:pPr>
      <w:r>
        <w:rPr>
          <w:rFonts w:ascii="Times New Roman" w:hAnsi="Times New Roman"/>
          <w:b/>
          <w:bCs/>
          <w:sz w:val="32"/>
          <w:szCs w:val="32"/>
          <w:highlight w:val="none"/>
        </w:rPr>
        <w:t>202</w:t>
      </w:r>
      <w:r>
        <w:rPr>
          <w:rFonts w:hint="eastAsia" w:ascii="Times New Roman" w:hAnsi="Times New Roman"/>
          <w:b/>
          <w:bCs/>
          <w:sz w:val="32"/>
          <w:szCs w:val="32"/>
          <w:highlight w:val="none"/>
        </w:rPr>
        <w:t>4</w:t>
      </w:r>
      <w:r>
        <w:rPr>
          <w:rFonts w:ascii="Times New Roman" w:hAnsi="Times New Roman"/>
          <w:b/>
          <w:bCs/>
          <w:sz w:val="32"/>
          <w:szCs w:val="32"/>
          <w:highlight w:val="none"/>
        </w:rPr>
        <w:t>年粮油生产保障各地州资金执行情况表</w:t>
      </w:r>
    </w:p>
    <w:p>
      <w:pPr>
        <w:pStyle w:val="11"/>
        <w:adjustRightInd w:val="0"/>
        <w:spacing w:after="0" w:line="560" w:lineRule="exact"/>
        <w:ind w:left="0" w:leftChars="0" w:firstLine="360"/>
        <w:jc w:val="right"/>
        <w:rPr>
          <w:rFonts w:ascii="Times New Roman" w:hAnsi="Times New Roman"/>
          <w:b/>
          <w:bCs/>
          <w:sz w:val="18"/>
          <w:szCs w:val="16"/>
          <w:highlight w:val="none"/>
        </w:rPr>
      </w:pPr>
      <w:r>
        <w:rPr>
          <w:rFonts w:ascii="Times New Roman" w:hAnsi="Times New Roman"/>
          <w:b/>
          <w:bCs/>
          <w:sz w:val="18"/>
          <w:szCs w:val="16"/>
          <w:highlight w:val="none"/>
        </w:rPr>
        <w:t xml:space="preserve"> </w:t>
      </w:r>
      <w:r>
        <w:rPr>
          <w:rFonts w:ascii="Times New Roman" w:hAnsi="Times New Roman"/>
          <w:b/>
          <w:bCs/>
          <w:sz w:val="22"/>
          <w:szCs w:val="22"/>
          <w:highlight w:val="none"/>
        </w:rPr>
        <w:t>单位：万元</w:t>
      </w:r>
    </w:p>
    <w:tbl>
      <w:tblPr>
        <w:tblStyle w:val="12"/>
        <w:tblW w:w="849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524"/>
        <w:gridCol w:w="1872"/>
        <w:gridCol w:w="1872"/>
        <w:gridCol w:w="1522"/>
        <w:gridCol w:w="17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5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rPr>
            </w:pPr>
            <w:r>
              <w:rPr>
                <w:rFonts w:hint="default" w:ascii="Times New Roman" w:hAnsi="Times New Roman" w:eastAsia="宋体" w:cs="Times New Roman"/>
                <w:b/>
                <w:bCs/>
                <w:i w:val="0"/>
                <w:iCs w:val="0"/>
                <w:color w:val="auto"/>
                <w:kern w:val="0"/>
                <w:sz w:val="20"/>
                <w:szCs w:val="20"/>
                <w:highlight w:val="none"/>
                <w:u w:val="none"/>
                <w:lang w:val="en-US" w:eastAsia="zh-CN" w:bidi="ar"/>
              </w:rPr>
              <w:t>序号</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rPr>
            </w:pPr>
            <w:r>
              <w:rPr>
                <w:rFonts w:hint="default" w:ascii="Times New Roman" w:hAnsi="Times New Roman" w:eastAsia="宋体" w:cs="Times New Roman"/>
                <w:b/>
                <w:bCs/>
                <w:i w:val="0"/>
                <w:iCs w:val="0"/>
                <w:color w:val="auto"/>
                <w:kern w:val="0"/>
                <w:sz w:val="20"/>
                <w:szCs w:val="20"/>
                <w:highlight w:val="none"/>
                <w:u w:val="none"/>
                <w:lang w:val="en-US" w:eastAsia="zh-CN" w:bidi="ar"/>
              </w:rPr>
              <w:t>地州/单位</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lang w:val="en-US"/>
              </w:rPr>
            </w:pPr>
            <w:r>
              <w:rPr>
                <w:rFonts w:hint="default" w:ascii="Times New Roman" w:hAnsi="Times New Roman" w:eastAsia="宋体" w:cs="Times New Roman"/>
                <w:b/>
                <w:bCs/>
                <w:i w:val="0"/>
                <w:iCs w:val="0"/>
                <w:color w:val="auto"/>
                <w:kern w:val="0"/>
                <w:sz w:val="20"/>
                <w:szCs w:val="20"/>
                <w:highlight w:val="none"/>
                <w:u w:val="none"/>
                <w:lang w:val="en-US" w:eastAsia="zh-CN" w:bidi="ar"/>
              </w:rPr>
              <w:t>分配金额（万元）</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rPr>
            </w:pPr>
            <w:r>
              <w:rPr>
                <w:rFonts w:hint="default" w:ascii="Times New Roman" w:hAnsi="Times New Roman" w:eastAsia="宋体" w:cs="Times New Roman"/>
                <w:b/>
                <w:bCs/>
                <w:i w:val="0"/>
                <w:iCs w:val="0"/>
                <w:color w:val="auto"/>
                <w:kern w:val="0"/>
                <w:sz w:val="20"/>
                <w:szCs w:val="20"/>
                <w:highlight w:val="none"/>
                <w:u w:val="none"/>
                <w:lang w:val="en-US" w:eastAsia="zh-CN" w:bidi="ar"/>
              </w:rPr>
              <w:t>执行金额（万元）</w:t>
            </w:r>
          </w:p>
        </w:tc>
        <w:tc>
          <w:tcPr>
            <w:tcW w:w="17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rPr>
            </w:pPr>
            <w:r>
              <w:rPr>
                <w:rFonts w:hint="default" w:ascii="Times New Roman" w:hAnsi="Times New Roman" w:eastAsia="宋体" w:cs="Times New Roman"/>
                <w:b/>
                <w:bCs/>
                <w:i w:val="0"/>
                <w:iCs w:val="0"/>
                <w:color w:val="auto"/>
                <w:kern w:val="0"/>
                <w:sz w:val="20"/>
                <w:szCs w:val="20"/>
                <w:highlight w:val="none"/>
                <w:u w:val="none"/>
                <w:lang w:val="en-US" w:eastAsia="zh-CN" w:bidi="ar"/>
              </w:rPr>
              <w:t>执行率（%）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伊犁州直</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3166.21</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2977.18</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94.03%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2</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塔城地区</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1235.2</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944.39</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76.46%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3</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阿勒泰地区</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400.09</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350.7</w:t>
            </w:r>
            <w:r>
              <w:rPr>
                <w:rFonts w:hint="eastAsia" w:eastAsia="宋体" w:cs="Times New Roman"/>
                <w:i w:val="0"/>
                <w:iCs w:val="0"/>
                <w:color w:val="auto"/>
                <w:kern w:val="0"/>
                <w:sz w:val="20"/>
                <w:szCs w:val="20"/>
                <w:highlight w:val="none"/>
                <w:u w:val="none"/>
                <w:lang w:val="en-US" w:eastAsia="zh-CN" w:bidi="ar"/>
              </w:rPr>
              <w:t>5</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4</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昌吉州</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2173.72</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2172.88</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99.96%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5</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乌鲁木齐市</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15.08</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 xml:space="preserve">15.08 </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6</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博州</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1072.74</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 xml:space="preserve">974.98 </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90.89%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7</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哈密市</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100.56</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 xml:space="preserve">100.56 </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8</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巴州</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1116.54</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746.54</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66.86%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9</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阿克苏地区</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2689.38</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2112.55</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78.55%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10</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克州</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621.12</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535.52</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86.22%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11</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喀什地区</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3472.17</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3353.39</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96.58%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sz w:val="20"/>
                <w:szCs w:val="20"/>
                <w:highlight w:val="none"/>
                <w:u w:val="none"/>
              </w:rPr>
            </w:pPr>
            <w:r>
              <w:rPr>
                <w:rFonts w:hint="default" w:ascii="Times New Roman" w:hAnsi="Times New Roman" w:eastAsia="宋体" w:cs="Times New Roman"/>
                <w:i w:val="0"/>
                <w:iCs w:val="0"/>
                <w:color w:val="auto"/>
                <w:kern w:val="0"/>
                <w:sz w:val="20"/>
                <w:szCs w:val="20"/>
                <w:highlight w:val="none"/>
                <w:u w:val="none"/>
                <w:lang w:val="en-US" w:eastAsia="zh-CN" w:bidi="ar"/>
              </w:rPr>
              <w:t>12</w:t>
            </w:r>
          </w:p>
        </w:tc>
        <w:tc>
          <w:tcPr>
            <w:tcW w:w="187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和田地区</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754.19</w:t>
            </w:r>
          </w:p>
        </w:tc>
        <w:tc>
          <w:tcPr>
            <w:tcW w:w="15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703.32</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93.26%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8" w:hRule="atLeast"/>
        </w:trPr>
        <w:tc>
          <w:tcPr>
            <w:tcW w:w="0" w:type="auto"/>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b/>
                <w:bCs/>
                <w:i w:val="0"/>
                <w:iCs w:val="0"/>
                <w:color w:val="auto"/>
                <w:sz w:val="20"/>
                <w:szCs w:val="20"/>
                <w:highlight w:val="none"/>
                <w:u w:val="none"/>
              </w:rPr>
            </w:pPr>
            <w:r>
              <w:rPr>
                <w:rFonts w:hint="default" w:ascii="Times New Roman" w:hAnsi="Times New Roman" w:eastAsia="宋体" w:cs="Times New Roman"/>
                <w:b/>
                <w:bCs/>
                <w:i w:val="0"/>
                <w:iCs w:val="0"/>
                <w:color w:val="auto"/>
                <w:kern w:val="0"/>
                <w:sz w:val="20"/>
                <w:szCs w:val="20"/>
                <w:highlight w:val="none"/>
                <w:u w:val="none"/>
                <w:lang w:val="en-US" w:eastAsia="zh-CN" w:bidi="ar"/>
              </w:rPr>
              <w:t>合计</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16817</w:t>
            </w:r>
          </w:p>
        </w:tc>
        <w:tc>
          <w:tcPr>
            <w:tcW w:w="15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eastAsia" w:ascii="Times New Roman" w:hAnsi="Times New Roman" w:eastAsia="宋体" w:cs="Times New Roman"/>
                <w:i w:val="0"/>
                <w:iCs w:val="0"/>
                <w:color w:val="auto"/>
                <w:kern w:val="0"/>
                <w:sz w:val="20"/>
                <w:szCs w:val="20"/>
                <w:highlight w:val="none"/>
                <w:u w:val="none"/>
                <w:lang w:val="en-US" w:eastAsia="zh-CN" w:bidi="ar"/>
              </w:rPr>
              <w:t>14987.1</w:t>
            </w:r>
            <w:r>
              <w:rPr>
                <w:rFonts w:hint="eastAsia" w:eastAsia="宋体" w:cs="Times New Roman"/>
                <w:i w:val="0"/>
                <w:iCs w:val="0"/>
                <w:color w:val="auto"/>
                <w:kern w:val="0"/>
                <w:sz w:val="20"/>
                <w:szCs w:val="20"/>
                <w:highlight w:val="none"/>
                <w:u w:val="none"/>
                <w:lang w:val="en-US" w:eastAsia="zh-CN" w:bidi="ar"/>
              </w:rPr>
              <w:t>4</w:t>
            </w:r>
          </w:p>
        </w:tc>
        <w:tc>
          <w:tcPr>
            <w:tcW w:w="17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宋体" w:cs="Times New Roman"/>
                <w:i w:val="0"/>
                <w:iCs w:val="0"/>
                <w:color w:val="auto"/>
                <w:kern w:val="0"/>
                <w:sz w:val="20"/>
                <w:szCs w:val="20"/>
                <w:highlight w:val="none"/>
                <w:u w:val="none"/>
                <w:lang w:val="en-US" w:eastAsia="zh-CN" w:bidi="ar"/>
              </w:rPr>
            </w:pPr>
            <w:r>
              <w:rPr>
                <w:rFonts w:hint="default" w:ascii="Times New Roman" w:hAnsi="Times New Roman" w:eastAsia="宋体" w:cs="Times New Roman"/>
                <w:i w:val="0"/>
                <w:iCs w:val="0"/>
                <w:color w:val="auto"/>
                <w:kern w:val="0"/>
                <w:sz w:val="20"/>
                <w:szCs w:val="20"/>
                <w:highlight w:val="none"/>
                <w:u w:val="none"/>
                <w:lang w:val="en-US" w:eastAsia="zh-CN" w:bidi="ar"/>
              </w:rPr>
              <w:t>89.12%</w:t>
            </w:r>
          </w:p>
        </w:tc>
      </w:tr>
    </w:tbl>
    <w:p>
      <w:pPr>
        <w:pStyle w:val="16"/>
        <w:spacing w:line="560" w:lineRule="exact"/>
        <w:ind w:firstLine="481" w:firstLineChars="200"/>
        <w:rPr>
          <w:rFonts w:ascii="Times New Roman" w:hAnsi="Times New Roman"/>
          <w:b/>
          <w:bCs/>
          <w:sz w:val="24"/>
          <w:highlight w:val="none"/>
        </w:rPr>
      </w:pPr>
    </w:p>
    <w:p>
      <w:pPr>
        <w:keepNext w:val="0"/>
        <w:keepLines w:val="0"/>
        <w:pageBreakBefore w:val="0"/>
        <w:widowControl w:val="0"/>
        <w:kinsoku/>
        <w:wordWrap/>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b/>
          <w:bCs/>
          <w:sz w:val="32"/>
          <w:szCs w:val="32"/>
          <w:highlight w:val="none"/>
        </w:rPr>
        <w:t>（二）项目资金管理情况分析</w:t>
      </w:r>
      <w:r>
        <w:rPr>
          <w:rFonts w:hint="eastAsia"/>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rFonts w:hint="eastAsia" w:eastAsia="仿宋_GB2312"/>
          <w:b/>
          <w:bCs/>
          <w:sz w:val="32"/>
          <w:szCs w:val="32"/>
          <w:highlight w:val="none"/>
          <w:lang w:eastAsia="zh-CN"/>
        </w:rPr>
      </w:pPr>
      <w:r>
        <w:rPr>
          <w:rFonts w:hint="eastAsia"/>
          <w:sz w:val="32"/>
          <w:szCs w:val="32"/>
          <w:highlight w:val="none"/>
          <w:shd w:val="clear" w:color="auto" w:fill="FFFFFF"/>
        </w:rPr>
        <w:t>按照</w:t>
      </w:r>
      <w:r>
        <w:rPr>
          <w:rFonts w:hint="eastAsia"/>
          <w:sz w:val="32"/>
          <w:szCs w:val="32"/>
          <w:highlight w:val="none"/>
          <w:shd w:val="clear" w:color="auto" w:fill="FFFFFF"/>
          <w:lang w:eastAsia="zh-CN"/>
        </w:rPr>
        <w:t>《</w:t>
      </w:r>
      <w:r>
        <w:rPr>
          <w:rFonts w:hint="default" w:ascii="Times New Roman" w:hAnsi="Times New Roman" w:eastAsia="仿宋_GB2312" w:cs="Times New Roman"/>
          <w:color w:val="auto"/>
          <w:sz w:val="32"/>
          <w:szCs w:val="32"/>
          <w:highlight w:val="none"/>
          <w:lang w:val="en-US" w:eastAsia="zh-CN"/>
        </w:rPr>
        <w:t>粮油生产保障资金管理办法</w:t>
      </w:r>
      <w:r>
        <w:rPr>
          <w:rFonts w:hint="default" w:ascii="Times New Roman" w:hAnsi="Times New Roman" w:eastAsia="仿宋_GB2312" w:cs="Times New Roman"/>
          <w:color w:val="auto"/>
          <w:sz w:val="32"/>
          <w:szCs w:val="32"/>
          <w:highlight w:val="none"/>
        </w:rPr>
        <w:t>》（财农〔20</w:t>
      </w:r>
      <w:r>
        <w:rPr>
          <w:rFonts w:hint="default" w:ascii="Times New Roman" w:hAnsi="Times New Roman" w:eastAsia="仿宋_GB2312" w:cs="Times New Roman"/>
          <w:color w:val="auto"/>
          <w:sz w:val="32"/>
          <w:szCs w:val="32"/>
          <w:highlight w:val="none"/>
          <w:lang w:val="en-US" w:eastAsia="zh-CN"/>
        </w:rPr>
        <w:t>23</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中央对地方专项转移支付绩效目标管理暂行办法</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财预</w:t>
      </w:r>
      <w:r>
        <w:rPr>
          <w:rFonts w:hint="default" w:ascii="Times New Roman" w:hAnsi="Times New Roman" w:eastAsia="仿宋_GB2312" w:cs="Times New Roman"/>
          <w:color w:val="auto"/>
          <w:sz w:val="32"/>
          <w:szCs w:val="32"/>
          <w:highlight w:val="none"/>
        </w:rPr>
        <w:t>〔20</w:t>
      </w:r>
      <w:r>
        <w:rPr>
          <w:rFonts w:hint="default" w:ascii="Times New Roman" w:hAnsi="Times New Roman" w:eastAsia="仿宋_GB2312" w:cs="Times New Roman"/>
          <w:color w:val="auto"/>
          <w:sz w:val="32"/>
          <w:szCs w:val="32"/>
          <w:highlight w:val="none"/>
          <w:lang w:val="en-US" w:eastAsia="zh-CN"/>
        </w:rPr>
        <w:t>15</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val="en-US" w:eastAsia="zh-CN"/>
        </w:rPr>
        <w:t>163</w:t>
      </w:r>
      <w:r>
        <w:rPr>
          <w:rFonts w:hint="default" w:ascii="Times New Roman" w:hAnsi="Times New Roman" w:eastAsia="仿宋_GB2312" w:cs="Times New Roman"/>
          <w:color w:val="auto"/>
          <w:sz w:val="32"/>
          <w:szCs w:val="32"/>
          <w:highlight w:val="none"/>
        </w:rPr>
        <w:t>号</w:t>
      </w:r>
      <w:r>
        <w:rPr>
          <w:rFonts w:hint="default" w:ascii="Times New Roman" w:hAnsi="Times New Roman" w:eastAsia="仿宋_GB2312" w:cs="Times New Roman"/>
          <w:color w:val="auto"/>
          <w:sz w:val="32"/>
          <w:szCs w:val="32"/>
          <w:highlight w:val="none"/>
          <w:lang w:eastAsia="zh-CN"/>
        </w:rPr>
        <w:t>）</w:t>
      </w:r>
      <w:r>
        <w:rPr>
          <w:rFonts w:hint="eastAsia" w:ascii="Times New Roman" w:hAnsi="Times New Roman"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shd w:val="clear" w:color="auto" w:fill="FFFFFF"/>
          <w:lang w:val="en-US" w:eastAsia="zh-CN"/>
        </w:rPr>
        <w:t>《中共中央国务院关于全面实施预算绩效管理的意见》、《关于印发&lt;自治区本级部门预算绩效目标管理办法&gt;的通知》（新财预〔2017〕21号</w:t>
      </w:r>
      <w:r>
        <w:rPr>
          <w:rFonts w:hint="default" w:ascii="Times New Roman" w:hAnsi="Times New Roman" w:cs="Times New Roman"/>
          <w:color w:val="auto"/>
          <w:sz w:val="32"/>
          <w:szCs w:val="32"/>
          <w:highlight w:val="none"/>
          <w:shd w:val="clear" w:color="auto" w:fill="FFFFFF"/>
          <w:lang w:val="en-US" w:eastAsia="zh-CN"/>
        </w:rPr>
        <w:t>）</w:t>
      </w:r>
      <w:r>
        <w:rPr>
          <w:rFonts w:hint="default" w:ascii="Times New Roman" w:hAnsi="Times New Roman" w:eastAsia="仿宋_GB2312" w:cs="Times New Roman"/>
          <w:color w:val="auto"/>
          <w:sz w:val="32"/>
          <w:szCs w:val="32"/>
          <w:highlight w:val="none"/>
          <w:shd w:val="clear" w:color="auto" w:fill="FFFFFF"/>
          <w:lang w:val="en-US" w:eastAsia="zh-CN"/>
        </w:rPr>
        <w:t>、《关于印发&lt;新疆维吾尔自治区农业相关转移支付资金绩效管理办法实施细则&gt;的通知》（新财规〔2020〕15号）</w:t>
      </w:r>
      <w:r>
        <w:rPr>
          <w:rFonts w:hint="eastAsia"/>
          <w:sz w:val="32"/>
          <w:szCs w:val="32"/>
          <w:highlight w:val="none"/>
          <w:shd w:val="clear" w:color="auto" w:fill="FFFFFF"/>
        </w:rPr>
        <w:t>要求，本项目资金的整体管理水平，做到了专款专用、及时拨付、规范支付，保障中央粮油生产保障资金支付需求，</w:t>
      </w:r>
      <w:r>
        <w:rPr>
          <w:rFonts w:hint="eastAsia"/>
          <w:sz w:val="32"/>
          <w:szCs w:val="32"/>
          <w:highlight w:val="none"/>
          <w:shd w:val="clear" w:color="auto" w:fill="FFFFFF"/>
          <w:lang w:eastAsia="zh-CN"/>
        </w:rPr>
        <w:t>保障</w:t>
      </w:r>
      <w:r>
        <w:rPr>
          <w:rFonts w:hint="eastAsia"/>
          <w:sz w:val="32"/>
          <w:szCs w:val="32"/>
          <w:highlight w:val="none"/>
          <w:shd w:val="clear" w:color="auto" w:fill="FFFFFF"/>
        </w:rPr>
        <w:t>中央粮油生产保障提升资金项目顺利实施</w:t>
      </w:r>
      <w:r>
        <w:rPr>
          <w:rFonts w:hint="eastAsia"/>
          <w:sz w:val="32"/>
          <w:szCs w:val="32"/>
          <w:highlight w:val="none"/>
          <w:shd w:val="clear" w:color="auto" w:fill="FFFFFF"/>
          <w:lang w:eastAsia="zh-CN"/>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rPr>
        <w:t>1.资金分配科学性</w:t>
      </w:r>
      <w:r>
        <w:rPr>
          <w:rFonts w:hint="eastAsia" w:ascii="仿宋_GB2312" w:hAnsi="仿宋_GB2312" w:eastAsia="仿宋_GB2312" w:cs="仿宋_GB2312"/>
          <w:b/>
          <w:bCs/>
          <w:sz w:val="32"/>
          <w:szCs w:val="32"/>
          <w:highlight w:val="none"/>
          <w:lang w:val="en-US"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根据</w:t>
      </w:r>
      <w:r>
        <w:rPr>
          <w:rFonts w:hint="eastAsia"/>
          <w:sz w:val="32"/>
          <w:szCs w:val="32"/>
          <w:highlight w:val="none"/>
        </w:rPr>
        <w:t>《</w:t>
      </w:r>
      <w:r>
        <w:rPr>
          <w:sz w:val="32"/>
          <w:szCs w:val="32"/>
          <w:highlight w:val="none"/>
        </w:rPr>
        <w:t>财政部关于提前下达2024年农业相关转移支付资金预算的通知</w:t>
      </w:r>
      <w:r>
        <w:rPr>
          <w:rFonts w:hint="eastAsia"/>
          <w:sz w:val="32"/>
          <w:szCs w:val="32"/>
          <w:highlight w:val="none"/>
        </w:rPr>
        <w:t>》</w:t>
      </w:r>
      <w:r>
        <w:rPr>
          <w:sz w:val="32"/>
          <w:szCs w:val="32"/>
          <w:highlight w:val="none"/>
        </w:rPr>
        <w:t>（财农〔2023〕87号</w:t>
      </w:r>
      <w:r>
        <w:rPr>
          <w:rFonts w:hint="eastAsia"/>
          <w:sz w:val="32"/>
          <w:szCs w:val="32"/>
          <w:highlight w:val="none"/>
        </w:rPr>
        <w:t>）</w:t>
      </w:r>
      <w:r>
        <w:rPr>
          <w:rStyle w:val="22"/>
          <w:rFonts w:ascii="Times New Roman" w:hAnsi="Times New Roman"/>
          <w:sz w:val="32"/>
          <w:szCs w:val="32"/>
          <w:highlight w:val="none"/>
        </w:rPr>
        <w:t>和</w:t>
      </w:r>
      <w:r>
        <w:rPr>
          <w:rFonts w:hint="eastAsia"/>
          <w:sz w:val="32"/>
          <w:szCs w:val="32"/>
          <w:highlight w:val="none"/>
        </w:rPr>
        <w:t>《</w:t>
      </w:r>
      <w:r>
        <w:rPr>
          <w:sz w:val="32"/>
          <w:szCs w:val="32"/>
          <w:highlight w:val="none"/>
        </w:rPr>
        <w:t>财政部关于下达2024年粮油生产保障资金预算的通知</w:t>
      </w:r>
      <w:r>
        <w:rPr>
          <w:rFonts w:hint="eastAsia"/>
          <w:sz w:val="32"/>
          <w:szCs w:val="32"/>
          <w:highlight w:val="none"/>
        </w:rPr>
        <w:t>》</w:t>
      </w:r>
      <w:r>
        <w:rPr>
          <w:sz w:val="32"/>
          <w:szCs w:val="32"/>
          <w:highlight w:val="none"/>
        </w:rPr>
        <w:t>（财农〔2024〕11号</w:t>
      </w:r>
      <w:r>
        <w:rPr>
          <w:rFonts w:hint="eastAsia"/>
          <w:sz w:val="32"/>
          <w:szCs w:val="32"/>
          <w:highlight w:val="none"/>
        </w:rPr>
        <w:t>）</w:t>
      </w:r>
      <w:r>
        <w:rPr>
          <w:rStyle w:val="22"/>
          <w:rFonts w:ascii="Times New Roman" w:hAnsi="Times New Roman"/>
          <w:sz w:val="32"/>
          <w:szCs w:val="32"/>
          <w:highlight w:val="none"/>
        </w:rPr>
        <w:t>要求，参考202</w:t>
      </w:r>
      <w:r>
        <w:rPr>
          <w:rStyle w:val="22"/>
          <w:rFonts w:hint="eastAsia"/>
          <w:sz w:val="32"/>
          <w:szCs w:val="32"/>
          <w:highlight w:val="none"/>
        </w:rPr>
        <w:t>3</w:t>
      </w:r>
      <w:r>
        <w:rPr>
          <w:rStyle w:val="22"/>
          <w:rFonts w:ascii="Times New Roman" w:hAnsi="Times New Roman"/>
          <w:sz w:val="32"/>
          <w:szCs w:val="32"/>
          <w:highlight w:val="none"/>
        </w:rPr>
        <w:t>年</w:t>
      </w:r>
      <w:r>
        <w:rPr>
          <w:sz w:val="32"/>
          <w:szCs w:val="32"/>
          <w:highlight w:val="none"/>
        </w:rPr>
        <w:t>小麦“一喷三防”补助政策和实施方式，统筹考虑资金总量和各地冬春小麦实际种植面积（不含山旱地），对补助资金按比例进行核定分配。</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根据各地州报送玉米、大豆实际种植面积，对补助资金按比例进行分配核定，实现玉米、大豆种植应补尽补。重点支持家庭农场、农民专业合作社、社会化服务组织等新型农业经营主体，采取统防统治方式推进统一喷施作业，提高防治效率，确保“一喷多促”措施尽快有效落实到田。</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2.资金下达及时性</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shd w:val="clear" w:color="auto" w:fill="FFFFFF"/>
        </w:rPr>
        <w:t>202</w:t>
      </w:r>
      <w:r>
        <w:rPr>
          <w:rFonts w:hint="eastAsia"/>
          <w:sz w:val="32"/>
          <w:szCs w:val="32"/>
          <w:highlight w:val="none"/>
          <w:shd w:val="clear" w:color="auto" w:fill="FFFFFF"/>
        </w:rPr>
        <w:t>4</w:t>
      </w:r>
      <w:r>
        <w:rPr>
          <w:sz w:val="32"/>
          <w:szCs w:val="32"/>
          <w:highlight w:val="none"/>
          <w:shd w:val="clear" w:color="auto" w:fill="FFFFFF"/>
        </w:rPr>
        <w:t>年4月</w:t>
      </w:r>
      <w:r>
        <w:rPr>
          <w:rFonts w:hint="eastAsia"/>
          <w:sz w:val="32"/>
          <w:szCs w:val="32"/>
          <w:highlight w:val="none"/>
        </w:rPr>
        <w:t>《</w:t>
      </w:r>
      <w:r>
        <w:rPr>
          <w:sz w:val="32"/>
          <w:szCs w:val="32"/>
          <w:highlight w:val="none"/>
        </w:rPr>
        <w:t>财政部关于下达2024年粮油生产保障资金预算的通知</w:t>
      </w:r>
      <w:r>
        <w:rPr>
          <w:rFonts w:hint="eastAsia"/>
          <w:sz w:val="32"/>
          <w:szCs w:val="32"/>
          <w:highlight w:val="none"/>
        </w:rPr>
        <w:t>》</w:t>
      </w:r>
      <w:r>
        <w:rPr>
          <w:sz w:val="32"/>
          <w:szCs w:val="32"/>
          <w:highlight w:val="none"/>
        </w:rPr>
        <w:t>（财农〔2024〕11号</w:t>
      </w:r>
      <w:r>
        <w:rPr>
          <w:rFonts w:hint="eastAsia"/>
          <w:sz w:val="32"/>
          <w:szCs w:val="32"/>
          <w:highlight w:val="none"/>
        </w:rPr>
        <w:t>）</w:t>
      </w:r>
      <w:r>
        <w:rPr>
          <w:sz w:val="32"/>
          <w:szCs w:val="32"/>
          <w:highlight w:val="none"/>
          <w:shd w:val="clear" w:color="auto" w:fill="FFFFFF"/>
        </w:rPr>
        <w:t>下达</w:t>
      </w:r>
      <w:r>
        <w:rPr>
          <w:rFonts w:hint="eastAsia"/>
          <w:sz w:val="32"/>
          <w:szCs w:val="32"/>
          <w:highlight w:val="none"/>
          <w:shd w:val="clear" w:color="auto" w:fill="FFFFFF"/>
        </w:rPr>
        <w:t>资金合计16817万元</w:t>
      </w:r>
      <w:r>
        <w:rPr>
          <w:sz w:val="32"/>
          <w:szCs w:val="32"/>
          <w:highlight w:val="none"/>
          <w:shd w:val="clear" w:color="auto" w:fill="FFFFFF"/>
        </w:rPr>
        <w:t>，</w:t>
      </w:r>
      <w:r>
        <w:rPr>
          <w:rFonts w:hint="eastAsia"/>
          <w:sz w:val="32"/>
          <w:szCs w:val="32"/>
          <w:highlight w:val="none"/>
          <w:shd w:val="clear" w:color="auto" w:fill="FFFFFF"/>
        </w:rPr>
        <w:t>财政部</w:t>
      </w:r>
      <w:r>
        <w:rPr>
          <w:sz w:val="32"/>
          <w:szCs w:val="32"/>
          <w:highlight w:val="none"/>
          <w:shd w:val="clear" w:color="auto" w:fill="FFFFFF"/>
        </w:rPr>
        <w:t>下达我区粮油生产保障资金</w:t>
      </w:r>
      <w:r>
        <w:rPr>
          <w:rFonts w:hint="eastAsia"/>
          <w:sz w:val="32"/>
          <w:szCs w:val="32"/>
          <w:highlight w:val="none"/>
          <w:shd w:val="clear" w:color="auto" w:fill="FFFFFF"/>
        </w:rPr>
        <w:t>，</w:t>
      </w:r>
      <w:r>
        <w:rPr>
          <w:sz w:val="32"/>
          <w:szCs w:val="32"/>
          <w:highlight w:val="none"/>
          <w:shd w:val="clear" w:color="auto" w:fill="FFFFFF"/>
        </w:rPr>
        <w:t>根据财政部、</w:t>
      </w:r>
      <w:r>
        <w:rPr>
          <w:rFonts w:hint="eastAsia"/>
          <w:sz w:val="32"/>
          <w:szCs w:val="32"/>
          <w:highlight w:val="none"/>
          <w:shd w:val="clear" w:color="auto" w:fill="FFFFFF"/>
          <w:lang w:eastAsia="zh-CN"/>
        </w:rPr>
        <w:t>农业农村部</w:t>
      </w:r>
      <w:r>
        <w:rPr>
          <w:sz w:val="32"/>
          <w:szCs w:val="32"/>
          <w:highlight w:val="none"/>
          <w:shd w:val="clear" w:color="auto" w:fill="FFFFFF"/>
        </w:rPr>
        <w:t>有关要求，农业农村厅收到资金文件后，在规定时限内（30日内），</w:t>
      </w:r>
      <w:r>
        <w:rPr>
          <w:rFonts w:hint="eastAsia"/>
          <w:sz w:val="32"/>
          <w:szCs w:val="32"/>
          <w:highlight w:val="none"/>
          <w:shd w:val="clear" w:color="auto" w:fill="FFFFFF"/>
        </w:rPr>
        <w:t>2024年5月自治区财政厅发文</w:t>
      </w:r>
      <w:r>
        <w:rPr>
          <w:sz w:val="32"/>
          <w:szCs w:val="32"/>
          <w:highlight w:val="none"/>
        </w:rPr>
        <w:t>《关于下达2024年中央粮油生产保障资金预算的通知</w:t>
      </w:r>
      <w:r>
        <w:rPr>
          <w:rFonts w:hint="eastAsia"/>
          <w:sz w:val="32"/>
          <w:szCs w:val="32"/>
          <w:highlight w:val="none"/>
        </w:rPr>
        <w:t>》</w:t>
      </w:r>
      <w:r>
        <w:rPr>
          <w:sz w:val="32"/>
          <w:szCs w:val="32"/>
          <w:highlight w:val="none"/>
        </w:rPr>
        <w:t>（新财农〔2024〕26号</w:t>
      </w:r>
      <w:r>
        <w:rPr>
          <w:rFonts w:hint="eastAsia"/>
          <w:sz w:val="32"/>
          <w:szCs w:val="32"/>
          <w:highlight w:val="none"/>
        </w:rPr>
        <w:t>）下达资金合计16817万元。</w:t>
      </w:r>
      <w:r>
        <w:rPr>
          <w:sz w:val="32"/>
          <w:szCs w:val="32"/>
          <w:highlight w:val="none"/>
          <w:shd w:val="clear" w:color="auto" w:fill="FFFFFF"/>
        </w:rPr>
        <w:t>按管理办法规定提出具体资金分配方案，经厅党组审议同意后，正式行文报财政厅申请下达资金，</w:t>
      </w:r>
      <w:r>
        <w:rPr>
          <w:sz w:val="32"/>
          <w:szCs w:val="32"/>
          <w:highlight w:val="none"/>
        </w:rPr>
        <w:t>综上专项资金及时拨付至各地县市，</w:t>
      </w:r>
      <w:r>
        <w:rPr>
          <w:kern w:val="0"/>
          <w:sz w:val="32"/>
          <w:szCs w:val="32"/>
          <w:highlight w:val="none"/>
          <w:lang w:bidi="ar"/>
        </w:rPr>
        <w:t>资金分解下达及时</w:t>
      </w:r>
      <w:r>
        <w:rPr>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3.资金拨付合规性</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val="en-US" w:eastAsia="zh-CN"/>
        </w:rPr>
        <w:t>根据</w:t>
      </w:r>
      <w:r>
        <w:rPr>
          <w:color w:val="000000"/>
          <w:sz w:val="32"/>
          <w:szCs w:val="32"/>
          <w:highlight w:val="none"/>
        </w:rPr>
        <w:t>《粮油生产保障资金管理办法》（财农〔202</w:t>
      </w:r>
      <w:r>
        <w:rPr>
          <w:rFonts w:hint="eastAsia"/>
          <w:color w:val="000000"/>
          <w:sz w:val="32"/>
          <w:szCs w:val="32"/>
          <w:highlight w:val="none"/>
        </w:rPr>
        <w:t>3</w:t>
      </w:r>
      <w:r>
        <w:rPr>
          <w:color w:val="000000"/>
          <w:sz w:val="32"/>
          <w:szCs w:val="32"/>
          <w:highlight w:val="none"/>
        </w:rPr>
        <w:t>〕11号）</w:t>
      </w:r>
      <w:r>
        <w:rPr>
          <w:rFonts w:hint="eastAsia"/>
          <w:sz w:val="32"/>
          <w:szCs w:val="32"/>
          <w:highlight w:val="none"/>
        </w:rPr>
        <w:t>要求加强粮油生产保障资金的管理，确保资金使用合规，保障粮食安全</w:t>
      </w:r>
      <w:r>
        <w:rPr>
          <w:rFonts w:hint="eastAsia"/>
          <w:sz w:val="32"/>
          <w:szCs w:val="32"/>
          <w:highlight w:val="none"/>
          <w:lang w:eastAsia="zh-CN"/>
        </w:rPr>
        <w:t>。资金必须用于粮油生产保障，不得挪用。资金分配和使用需公开，接受监督。资金使用过程需接受审计和财政部门的监督，确保合规。</w:t>
      </w:r>
      <w:r>
        <w:rPr>
          <w:sz w:val="32"/>
          <w:szCs w:val="32"/>
          <w:highlight w:val="none"/>
        </w:rPr>
        <w:t>为确保粮油生产保障资金发挥使用效益，自治区农业农村厅统筹考虑资金总量和各地冬春小麦实际种植面积（不含山旱地），对补助资金按比例进行核定分配，并予以拨付资金</w:t>
      </w:r>
      <w:r>
        <w:rPr>
          <w:rFonts w:hint="eastAsia"/>
          <w:sz w:val="32"/>
          <w:szCs w:val="32"/>
          <w:highlight w:val="none"/>
        </w:rPr>
        <w:t>，</w:t>
      </w:r>
      <w:r>
        <w:rPr>
          <w:sz w:val="32"/>
          <w:szCs w:val="32"/>
          <w:highlight w:val="none"/>
        </w:rPr>
        <w:t>资金拨付合规</w:t>
      </w:r>
      <w:r>
        <w:rPr>
          <w:rFonts w:hint="eastAsia"/>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4.资金使用规范性</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kern w:val="0"/>
          <w:sz w:val="32"/>
          <w:szCs w:val="32"/>
          <w:highlight w:val="none"/>
        </w:rPr>
        <w:t>严格</w:t>
      </w:r>
      <w:r>
        <w:rPr>
          <w:color w:val="000000"/>
          <w:sz w:val="32"/>
          <w:szCs w:val="32"/>
          <w:highlight w:val="none"/>
        </w:rPr>
        <w:t>按照财政部《粮油生产保障资金管理办法》（财农〔202</w:t>
      </w:r>
      <w:r>
        <w:rPr>
          <w:rFonts w:hint="eastAsia"/>
          <w:color w:val="000000"/>
          <w:sz w:val="32"/>
          <w:szCs w:val="32"/>
          <w:highlight w:val="none"/>
        </w:rPr>
        <w:t>3</w:t>
      </w:r>
      <w:r>
        <w:rPr>
          <w:color w:val="000000"/>
          <w:sz w:val="32"/>
          <w:szCs w:val="32"/>
          <w:highlight w:val="none"/>
        </w:rPr>
        <w:t>〕11号）</w:t>
      </w:r>
      <w:r>
        <w:rPr>
          <w:sz w:val="32"/>
          <w:szCs w:val="32"/>
          <w:highlight w:val="none"/>
          <w:lang w:bidi="ar"/>
        </w:rPr>
        <w:t>，</w:t>
      </w:r>
      <w:r>
        <w:rPr>
          <w:bCs/>
          <w:sz w:val="32"/>
          <w:szCs w:val="32"/>
          <w:highlight w:val="none"/>
        </w:rPr>
        <w:t>采取物化补助方式，</w:t>
      </w:r>
      <w:r>
        <w:rPr>
          <w:kern w:val="0"/>
          <w:sz w:val="32"/>
          <w:szCs w:val="32"/>
          <w:highlight w:val="none"/>
        </w:rPr>
        <w:t>对项目区内自愿实施小麦“一喷三防”的农民和</w:t>
      </w:r>
      <w:r>
        <w:rPr>
          <w:bCs/>
          <w:kern w:val="0"/>
          <w:sz w:val="32"/>
          <w:szCs w:val="32"/>
          <w:highlight w:val="none"/>
        </w:rPr>
        <w:t>家庭农场、农民专业合作社等小麦实际种植者，</w:t>
      </w:r>
      <w:r>
        <w:rPr>
          <w:kern w:val="0"/>
          <w:sz w:val="32"/>
          <w:szCs w:val="32"/>
          <w:highlight w:val="none"/>
        </w:rPr>
        <w:t>在小麦生长期喷施杀虫剂、杀菌剂、除草剂、植物生长调节剂、叶面肥等“一喷三防”等措施给予补助，以防小麦病虫害、防干热风、防早衰，促进小麦稳产增产。</w:t>
      </w:r>
      <w:r>
        <w:rPr>
          <w:sz w:val="32"/>
          <w:szCs w:val="32"/>
          <w:highlight w:val="none"/>
        </w:rPr>
        <w:t>资金使用符合资金使用范围要求，</w:t>
      </w:r>
      <w:r>
        <w:rPr>
          <w:kern w:val="0"/>
          <w:sz w:val="32"/>
          <w:szCs w:val="32"/>
          <w:highlight w:val="none"/>
          <w:lang w:bidi="ar"/>
        </w:rPr>
        <w:t>在中央巡视、各级审计和财政监督中未发现问题</w:t>
      </w:r>
      <w:r>
        <w:rPr>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5.资金执行准确性</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lang w:bidi="ar"/>
        </w:rPr>
      </w:pPr>
      <w:r>
        <w:rPr>
          <w:kern w:val="0"/>
          <w:sz w:val="32"/>
          <w:szCs w:val="32"/>
          <w:highlight w:val="none"/>
        </w:rPr>
        <w:t>严格</w:t>
      </w:r>
      <w:r>
        <w:rPr>
          <w:color w:val="000000"/>
          <w:sz w:val="32"/>
          <w:szCs w:val="32"/>
          <w:highlight w:val="none"/>
        </w:rPr>
        <w:t>按照财政部《粮油生产保障资金管理办法》（财农〔2023〕11号）</w:t>
      </w:r>
      <w:r>
        <w:rPr>
          <w:sz w:val="32"/>
          <w:szCs w:val="32"/>
          <w:highlight w:val="none"/>
          <w:lang w:bidi="ar"/>
        </w:rPr>
        <w:t>，</w:t>
      </w:r>
      <w:r>
        <w:rPr>
          <w:bCs/>
          <w:sz w:val="32"/>
          <w:szCs w:val="32"/>
          <w:highlight w:val="none"/>
        </w:rPr>
        <w:t>采取物化补助方式，</w:t>
      </w:r>
      <w:r>
        <w:rPr>
          <w:kern w:val="0"/>
          <w:sz w:val="32"/>
          <w:szCs w:val="32"/>
          <w:highlight w:val="none"/>
        </w:rPr>
        <w:t>对项目区内自愿实施小麦“一喷三防”的农民和</w:t>
      </w:r>
      <w:r>
        <w:rPr>
          <w:bCs/>
          <w:kern w:val="0"/>
          <w:sz w:val="32"/>
          <w:szCs w:val="32"/>
          <w:highlight w:val="none"/>
        </w:rPr>
        <w:t>家庭农场、农民专业合作社等小麦实际种植者，</w:t>
      </w:r>
      <w:r>
        <w:rPr>
          <w:kern w:val="0"/>
          <w:sz w:val="32"/>
          <w:szCs w:val="32"/>
          <w:highlight w:val="none"/>
        </w:rPr>
        <w:t>在小麦生长期喷施杀虫剂、杀菌剂、除草剂、植物生长调节剂、叶面肥等“一喷三防”等措施给予补助，以防小麦病虫害、防干热风、防早衰，促进小麦稳产增产。</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6.预算绩效管理情况</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kinsoku/>
        <w:wordWrap/>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shd w:val="clear" w:color="auto" w:fill="FFFFFF"/>
        </w:rPr>
        <w:t>按照《中共中央国务院关于全面实施预算绩效管理的意见》、《关于印发&lt;自治区本级部门预算绩效目标管理办法&gt;的通知》（新财预〔2017〕21号</w:t>
      </w:r>
      <w:r>
        <w:rPr>
          <w:rFonts w:hint="eastAsia"/>
          <w:sz w:val="32"/>
          <w:szCs w:val="32"/>
          <w:highlight w:val="none"/>
          <w:shd w:val="clear" w:color="auto" w:fill="FFFFFF"/>
        </w:rPr>
        <w:t>）</w:t>
      </w:r>
      <w:r>
        <w:rPr>
          <w:sz w:val="32"/>
          <w:szCs w:val="32"/>
          <w:highlight w:val="none"/>
          <w:shd w:val="clear" w:color="auto" w:fill="FFFFFF"/>
        </w:rPr>
        <w:t>、《关于印发&lt;新疆维吾尔自治区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确保资金安全规范使用，确保年度绩效目标如期实现</w:t>
      </w:r>
      <w:r>
        <w:rPr>
          <w:sz w:val="32"/>
          <w:szCs w:val="32"/>
          <w:highlight w:val="none"/>
        </w:rPr>
        <w:t>。</w:t>
      </w:r>
    </w:p>
    <w:p>
      <w:pPr>
        <w:keepNext w:val="0"/>
        <w:keepLines w:val="0"/>
        <w:pageBreakBefore w:val="0"/>
        <w:widowControl w:val="0"/>
        <w:kinsoku/>
        <w:wordWrap/>
        <w:overflowPunct/>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7.支出责任履行情况</w:t>
      </w:r>
      <w:r>
        <w:rPr>
          <w:rFonts w:hint="eastAsia" w:ascii="仿宋_GB2312" w:hAnsi="仿宋_GB2312" w:eastAsia="仿宋_GB2312" w:cs="仿宋_GB2312"/>
          <w:b/>
          <w:bCs/>
          <w:sz w:val="32"/>
          <w:szCs w:val="32"/>
          <w:highlight w:val="none"/>
          <w:lang w:eastAsia="zh-CN"/>
        </w:rPr>
        <w:t>。</w:t>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0"/>
        <w:textAlignment w:val="auto"/>
        <w:rPr>
          <w:rFonts w:ascii="Times New Roman" w:hAnsi="Times New Roman"/>
          <w:sz w:val="32"/>
          <w:szCs w:val="32"/>
          <w:highlight w:val="none"/>
          <w:shd w:val="clear" w:color="auto" w:fill="FFFFFF"/>
        </w:rPr>
      </w:pPr>
      <w:r>
        <w:rPr>
          <w:rFonts w:ascii="Times New Roman" w:hAnsi="Times New Roman"/>
          <w:sz w:val="32"/>
          <w:szCs w:val="32"/>
          <w:highlight w:val="none"/>
          <w:shd w:val="clear" w:color="auto" w:fill="FFFFFF"/>
        </w:rPr>
        <w:t>对共同财政事权转移支付，按照财政事权和支出责任划分有关规定，足额安排资金履行本级支出责任，支出责任履行情况良好。</w:t>
      </w:r>
    </w:p>
    <w:p>
      <w:pPr>
        <w:pStyle w:val="11"/>
        <w:keepNext w:val="0"/>
        <w:keepLines w:val="0"/>
        <w:pageBreakBefore w:val="0"/>
        <w:widowControl w:val="0"/>
        <w:kinsoku/>
        <w:wordWrap/>
        <w:topLinePunct w:val="0"/>
        <w:autoSpaceDE/>
        <w:autoSpaceDN/>
        <w:bidi w:val="0"/>
        <w:adjustRightInd/>
        <w:snapToGrid/>
        <w:spacing w:after="0" w:line="560" w:lineRule="exact"/>
        <w:ind w:left="0" w:leftChars="0" w:firstLine="640"/>
        <w:textAlignment w:val="auto"/>
        <w:rPr>
          <w:rFonts w:ascii="Times New Roman" w:hAnsi="Times New Roman"/>
          <w:color w:val="FF0000"/>
          <w:sz w:val="32"/>
          <w:szCs w:val="32"/>
          <w:highlight w:val="none"/>
        </w:rPr>
      </w:pPr>
      <w:r>
        <w:rPr>
          <w:rFonts w:ascii="Times New Roman" w:hAnsi="Times New Roman"/>
          <w:sz w:val="32"/>
          <w:szCs w:val="32"/>
          <w:highlight w:val="none"/>
          <w:lang w:eastAsia="zh-Hans"/>
        </w:rPr>
        <w:t>项目实施乡镇人民政府为直接责任人，地州市县农业农村局为项目主管部门对项目资金使用、监督和验收负主体责任；单位主要领导为项目监督和实施第一责任人</w:t>
      </w:r>
      <w:r>
        <w:rPr>
          <w:rFonts w:ascii="Times New Roman" w:hAnsi="Times New Roman"/>
          <w:sz w:val="32"/>
          <w:szCs w:val="32"/>
          <w:highlight w:val="none"/>
        </w:rPr>
        <w:t>，</w:t>
      </w:r>
      <w:r>
        <w:rPr>
          <w:rFonts w:ascii="Times New Roman" w:hAnsi="Times New Roman"/>
          <w:sz w:val="32"/>
          <w:szCs w:val="32"/>
          <w:highlight w:val="none"/>
          <w:lang w:eastAsia="zh-Hans"/>
        </w:rPr>
        <w:t>主动与财政部门做好项目资金对接落实工作，确保资金及时到位，安全使用；</w:t>
      </w:r>
      <w:r>
        <w:rPr>
          <w:rFonts w:ascii="Times New Roman" w:hAnsi="Times New Roman"/>
          <w:sz w:val="32"/>
          <w:szCs w:val="32"/>
          <w:highlight w:val="none"/>
        </w:rPr>
        <w:t>自治区农业农村厅</w:t>
      </w:r>
      <w:r>
        <w:rPr>
          <w:rFonts w:ascii="Times New Roman" w:hAnsi="Times New Roman"/>
          <w:sz w:val="32"/>
          <w:szCs w:val="32"/>
          <w:highlight w:val="none"/>
          <w:lang w:eastAsia="zh-Hans"/>
        </w:rPr>
        <w:t>建立项目执行定期调度督导机制，及时掌握项目执行和资金使用情况，</w:t>
      </w:r>
      <w:r>
        <w:rPr>
          <w:rFonts w:ascii="Times New Roman" w:hAnsi="Times New Roman"/>
          <w:sz w:val="32"/>
          <w:szCs w:val="32"/>
          <w:highlight w:val="none"/>
        </w:rPr>
        <w:t>不断总结经验和问题，</w:t>
      </w:r>
      <w:r>
        <w:rPr>
          <w:rFonts w:ascii="Times New Roman" w:hAnsi="Times New Roman"/>
          <w:sz w:val="32"/>
          <w:szCs w:val="32"/>
          <w:highlight w:val="none"/>
          <w:lang w:eastAsia="zh-Hans"/>
        </w:rPr>
        <w:t>确保项目执行到位、资金使用规范。</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楷体"/>
          <w:b/>
          <w:bCs/>
          <w:sz w:val="32"/>
          <w:szCs w:val="32"/>
          <w:highlight w:val="none"/>
          <w:lang w:eastAsia="zh-CN"/>
        </w:rPr>
      </w:pPr>
      <w:r>
        <w:rPr>
          <w:rFonts w:eastAsia="楷体"/>
          <w:b/>
          <w:bCs/>
          <w:sz w:val="32"/>
          <w:szCs w:val="32"/>
          <w:highlight w:val="none"/>
        </w:rPr>
        <w:t>（三）总体绩效目标完成情况分析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202</w:t>
      </w:r>
      <w:r>
        <w:rPr>
          <w:rFonts w:hint="eastAsia"/>
          <w:sz w:val="32"/>
          <w:szCs w:val="32"/>
          <w:highlight w:val="none"/>
        </w:rPr>
        <w:t>4</w:t>
      </w:r>
      <w:r>
        <w:rPr>
          <w:sz w:val="32"/>
          <w:szCs w:val="32"/>
          <w:highlight w:val="none"/>
        </w:rPr>
        <w:t>年，在项目资金的大力支持下，按照项目设定的绩效考核目标，为全面落实农业农村部、自治区党委、人民政府以及农业农村厅党组关于粮油规模种植主体单产提升行动各项工作的安排部署，结合我区实际，会同财政有关部门及时调整优化奖补政策，有力提升资金指向性和精准性，强力推动项目资金发放日常监管，充分发挥政策效益，带动粮油生产健康发展，全面完成既定目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楷体"/>
          <w:b/>
          <w:bCs/>
          <w:sz w:val="32"/>
          <w:szCs w:val="32"/>
          <w:highlight w:val="none"/>
          <w:lang w:eastAsia="zh-CN"/>
        </w:rPr>
      </w:pPr>
      <w:r>
        <w:rPr>
          <w:rFonts w:eastAsia="楷体"/>
          <w:b/>
          <w:bCs/>
          <w:sz w:val="32"/>
          <w:szCs w:val="32"/>
          <w:highlight w:val="none"/>
        </w:rPr>
        <w:t>（四）绩效指标完成情况分析</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1.产出指标完成情况分析</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highlight w:val="none"/>
          <w:lang w:eastAsia="zh-CN"/>
        </w:rPr>
      </w:pPr>
      <w:r>
        <w:rPr>
          <w:sz w:val="32"/>
          <w:szCs w:val="32"/>
          <w:highlight w:val="none"/>
        </w:rPr>
        <w:t>（1）数量指标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a</w:t>
      </w:r>
      <w:r>
        <w:rPr>
          <w:sz w:val="32"/>
          <w:szCs w:val="32"/>
          <w:highlight w:val="none"/>
        </w:rPr>
        <w:t>.</w:t>
      </w:r>
      <w:r>
        <w:rPr>
          <w:rFonts w:hint="eastAsia"/>
          <w:sz w:val="32"/>
          <w:szCs w:val="32"/>
          <w:highlight w:val="none"/>
        </w:rPr>
        <w:t>财政部</w:t>
      </w:r>
      <w:r>
        <w:rPr>
          <w:sz w:val="32"/>
          <w:szCs w:val="32"/>
          <w:highlight w:val="none"/>
        </w:rPr>
        <w:t>随文下达重点作物绿色高产高效</w:t>
      </w:r>
      <w:r>
        <w:rPr>
          <w:rFonts w:hint="eastAsia"/>
          <w:sz w:val="32"/>
          <w:szCs w:val="32"/>
          <w:highlight w:val="none"/>
          <w:lang w:eastAsia="zh-CN"/>
        </w:rPr>
        <w:t>行动推进</w:t>
      </w:r>
      <w:r>
        <w:rPr>
          <w:sz w:val="32"/>
          <w:szCs w:val="32"/>
          <w:highlight w:val="none"/>
        </w:rPr>
        <w:t>县数量</w:t>
      </w:r>
      <w:r>
        <w:rPr>
          <w:rFonts w:hint="eastAsia"/>
          <w:sz w:val="32"/>
          <w:szCs w:val="32"/>
          <w:highlight w:val="none"/>
          <w:lang w:eastAsia="zh-CN"/>
        </w:rPr>
        <w:t>（个）</w:t>
      </w:r>
      <w:r>
        <w:rPr>
          <w:sz w:val="32"/>
          <w:szCs w:val="32"/>
          <w:highlight w:val="none"/>
        </w:rPr>
        <w:t>指标，指标值为27个，实际完成</w:t>
      </w:r>
      <w:r>
        <w:rPr>
          <w:rFonts w:hint="eastAsia"/>
          <w:sz w:val="32"/>
          <w:szCs w:val="32"/>
          <w:highlight w:val="none"/>
        </w:rPr>
        <w:t>30</w:t>
      </w:r>
      <w:r>
        <w:rPr>
          <w:sz w:val="32"/>
          <w:szCs w:val="32"/>
          <w:highlight w:val="none"/>
        </w:rPr>
        <w:t>个，</w:t>
      </w:r>
      <w:r>
        <w:rPr>
          <w:rFonts w:hint="eastAsia"/>
          <w:sz w:val="32"/>
          <w:szCs w:val="32"/>
          <w:highlight w:val="none"/>
        </w:rPr>
        <w:t>完成率111.11</w:t>
      </w:r>
      <w:r>
        <w:rPr>
          <w:sz w:val="32"/>
          <w:szCs w:val="32"/>
          <w:highlight w:val="none"/>
        </w:rPr>
        <w:t>%</w:t>
      </w:r>
      <w:r>
        <w:rPr>
          <w:rFonts w:hint="eastAsia"/>
          <w:sz w:val="32"/>
          <w:szCs w:val="32"/>
          <w:highlight w:val="none"/>
        </w:rPr>
        <w:t>，</w:t>
      </w:r>
      <w:r>
        <w:rPr>
          <w:sz w:val="32"/>
          <w:szCs w:val="32"/>
          <w:highlight w:val="none"/>
        </w:rPr>
        <w:t>偏差率</w:t>
      </w:r>
      <w:r>
        <w:rPr>
          <w:rFonts w:hint="eastAsia"/>
          <w:sz w:val="32"/>
          <w:szCs w:val="32"/>
          <w:highlight w:val="none"/>
        </w:rPr>
        <w:t>11.11</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b</w:t>
      </w:r>
      <w:r>
        <w:rPr>
          <w:sz w:val="32"/>
          <w:szCs w:val="32"/>
          <w:highlight w:val="none"/>
        </w:rPr>
        <w:t>.</w:t>
      </w:r>
      <w:r>
        <w:rPr>
          <w:rFonts w:hint="eastAsia"/>
          <w:sz w:val="32"/>
          <w:szCs w:val="32"/>
          <w:highlight w:val="none"/>
        </w:rPr>
        <w:t>财政部</w:t>
      </w:r>
      <w:r>
        <w:rPr>
          <w:sz w:val="32"/>
          <w:szCs w:val="32"/>
          <w:highlight w:val="none"/>
        </w:rPr>
        <w:t>随文下达大豆玉米</w:t>
      </w:r>
      <w:r>
        <w:rPr>
          <w:rFonts w:hint="eastAsia"/>
          <w:sz w:val="32"/>
          <w:szCs w:val="32"/>
          <w:highlight w:val="none"/>
          <w:lang w:eastAsia="zh-CN"/>
        </w:rPr>
        <w:t>小麦油菜</w:t>
      </w:r>
      <w:r>
        <w:rPr>
          <w:sz w:val="32"/>
          <w:szCs w:val="32"/>
          <w:highlight w:val="none"/>
        </w:rPr>
        <w:t>单产提升整建制推进县数量</w:t>
      </w:r>
      <w:r>
        <w:rPr>
          <w:rFonts w:hint="eastAsia"/>
          <w:sz w:val="32"/>
          <w:szCs w:val="32"/>
          <w:highlight w:val="none"/>
        </w:rPr>
        <w:t>指标，指标值为20</w:t>
      </w:r>
      <w:r>
        <w:rPr>
          <w:sz w:val="32"/>
          <w:szCs w:val="32"/>
          <w:highlight w:val="none"/>
        </w:rPr>
        <w:t>个，实际完成</w:t>
      </w:r>
      <w:r>
        <w:rPr>
          <w:rFonts w:hint="eastAsia"/>
          <w:sz w:val="32"/>
          <w:szCs w:val="32"/>
          <w:highlight w:val="none"/>
        </w:rPr>
        <w:t>20</w:t>
      </w:r>
      <w:r>
        <w:rPr>
          <w:sz w:val="32"/>
          <w:szCs w:val="32"/>
          <w:highlight w:val="none"/>
        </w:rPr>
        <w:t>个，完成率</w:t>
      </w:r>
      <w:r>
        <w:rPr>
          <w:rFonts w:hint="eastAsia"/>
          <w:sz w:val="32"/>
          <w:szCs w:val="32"/>
          <w:highlight w:val="none"/>
        </w:rPr>
        <w:t>100</w:t>
      </w:r>
      <w:r>
        <w:rPr>
          <w:sz w:val="32"/>
          <w:szCs w:val="32"/>
          <w:highlight w:val="none"/>
        </w:rPr>
        <w:t>%，偏差率</w:t>
      </w:r>
      <w:r>
        <w:rPr>
          <w:rFonts w:hint="eastAsia"/>
          <w:sz w:val="32"/>
          <w:szCs w:val="32"/>
          <w:highlight w:val="none"/>
        </w:rPr>
        <w:t>0</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highlight w:val="none"/>
          <w:lang w:eastAsia="zh-CN"/>
        </w:rPr>
      </w:pPr>
      <w:r>
        <w:rPr>
          <w:rFonts w:hint="eastAsia"/>
          <w:sz w:val="32"/>
          <w:highlight w:val="none"/>
        </w:rPr>
        <w:t>（2）质量指标</w:t>
      </w:r>
      <w:r>
        <w:rPr>
          <w:rFonts w:hint="eastAsia"/>
          <w:sz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highlight w:val="none"/>
        </w:rPr>
      </w:pPr>
      <w:r>
        <w:rPr>
          <w:rFonts w:hint="eastAsia"/>
          <w:sz w:val="32"/>
          <w:highlight w:val="none"/>
        </w:rPr>
        <w:t>财政部下达的绩效目标未设定质量指标。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highlight w:val="none"/>
          <w:lang w:eastAsia="zh-CN"/>
        </w:rPr>
      </w:pPr>
      <w:r>
        <w:rPr>
          <w:sz w:val="32"/>
          <w:highlight w:val="none"/>
        </w:rPr>
        <w:t>（</w:t>
      </w:r>
      <w:r>
        <w:rPr>
          <w:rFonts w:hint="eastAsia"/>
          <w:sz w:val="32"/>
          <w:highlight w:val="none"/>
        </w:rPr>
        <w:t>3</w:t>
      </w:r>
      <w:r>
        <w:rPr>
          <w:sz w:val="32"/>
          <w:highlight w:val="none"/>
        </w:rPr>
        <w:t>）时效指标</w:t>
      </w:r>
      <w:r>
        <w:rPr>
          <w:rFonts w:hint="eastAsia"/>
          <w:sz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val="en-US" w:eastAsia="zh-CN"/>
        </w:rPr>
        <w:t>财</w:t>
      </w:r>
      <w:r>
        <w:rPr>
          <w:rFonts w:hint="eastAsia"/>
          <w:sz w:val="32"/>
          <w:szCs w:val="32"/>
          <w:highlight w:val="none"/>
        </w:rPr>
        <w:t>政部</w:t>
      </w:r>
      <w:r>
        <w:rPr>
          <w:sz w:val="32"/>
          <w:szCs w:val="32"/>
          <w:highlight w:val="none"/>
        </w:rPr>
        <w:t>随文下达小麦“一喷三防”措施落实完成时限</w:t>
      </w:r>
      <w:r>
        <w:rPr>
          <w:rFonts w:hint="eastAsia"/>
          <w:sz w:val="32"/>
          <w:szCs w:val="32"/>
          <w:highlight w:val="none"/>
        </w:rPr>
        <w:t>指标，指标值为</w:t>
      </w:r>
      <w:r>
        <w:rPr>
          <w:sz w:val="32"/>
          <w:szCs w:val="32"/>
          <w:highlight w:val="none"/>
        </w:rPr>
        <w:t>7月3</w:t>
      </w:r>
      <w:r>
        <w:rPr>
          <w:rFonts w:hint="eastAsia"/>
          <w:sz w:val="32"/>
          <w:szCs w:val="32"/>
          <w:highlight w:val="none"/>
        </w:rPr>
        <w:t>1</w:t>
      </w:r>
      <w:r>
        <w:rPr>
          <w:sz w:val="32"/>
          <w:szCs w:val="32"/>
          <w:highlight w:val="none"/>
        </w:rPr>
        <w:t>日，实际完成7月31日，完成率100%，偏差率0%。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highlight w:val="none"/>
          <w:lang w:eastAsia="zh-CN"/>
        </w:rPr>
      </w:pPr>
      <w:r>
        <w:rPr>
          <w:sz w:val="32"/>
          <w:highlight w:val="none"/>
        </w:rPr>
        <w:t>（</w:t>
      </w:r>
      <w:r>
        <w:rPr>
          <w:rFonts w:hint="eastAsia"/>
          <w:sz w:val="32"/>
          <w:highlight w:val="none"/>
        </w:rPr>
        <w:t>4</w:t>
      </w:r>
      <w:r>
        <w:rPr>
          <w:sz w:val="32"/>
          <w:highlight w:val="none"/>
        </w:rPr>
        <w:t>）成本指标</w:t>
      </w:r>
      <w:r>
        <w:rPr>
          <w:rFonts w:hint="eastAsia"/>
          <w:sz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财政部</w:t>
      </w:r>
      <w:r>
        <w:rPr>
          <w:sz w:val="32"/>
          <w:highlight w:val="none"/>
        </w:rPr>
        <w:t>随文下达重点作物绿色高产高效项目区节本增效</w:t>
      </w:r>
      <w:r>
        <w:rPr>
          <w:rFonts w:hint="eastAsia"/>
          <w:sz w:val="32"/>
          <w:highlight w:val="none"/>
        </w:rPr>
        <w:t>水平</w:t>
      </w:r>
      <w:r>
        <w:rPr>
          <w:rFonts w:hint="eastAsia"/>
          <w:sz w:val="32"/>
          <w:szCs w:val="32"/>
          <w:highlight w:val="none"/>
        </w:rPr>
        <w:t>指标，指标值为</w:t>
      </w:r>
      <w:r>
        <w:rPr>
          <w:rFonts w:hint="eastAsia"/>
          <w:sz w:val="32"/>
          <w:highlight w:val="none"/>
        </w:rPr>
        <w:t>≥5%</w:t>
      </w:r>
      <w:r>
        <w:rPr>
          <w:sz w:val="32"/>
          <w:highlight w:val="none"/>
        </w:rPr>
        <w:t>，</w:t>
      </w:r>
      <w:r>
        <w:rPr>
          <w:sz w:val="32"/>
          <w:szCs w:val="32"/>
          <w:highlight w:val="none"/>
        </w:rPr>
        <w:t>实际完成5.</w:t>
      </w:r>
      <w:r>
        <w:rPr>
          <w:rFonts w:hint="eastAsia"/>
          <w:sz w:val="32"/>
          <w:szCs w:val="32"/>
          <w:highlight w:val="none"/>
        </w:rPr>
        <w:t>67</w:t>
      </w:r>
      <w:r>
        <w:rPr>
          <w:sz w:val="32"/>
          <w:szCs w:val="32"/>
          <w:highlight w:val="none"/>
        </w:rPr>
        <w:t>%，高于5%，完成率</w:t>
      </w:r>
      <w:r>
        <w:rPr>
          <w:rFonts w:hint="eastAsia"/>
          <w:sz w:val="32"/>
          <w:szCs w:val="32"/>
          <w:highlight w:val="none"/>
        </w:rPr>
        <w:t>113</w:t>
      </w:r>
      <w:r>
        <w:rPr>
          <w:rFonts w:hint="eastAsia"/>
          <w:sz w:val="32"/>
          <w:szCs w:val="32"/>
          <w:highlight w:val="none"/>
          <w:lang w:val="en-US" w:eastAsia="zh-CN"/>
        </w:rPr>
        <w:t>.4</w:t>
      </w:r>
      <w:r>
        <w:rPr>
          <w:sz w:val="32"/>
          <w:szCs w:val="32"/>
          <w:highlight w:val="none"/>
        </w:rPr>
        <w:t>%，偏差率</w:t>
      </w:r>
      <w:r>
        <w:rPr>
          <w:rFonts w:hint="eastAsia"/>
          <w:sz w:val="32"/>
          <w:szCs w:val="32"/>
          <w:highlight w:val="none"/>
        </w:rPr>
        <w:t>13</w:t>
      </w:r>
      <w:r>
        <w:rPr>
          <w:rFonts w:hint="eastAsia"/>
          <w:sz w:val="32"/>
          <w:szCs w:val="32"/>
          <w:highlight w:val="none"/>
          <w:lang w:val="en-US" w:eastAsia="zh-CN"/>
        </w:rPr>
        <w:t>.4</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2.效益指标完成情况分析</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highlight w:val="none"/>
          <w:lang w:eastAsia="zh-CN"/>
        </w:rPr>
      </w:pPr>
      <w:r>
        <w:rPr>
          <w:sz w:val="32"/>
          <w:szCs w:val="32"/>
          <w:highlight w:val="none"/>
        </w:rPr>
        <w:t>（</w:t>
      </w:r>
      <w:r>
        <w:rPr>
          <w:rFonts w:hint="eastAsia"/>
          <w:sz w:val="32"/>
          <w:szCs w:val="32"/>
          <w:highlight w:val="none"/>
        </w:rPr>
        <w:t>1</w:t>
      </w:r>
      <w:r>
        <w:rPr>
          <w:sz w:val="32"/>
          <w:szCs w:val="32"/>
          <w:highlight w:val="none"/>
        </w:rPr>
        <w:t>）社会效益指标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a.</w:t>
      </w:r>
      <w:r>
        <w:rPr>
          <w:rFonts w:hint="eastAsia"/>
          <w:sz w:val="32"/>
          <w:szCs w:val="32"/>
          <w:highlight w:val="none"/>
        </w:rPr>
        <w:t>财政部</w:t>
      </w:r>
      <w:r>
        <w:rPr>
          <w:sz w:val="32"/>
          <w:highlight w:val="none"/>
        </w:rPr>
        <w:t>随文下达集成推广绿色高质高效模式</w:t>
      </w:r>
      <w:r>
        <w:rPr>
          <w:rFonts w:hint="eastAsia"/>
          <w:sz w:val="32"/>
          <w:highlight w:val="none"/>
          <w:lang w:eastAsia="zh-CN"/>
        </w:rPr>
        <w:t>（套）</w:t>
      </w:r>
      <w:r>
        <w:rPr>
          <w:rFonts w:hint="eastAsia"/>
          <w:sz w:val="32"/>
          <w:szCs w:val="32"/>
          <w:highlight w:val="none"/>
        </w:rPr>
        <w:t>指标，指标值为</w:t>
      </w:r>
      <w:r>
        <w:rPr>
          <w:rFonts w:hint="eastAsia"/>
          <w:sz w:val="32"/>
          <w:highlight w:val="none"/>
        </w:rPr>
        <w:t>8</w:t>
      </w:r>
      <w:r>
        <w:rPr>
          <w:sz w:val="32"/>
          <w:highlight w:val="none"/>
        </w:rPr>
        <w:t>套，</w:t>
      </w:r>
      <w:r>
        <w:rPr>
          <w:sz w:val="32"/>
          <w:szCs w:val="32"/>
          <w:highlight w:val="none"/>
        </w:rPr>
        <w:t>实际完成8套，完成率100%，偏差率0%。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rPr>
        <w:t>b.财政部</w:t>
      </w:r>
      <w:r>
        <w:rPr>
          <w:sz w:val="32"/>
          <w:highlight w:val="none"/>
        </w:rPr>
        <w:t>随文下达</w:t>
      </w:r>
      <w:r>
        <w:rPr>
          <w:rFonts w:hint="eastAsia"/>
          <w:sz w:val="32"/>
          <w:highlight w:val="none"/>
        </w:rPr>
        <w:t>资金使用重大违规违纪问题指标，指标值为无，实际完成率100%，偏差率0%。</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eastAsia="仿宋_GB2312"/>
          <w:sz w:val="32"/>
          <w:szCs w:val="32"/>
          <w:highlight w:val="none"/>
          <w:lang w:eastAsia="zh-CN"/>
        </w:rPr>
      </w:pPr>
      <w:r>
        <w:rPr>
          <w:sz w:val="32"/>
          <w:szCs w:val="32"/>
          <w:highlight w:val="none"/>
        </w:rPr>
        <w:t>（</w:t>
      </w:r>
      <w:r>
        <w:rPr>
          <w:rFonts w:hint="eastAsia"/>
          <w:sz w:val="32"/>
          <w:szCs w:val="32"/>
          <w:highlight w:val="none"/>
        </w:rPr>
        <w:t>2</w:t>
      </w:r>
      <w:r>
        <w:rPr>
          <w:sz w:val="32"/>
          <w:szCs w:val="32"/>
          <w:highlight w:val="none"/>
        </w:rPr>
        <w:t>）生态效益指标</w:t>
      </w:r>
      <w:r>
        <w:rPr>
          <w:rFonts w:hint="eastAsia"/>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highlight w:val="none"/>
        </w:rPr>
      </w:pPr>
      <w:r>
        <w:rPr>
          <w:rFonts w:hint="eastAsia"/>
          <w:sz w:val="32"/>
          <w:szCs w:val="32"/>
          <w:highlight w:val="none"/>
        </w:rPr>
        <w:t>财政部</w:t>
      </w:r>
      <w:r>
        <w:rPr>
          <w:sz w:val="32"/>
          <w:highlight w:val="none"/>
        </w:rPr>
        <w:t>随文下达重点作物绿色高产高效项目区病虫害危害损失率</w:t>
      </w:r>
      <w:r>
        <w:rPr>
          <w:rFonts w:hint="eastAsia"/>
          <w:sz w:val="32"/>
          <w:szCs w:val="32"/>
          <w:highlight w:val="none"/>
        </w:rPr>
        <w:t>指标，指标值为</w:t>
      </w:r>
      <w:r>
        <w:rPr>
          <w:rFonts w:hint="eastAsia"/>
          <w:sz w:val="32"/>
          <w:highlight w:val="none"/>
          <w:lang w:eastAsia="zh-CN"/>
        </w:rPr>
        <w:t>＜</w:t>
      </w:r>
      <w:r>
        <w:rPr>
          <w:sz w:val="32"/>
          <w:highlight w:val="none"/>
        </w:rPr>
        <w:t>5%，实际完成4</w:t>
      </w:r>
      <w:r>
        <w:rPr>
          <w:rFonts w:hint="eastAsia"/>
          <w:sz w:val="32"/>
          <w:highlight w:val="none"/>
        </w:rPr>
        <w:t>.4</w:t>
      </w:r>
      <w:r>
        <w:rPr>
          <w:sz w:val="32"/>
          <w:highlight w:val="none"/>
        </w:rPr>
        <w:t>%，低于</w:t>
      </w:r>
      <w:r>
        <w:rPr>
          <w:sz w:val="32"/>
          <w:szCs w:val="32"/>
          <w:highlight w:val="none"/>
        </w:rPr>
        <w:t>5%，完成率</w:t>
      </w:r>
      <w:r>
        <w:rPr>
          <w:rFonts w:hint="eastAsia"/>
          <w:sz w:val="32"/>
          <w:szCs w:val="32"/>
          <w:highlight w:val="none"/>
          <w:lang w:val="en-US" w:eastAsia="zh-CN"/>
        </w:rPr>
        <w:t>100</w:t>
      </w:r>
      <w:r>
        <w:rPr>
          <w:sz w:val="32"/>
          <w:szCs w:val="32"/>
          <w:highlight w:val="none"/>
        </w:rPr>
        <w:t>%，偏差率</w:t>
      </w:r>
      <w:r>
        <w:rPr>
          <w:rFonts w:hint="eastAsia"/>
          <w:sz w:val="32"/>
          <w:szCs w:val="32"/>
          <w:highlight w:val="none"/>
          <w:lang w:val="en-US" w:eastAsia="zh-CN"/>
        </w:rPr>
        <w:t>0</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eastAsia="zh-CN"/>
        </w:rPr>
      </w:pPr>
      <w:r>
        <w:rPr>
          <w:rFonts w:hint="eastAsia" w:ascii="仿宋_GB2312" w:hAnsi="仿宋_GB2312" w:eastAsia="仿宋_GB2312" w:cs="仿宋_GB2312"/>
          <w:b/>
          <w:bCs/>
          <w:sz w:val="32"/>
          <w:szCs w:val="32"/>
          <w:highlight w:val="none"/>
        </w:rPr>
        <w:t>3.满意度指标完成情况分析</w:t>
      </w:r>
      <w:r>
        <w:rPr>
          <w:rFonts w:hint="eastAsia" w:ascii="仿宋_GB2312" w:hAnsi="仿宋_GB2312" w:eastAsia="仿宋_GB2312" w:cs="仿宋_GB2312"/>
          <w:b/>
          <w:bCs/>
          <w:sz w:val="32"/>
          <w:szCs w:val="32"/>
          <w:highlight w:val="none"/>
          <w:lang w:eastAsia="zh-CN"/>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highlight w:val="none"/>
        </w:rPr>
      </w:pPr>
      <w:r>
        <w:rPr>
          <w:rFonts w:hint="eastAsia"/>
          <w:sz w:val="32"/>
          <w:szCs w:val="32"/>
          <w:highlight w:val="none"/>
          <w:lang w:val="en-US" w:eastAsia="zh-CN"/>
        </w:rPr>
        <w:t>财</w:t>
      </w:r>
      <w:r>
        <w:rPr>
          <w:rFonts w:hint="eastAsia"/>
          <w:sz w:val="32"/>
          <w:szCs w:val="32"/>
          <w:highlight w:val="none"/>
        </w:rPr>
        <w:t>政部</w:t>
      </w:r>
      <w:r>
        <w:rPr>
          <w:sz w:val="32"/>
          <w:highlight w:val="none"/>
        </w:rPr>
        <w:t>随文下达指导服务对象满意度</w:t>
      </w:r>
      <w:r>
        <w:rPr>
          <w:rFonts w:hint="eastAsia"/>
          <w:sz w:val="32"/>
          <w:szCs w:val="32"/>
          <w:highlight w:val="none"/>
        </w:rPr>
        <w:t>指标，指标值为</w:t>
      </w:r>
      <w:r>
        <w:rPr>
          <w:sz w:val="32"/>
          <w:highlight w:val="none"/>
        </w:rPr>
        <w:t>≥</w:t>
      </w:r>
      <w:r>
        <w:rPr>
          <w:rFonts w:hint="eastAsia"/>
          <w:sz w:val="32"/>
          <w:highlight w:val="none"/>
        </w:rPr>
        <w:t>90</w:t>
      </w:r>
      <w:r>
        <w:rPr>
          <w:sz w:val="32"/>
          <w:highlight w:val="none"/>
        </w:rPr>
        <w:t>%，实际完成90%，完成率100%，偏差率0%。</w:t>
      </w:r>
    </w:p>
    <w:p>
      <w:pPr>
        <w:keepNext w:val="0"/>
        <w:keepLines w:val="0"/>
        <w:pageBreakBefore w:val="0"/>
        <w:widowControl w:val="0"/>
        <w:numPr>
          <w:ilvl w:val="0"/>
          <w:numId w:val="1"/>
        </w:numPr>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eastAsia="黑体"/>
          <w:bCs/>
          <w:sz w:val="32"/>
          <w:szCs w:val="32"/>
          <w:highlight w:val="none"/>
        </w:rPr>
      </w:pPr>
      <w:r>
        <w:rPr>
          <w:rFonts w:eastAsia="黑体"/>
          <w:bCs/>
          <w:sz w:val="32"/>
          <w:szCs w:val="32"/>
          <w:highlight w:val="none"/>
        </w:rPr>
        <w:t>偏离绩效目标的原因和下一步改进措施</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eastAsia="zh-CN"/>
        </w:rPr>
        <w:t>（一）</w:t>
      </w:r>
      <w:r>
        <w:rPr>
          <w:b/>
          <w:bCs/>
          <w:sz w:val="32"/>
          <w:szCs w:val="32"/>
          <w:highlight w:val="none"/>
        </w:rPr>
        <w:t>偏离的绩效目标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ascii="仿宋_GB2312" w:hAnsi="仿宋"/>
          <w:sz w:val="32"/>
          <w:szCs w:val="32"/>
          <w:highlight w:val="none"/>
        </w:rPr>
      </w:pPr>
      <w:r>
        <w:rPr>
          <w:rFonts w:hint="eastAsia" w:ascii="Times New Roman" w:hAnsi="Times New Roman" w:eastAsia="仿宋_GB2312" w:cs="Times New Roman"/>
          <w:b w:val="0"/>
          <w:bCs w:val="0"/>
          <w:sz w:val="32"/>
          <w:szCs w:val="36"/>
          <w:highlight w:val="none"/>
          <w:lang w:val="en-US" w:eastAsia="zh-CN"/>
        </w:rPr>
        <w:t>自治区农业农村厅经过自评</w:t>
      </w:r>
      <w:r>
        <w:rPr>
          <w:rFonts w:hint="eastAsia" w:ascii="Times New Roman" w:hAnsi="Times New Roman" w:cs="Times New Roman"/>
          <w:b w:val="0"/>
          <w:bCs w:val="0"/>
          <w:sz w:val="32"/>
          <w:szCs w:val="36"/>
          <w:highlight w:val="none"/>
          <w:lang w:val="en-US" w:eastAsia="zh-CN"/>
        </w:rPr>
        <w:t>，</w:t>
      </w:r>
      <w:r>
        <w:rPr>
          <w:rFonts w:hint="eastAsia"/>
          <w:sz w:val="32"/>
          <w:szCs w:val="36"/>
          <w:highlight w:val="none"/>
        </w:rPr>
        <w:t>2024年粮油生产保障资金</w:t>
      </w:r>
      <w:r>
        <w:rPr>
          <w:rFonts w:hint="eastAsia"/>
          <w:sz w:val="32"/>
          <w:szCs w:val="36"/>
          <w:highlight w:val="none"/>
          <w:lang w:eastAsia="zh-CN"/>
        </w:rPr>
        <w:t>项目按照财政部设定的</w:t>
      </w:r>
      <w:r>
        <w:rPr>
          <w:rFonts w:hint="eastAsia" w:ascii="仿宋_GB2312" w:hAnsi="仿宋"/>
          <w:sz w:val="32"/>
          <w:szCs w:val="32"/>
          <w:highlight w:val="none"/>
        </w:rPr>
        <w:t>绩效目标均已全部完成，未出现偏离情况。</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eastAsia="仿宋_GB2312"/>
          <w:b/>
          <w:bCs/>
          <w:sz w:val="32"/>
          <w:szCs w:val="32"/>
          <w:highlight w:val="none"/>
          <w:lang w:eastAsia="zh-CN"/>
        </w:rPr>
      </w:pPr>
      <w:r>
        <w:rPr>
          <w:rFonts w:hint="eastAsia"/>
          <w:b/>
          <w:bCs/>
          <w:sz w:val="32"/>
          <w:szCs w:val="32"/>
          <w:highlight w:val="none"/>
          <w:lang w:eastAsia="zh-CN"/>
        </w:rPr>
        <w:t>（二）</w:t>
      </w:r>
      <w:r>
        <w:rPr>
          <w:b/>
          <w:bCs/>
          <w:sz w:val="32"/>
          <w:szCs w:val="32"/>
          <w:highlight w:val="none"/>
        </w:rPr>
        <w:t>下一步改进措施</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1.项目实施过程中存在不足。</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lang w:val="en-US" w:eastAsia="zh-CN"/>
        </w:rPr>
      </w:pPr>
      <w:r>
        <w:rPr>
          <w:rFonts w:hint="eastAsia"/>
          <w:sz w:val="32"/>
          <w:szCs w:val="32"/>
          <w:highlight w:val="none"/>
          <w:lang w:val="en-US" w:eastAsia="zh-CN"/>
        </w:rPr>
        <w:t>（1）项目管理水平有待提高：项目审批流程繁琐，时效性不足，影响项目实施进度。</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lang w:val="en-US" w:eastAsia="zh-CN"/>
        </w:rPr>
      </w:pPr>
      <w:r>
        <w:rPr>
          <w:rFonts w:hint="eastAsia"/>
          <w:sz w:val="32"/>
          <w:szCs w:val="32"/>
          <w:highlight w:val="none"/>
          <w:lang w:val="en-US" w:eastAsia="zh-CN"/>
        </w:rPr>
        <w:t>（2）政策宣传力度有待加强：部分农民对政策了解不足，参与积极性不高。政策宣传方式单一，缺乏针对性和有效性。</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2" w:firstLineChars="200"/>
        <w:textAlignment w:val="auto"/>
        <w:rPr>
          <w:rFonts w:hint="default"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2.下一步工作实施改进措施。</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1</w:t>
      </w:r>
      <w:r>
        <w:rPr>
          <w:rFonts w:hint="eastAsia"/>
          <w:sz w:val="32"/>
          <w:szCs w:val="32"/>
          <w:highlight w:val="none"/>
          <w:lang w:eastAsia="zh-CN"/>
        </w:rPr>
        <w:t>）提升项目管理水平：简化审批流程，提高效率，推行网上审批、并联审批等模式，缩短审批时间。加强项目监管，确保资金安全，建立健全监管机制，强化审计监督，严肃查处违规行为。</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sz w:val="32"/>
          <w:szCs w:val="32"/>
          <w:highlight w:val="none"/>
          <w:lang w:eastAsia="zh-CN"/>
        </w:rPr>
      </w:pPr>
      <w:r>
        <w:rPr>
          <w:rFonts w:hint="eastAsia"/>
          <w:sz w:val="32"/>
          <w:szCs w:val="32"/>
          <w:highlight w:val="none"/>
          <w:lang w:eastAsia="zh-CN"/>
        </w:rPr>
        <w:t>（</w:t>
      </w:r>
      <w:r>
        <w:rPr>
          <w:rFonts w:hint="eastAsia"/>
          <w:sz w:val="32"/>
          <w:szCs w:val="32"/>
          <w:highlight w:val="none"/>
          <w:lang w:val="en-US" w:eastAsia="zh-CN"/>
        </w:rPr>
        <w:t>2</w:t>
      </w:r>
      <w:r>
        <w:rPr>
          <w:rFonts w:hint="eastAsia"/>
          <w:sz w:val="32"/>
          <w:szCs w:val="32"/>
          <w:highlight w:val="none"/>
          <w:lang w:eastAsia="zh-CN"/>
        </w:rPr>
        <w:t>）完善项目绩效评价体系：建立科学合理的评价指标体系，强化评价结果运用，提高资金使用效益。</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highlight w:val="none"/>
        </w:rPr>
      </w:pPr>
      <w:r>
        <w:rPr>
          <w:sz w:val="32"/>
          <w:szCs w:val="32"/>
          <w:highlight w:val="none"/>
        </w:rPr>
        <w:t>自治区农业农村厅将</w:t>
      </w:r>
      <w:r>
        <w:rPr>
          <w:rFonts w:hint="eastAsia"/>
          <w:sz w:val="32"/>
          <w:szCs w:val="32"/>
          <w:highlight w:val="none"/>
        </w:rPr>
        <w:t>进一步</w:t>
      </w:r>
      <w:r>
        <w:rPr>
          <w:sz w:val="32"/>
          <w:szCs w:val="32"/>
          <w:highlight w:val="none"/>
        </w:rPr>
        <w:t>加强资金使用的督导、推动专项任务按时完成</w:t>
      </w:r>
      <w:bookmarkStart w:id="1" w:name="_Hlk36400345"/>
      <w:r>
        <w:rPr>
          <w:sz w:val="32"/>
          <w:szCs w:val="32"/>
          <w:highlight w:val="none"/>
        </w:rPr>
        <w:t>、强化绩效目标管理</w:t>
      </w:r>
      <w:bookmarkEnd w:id="1"/>
      <w:r>
        <w:rPr>
          <w:sz w:val="32"/>
          <w:szCs w:val="32"/>
          <w:highlight w:val="none"/>
        </w:rPr>
        <w:t>、提升沟通协调能力等方面有序开展工作，根据实际情况，确保专项补助资金按相关要求执行，进一步提高中央财政相关农业转移支付资金的使用效益。及时调度各类项目开复工及项目实施进度情况，梳理总结项目执行存在的问题，压实各环节责任，进一步加快项目实施进度和资金支出率。</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hint="eastAsia" w:ascii="黑体" w:hAnsi="黑体" w:eastAsia="黑体" w:cs="黑体"/>
          <w:b w:val="0"/>
          <w:bCs w:val="0"/>
          <w:sz w:val="32"/>
          <w:szCs w:val="32"/>
          <w:highlight w:val="none"/>
        </w:rPr>
      </w:pPr>
      <w:r>
        <w:rPr>
          <w:rFonts w:hint="eastAsia" w:ascii="黑体" w:hAnsi="黑体" w:eastAsia="黑体" w:cs="黑体"/>
          <w:b w:val="0"/>
          <w:bCs w:val="0"/>
          <w:sz w:val="32"/>
          <w:szCs w:val="32"/>
          <w:highlight w:val="none"/>
        </w:rPr>
        <w:t>四、绩效自评结果拟应用和公开情况</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eastAsia="zh-CN"/>
        </w:rPr>
        <w:t>（一）</w:t>
      </w:r>
      <w:r>
        <w:rPr>
          <w:sz w:val="32"/>
          <w:szCs w:val="32"/>
          <w:highlight w:val="none"/>
        </w:rPr>
        <w:t>按照财政部《项目支出绩效评价管理办法》（财预〔2020〕10号）规定，单位自评标准是：预算执行10分，产出指标50分，效益指标30分，服务对象满意度指标10分。经自评，202</w:t>
      </w:r>
      <w:r>
        <w:rPr>
          <w:rFonts w:hint="eastAsia"/>
          <w:sz w:val="32"/>
          <w:szCs w:val="32"/>
          <w:highlight w:val="none"/>
        </w:rPr>
        <w:t>4</w:t>
      </w:r>
      <w:r>
        <w:rPr>
          <w:sz w:val="32"/>
          <w:szCs w:val="32"/>
          <w:highlight w:val="none"/>
        </w:rPr>
        <w:t>年度粮油生产保障资金项目综合评价自评得分为</w:t>
      </w:r>
      <w:r>
        <w:rPr>
          <w:rFonts w:hint="eastAsia"/>
          <w:sz w:val="32"/>
          <w:szCs w:val="32"/>
          <w:highlight w:val="none"/>
        </w:rPr>
        <w:t>9</w:t>
      </w:r>
      <w:r>
        <w:rPr>
          <w:rFonts w:hint="eastAsia"/>
          <w:sz w:val="32"/>
          <w:szCs w:val="32"/>
          <w:highlight w:val="none"/>
          <w:lang w:val="en-US" w:eastAsia="zh-CN"/>
        </w:rPr>
        <w:t>8.91</w:t>
      </w:r>
      <w:r>
        <w:rPr>
          <w:sz w:val="32"/>
          <w:szCs w:val="32"/>
          <w:highlight w:val="none"/>
        </w:rPr>
        <w:t>分，其中：预算执行</w:t>
      </w:r>
      <w:r>
        <w:rPr>
          <w:rFonts w:hint="eastAsia"/>
          <w:sz w:val="32"/>
          <w:szCs w:val="32"/>
          <w:highlight w:val="none"/>
        </w:rPr>
        <w:t>8.</w:t>
      </w:r>
      <w:r>
        <w:rPr>
          <w:rFonts w:hint="eastAsia"/>
          <w:sz w:val="32"/>
          <w:szCs w:val="32"/>
          <w:highlight w:val="none"/>
          <w:lang w:val="en-US" w:eastAsia="zh-CN"/>
        </w:rPr>
        <w:t>91</w:t>
      </w:r>
      <w:r>
        <w:rPr>
          <w:sz w:val="32"/>
          <w:szCs w:val="32"/>
          <w:highlight w:val="none"/>
        </w:rPr>
        <w:t>分、产出指标</w:t>
      </w:r>
      <w:r>
        <w:rPr>
          <w:rFonts w:hint="eastAsia"/>
          <w:sz w:val="32"/>
          <w:szCs w:val="32"/>
          <w:highlight w:val="none"/>
        </w:rPr>
        <w:t>50</w:t>
      </w:r>
      <w:r>
        <w:rPr>
          <w:sz w:val="32"/>
          <w:szCs w:val="32"/>
          <w:highlight w:val="none"/>
        </w:rPr>
        <w:t>分、效益指标</w:t>
      </w:r>
      <w:r>
        <w:rPr>
          <w:rFonts w:hint="eastAsia"/>
          <w:sz w:val="32"/>
          <w:szCs w:val="32"/>
          <w:highlight w:val="none"/>
        </w:rPr>
        <w:t>30</w:t>
      </w:r>
      <w:r>
        <w:rPr>
          <w:sz w:val="32"/>
          <w:szCs w:val="32"/>
          <w:highlight w:val="none"/>
        </w:rPr>
        <w:t>分、服务对象满意度指标</w:t>
      </w:r>
      <w:r>
        <w:rPr>
          <w:rFonts w:hint="eastAsia"/>
          <w:sz w:val="32"/>
          <w:szCs w:val="32"/>
          <w:highlight w:val="none"/>
        </w:rPr>
        <w:t>10</w:t>
      </w:r>
      <w:r>
        <w:rPr>
          <w:sz w:val="32"/>
          <w:szCs w:val="32"/>
          <w:highlight w:val="none"/>
        </w:rPr>
        <w:t>分，自评结果为“</w:t>
      </w:r>
      <w:r>
        <w:rPr>
          <w:rFonts w:hint="eastAsia"/>
          <w:sz w:val="32"/>
          <w:szCs w:val="32"/>
          <w:highlight w:val="none"/>
        </w:rPr>
        <w:t>优</w:t>
      </w:r>
      <w:r>
        <w:rPr>
          <w:sz w:val="32"/>
          <w:szCs w:val="32"/>
          <w:highlight w:val="none"/>
        </w:rPr>
        <w:t>”。</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eastAsia="zh-CN"/>
        </w:rPr>
        <w:t>（二）</w:t>
      </w:r>
      <w:r>
        <w:rPr>
          <w:rFonts w:hint="eastAsia"/>
          <w:sz w:val="32"/>
          <w:szCs w:val="32"/>
          <w:highlight w:val="none"/>
        </w:rPr>
        <w:t>自治区农业农村厅</w:t>
      </w:r>
      <w:r>
        <w:rPr>
          <w:sz w:val="32"/>
          <w:szCs w:val="32"/>
          <w:highlight w:val="none"/>
        </w:rPr>
        <w:t>高度重视绩效评价结果的应用工作，积极探索和建立与预算管理相结合的有效机制，着力提高绩效意识和财政资金使用效益</w:t>
      </w:r>
      <w:r>
        <w:rPr>
          <w:rFonts w:hint="eastAsia"/>
          <w:sz w:val="32"/>
          <w:szCs w:val="32"/>
          <w:highlight w:val="none"/>
        </w:rPr>
        <w:t>。粮油生产保障</w:t>
      </w:r>
      <w:r>
        <w:rPr>
          <w:sz w:val="32"/>
          <w:szCs w:val="32"/>
          <w:highlight w:val="none"/>
        </w:rPr>
        <w:t>转移支付资金</w:t>
      </w:r>
      <w:r>
        <w:rPr>
          <w:rFonts w:hint="eastAsia"/>
          <w:sz w:val="32"/>
          <w:szCs w:val="32"/>
          <w:highlight w:val="none"/>
        </w:rPr>
        <w:t>的</w:t>
      </w:r>
      <w:r>
        <w:rPr>
          <w:sz w:val="32"/>
          <w:szCs w:val="32"/>
          <w:highlight w:val="none"/>
        </w:rPr>
        <w:t>绩效自评价结果、执行情况等将作为下一年安排项目资金的依据，对于绩效自评差的、执行进度慢的地州，</w:t>
      </w:r>
      <w:r>
        <w:rPr>
          <w:rFonts w:hint="eastAsia"/>
          <w:sz w:val="32"/>
          <w:szCs w:val="32"/>
          <w:highlight w:val="none"/>
        </w:rPr>
        <w:t>将</w:t>
      </w:r>
      <w:r>
        <w:rPr>
          <w:sz w:val="32"/>
          <w:szCs w:val="32"/>
          <w:highlight w:val="none"/>
        </w:rPr>
        <w:t>在分配下一年度资金时</w:t>
      </w:r>
      <w:r>
        <w:rPr>
          <w:rFonts w:hint="eastAsia"/>
          <w:sz w:val="32"/>
          <w:szCs w:val="32"/>
          <w:highlight w:val="none"/>
        </w:rPr>
        <w:t>酌情</w:t>
      </w:r>
      <w:r>
        <w:rPr>
          <w:sz w:val="32"/>
          <w:szCs w:val="32"/>
          <w:highlight w:val="none"/>
        </w:rPr>
        <w:t>扣减。同时将不断提升预算管理水平，进一步夯实业务基础，提高我单位绩效人员水平。专门设定对绩效工作人员定职、定岗、定责等相关制度措施，进一步提升我单位绩效管理工作业务水平，扎实做好绩效管理工作。</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eastAsia="zh-CN"/>
        </w:rPr>
        <w:t>（三）</w:t>
      </w:r>
      <w:r>
        <w:rPr>
          <w:sz w:val="32"/>
          <w:szCs w:val="32"/>
          <w:highlight w:val="none"/>
        </w:rPr>
        <w:t>评价结果将在</w:t>
      </w:r>
      <w:r>
        <w:rPr>
          <w:rFonts w:hint="eastAsia"/>
          <w:sz w:val="32"/>
          <w:szCs w:val="32"/>
          <w:highlight w:val="none"/>
        </w:rPr>
        <w:t>自治区农业农村厅、自治区财政厅</w:t>
      </w:r>
      <w:r>
        <w:rPr>
          <w:sz w:val="32"/>
          <w:szCs w:val="32"/>
          <w:highlight w:val="none"/>
        </w:rPr>
        <w:t>门户网站进行公示公开，广泛接受社会监督。</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eastAsia="黑体"/>
          <w:sz w:val="32"/>
          <w:szCs w:val="32"/>
          <w:highlight w:val="none"/>
        </w:rPr>
      </w:pPr>
      <w:r>
        <w:rPr>
          <w:rFonts w:eastAsia="黑体"/>
          <w:sz w:val="32"/>
          <w:szCs w:val="32"/>
          <w:highlight w:val="none"/>
        </w:rPr>
        <w:t>五、其他需要说明的问题</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sz w:val="32"/>
          <w:szCs w:val="32"/>
          <w:highlight w:val="none"/>
        </w:rPr>
        <w:t>中央巡视、各级审计和财政监督中未发现问题。</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rFonts w:eastAsia="黑体"/>
          <w:sz w:val="32"/>
          <w:szCs w:val="32"/>
          <w:highlight w:val="none"/>
        </w:rPr>
      </w:pPr>
      <w:r>
        <w:rPr>
          <w:rFonts w:hint="eastAsia" w:eastAsia="黑体"/>
          <w:sz w:val="32"/>
          <w:szCs w:val="32"/>
          <w:highlight w:val="none"/>
        </w:rPr>
        <w:t>六</w:t>
      </w:r>
      <w:r>
        <w:rPr>
          <w:rFonts w:eastAsia="黑体"/>
          <w:sz w:val="32"/>
          <w:szCs w:val="32"/>
          <w:highlight w:val="none"/>
        </w:rPr>
        <w:t>、附件</w:t>
      </w:r>
    </w:p>
    <w:p>
      <w:pPr>
        <w:keepNext w:val="0"/>
        <w:keepLines w:val="0"/>
        <w:pageBreakBefore w:val="0"/>
        <w:widowControl w:val="0"/>
        <w:pBdr>
          <w:top w:val="none" w:color="000000" w:sz="0" w:space="0"/>
          <w:left w:val="none" w:color="000000" w:sz="0" w:space="0"/>
          <w:bottom w:val="none" w:color="000000" w:sz="0" w:space="21"/>
          <w:right w:val="none" w:color="000000" w:sz="0" w:space="0"/>
        </w:pBdr>
        <w:kinsoku/>
        <w:wordWrap/>
        <w:overflowPunct w:val="0"/>
        <w:topLinePunct w:val="0"/>
        <w:autoSpaceDE/>
        <w:autoSpaceDN/>
        <w:bidi w:val="0"/>
        <w:adjustRightInd/>
        <w:snapToGrid/>
        <w:spacing w:after="0" w:line="560" w:lineRule="exact"/>
        <w:ind w:firstLine="640" w:firstLineChars="200"/>
        <w:textAlignment w:val="auto"/>
        <w:rPr>
          <w:sz w:val="32"/>
          <w:szCs w:val="32"/>
          <w:highlight w:val="none"/>
        </w:rPr>
      </w:pPr>
      <w:r>
        <w:rPr>
          <w:rFonts w:hint="eastAsia"/>
          <w:sz w:val="32"/>
          <w:szCs w:val="32"/>
          <w:highlight w:val="none"/>
          <w:lang w:eastAsia="zh-CN"/>
        </w:rPr>
        <w:t>附件：</w:t>
      </w:r>
      <w:r>
        <w:rPr>
          <w:sz w:val="32"/>
          <w:szCs w:val="32"/>
          <w:highlight w:val="none"/>
        </w:rPr>
        <w:t>202</w:t>
      </w:r>
      <w:r>
        <w:rPr>
          <w:rFonts w:hint="eastAsia"/>
          <w:sz w:val="32"/>
          <w:szCs w:val="32"/>
          <w:highlight w:val="none"/>
        </w:rPr>
        <w:t>4</w:t>
      </w:r>
      <w:r>
        <w:rPr>
          <w:sz w:val="32"/>
          <w:szCs w:val="32"/>
          <w:highlight w:val="none"/>
        </w:rPr>
        <w:t>年中央对地方专项转移支付绩效目标自评表（粮油生产保障资金）</w:t>
      </w:r>
    </w:p>
    <w:p>
      <w:pPr>
        <w:pStyle w:val="11"/>
        <w:ind w:left="600" w:firstLine="600"/>
        <w:rPr>
          <w:rFonts w:ascii="Times New Roman" w:hAnsi="Times New Roman"/>
          <w:highlight w:val="none"/>
        </w:rPr>
        <w:sectPr>
          <w:pgSz w:w="11906" w:h="16838"/>
          <w:pgMar w:top="1440" w:right="1800" w:bottom="1440" w:left="1800" w:header="851" w:footer="992" w:gutter="0"/>
          <w:pgNumType w:fmt="decimal"/>
          <w:cols w:space="425" w:num="1"/>
          <w:docGrid w:type="lines" w:linePitch="312" w:charSpace="0"/>
        </w:sectPr>
      </w:pPr>
    </w:p>
    <w:p>
      <w:pPr>
        <w:pStyle w:val="10"/>
        <w:spacing w:line="600" w:lineRule="exact"/>
        <w:ind w:firstLine="0" w:firstLineChars="0"/>
        <w:jc w:val="left"/>
        <w:rPr>
          <w:rFonts w:ascii="Times New Roman" w:hAnsi="Times New Roman" w:cs="Times New Roman"/>
          <w:b/>
          <w:bCs/>
          <w:kern w:val="0"/>
          <w:sz w:val="36"/>
          <w:szCs w:val="36"/>
          <w:highlight w:val="none"/>
          <w:lang w:val="en-US"/>
        </w:rPr>
      </w:pPr>
      <w:r>
        <w:rPr>
          <w:rFonts w:hint="eastAsia" w:ascii="方正黑体_GBK" w:hAnsi="方正黑体_GBK" w:eastAsia="方正黑体_GBK" w:cs="方正黑体_GBK"/>
          <w:kern w:val="0"/>
          <w:sz w:val="32"/>
          <w:highlight w:val="none"/>
          <w:lang w:val="en-US"/>
        </w:rPr>
        <w:t>附件：</w:t>
      </w:r>
    </w:p>
    <w:p>
      <w:pPr>
        <w:pStyle w:val="10"/>
        <w:spacing w:line="600" w:lineRule="exact"/>
        <w:ind w:firstLine="722" w:firstLineChars="200"/>
        <w:jc w:val="center"/>
        <w:rPr>
          <w:rFonts w:ascii="Times New Roman" w:hAnsi="Times New Roman" w:cs="Times New Roman"/>
          <w:b/>
          <w:bCs/>
          <w:kern w:val="0"/>
          <w:sz w:val="36"/>
          <w:szCs w:val="36"/>
          <w:highlight w:val="none"/>
          <w:lang w:val="en-US"/>
        </w:rPr>
      </w:pPr>
      <w:r>
        <w:rPr>
          <w:rFonts w:hint="eastAsia" w:ascii="Times New Roman" w:hAnsi="Times New Roman" w:cs="Times New Roman"/>
          <w:b/>
          <w:bCs/>
          <w:kern w:val="0"/>
          <w:sz w:val="36"/>
          <w:szCs w:val="36"/>
          <w:highlight w:val="none"/>
          <w:lang w:val="en-US"/>
        </w:rPr>
        <w:t>2024年中央对地方专项转移支付绩效目标</w:t>
      </w:r>
    </w:p>
    <w:p>
      <w:pPr>
        <w:pStyle w:val="10"/>
        <w:spacing w:line="600" w:lineRule="exact"/>
        <w:ind w:firstLine="722" w:firstLineChars="200"/>
        <w:jc w:val="center"/>
        <w:rPr>
          <w:rFonts w:ascii="Times New Roman" w:hAnsi="Times New Roman" w:cs="Times New Roman"/>
          <w:b/>
          <w:bCs/>
          <w:kern w:val="0"/>
          <w:sz w:val="36"/>
          <w:szCs w:val="36"/>
          <w:highlight w:val="none"/>
          <w:lang w:val="en-US"/>
        </w:rPr>
      </w:pPr>
      <w:r>
        <w:rPr>
          <w:rFonts w:hint="eastAsia" w:ascii="Times New Roman" w:hAnsi="Times New Roman" w:cs="Times New Roman"/>
          <w:b/>
          <w:bCs/>
          <w:kern w:val="0"/>
          <w:sz w:val="36"/>
          <w:szCs w:val="36"/>
          <w:highlight w:val="none"/>
          <w:lang w:val="en-US"/>
        </w:rPr>
        <w:t>自评表（粮油生产保障资金）</w:t>
      </w:r>
    </w:p>
    <w:tbl>
      <w:tblPr>
        <w:tblStyle w:val="12"/>
        <w:tblW w:w="5318" w:type="pct"/>
        <w:tblInd w:w="0" w:type="dxa"/>
        <w:tblLayout w:type="fixed"/>
        <w:tblCellMar>
          <w:top w:w="0" w:type="dxa"/>
          <w:left w:w="108" w:type="dxa"/>
          <w:bottom w:w="0" w:type="dxa"/>
          <w:right w:w="108" w:type="dxa"/>
        </w:tblCellMar>
      </w:tblPr>
      <w:tblGrid>
        <w:gridCol w:w="677"/>
        <w:gridCol w:w="1383"/>
        <w:gridCol w:w="1402"/>
        <w:gridCol w:w="1379"/>
        <w:gridCol w:w="1634"/>
        <w:gridCol w:w="1362"/>
        <w:gridCol w:w="1235"/>
      </w:tblGrid>
      <w:tr>
        <w:tblPrEx>
          <w:tblCellMar>
            <w:top w:w="0" w:type="dxa"/>
            <w:left w:w="108" w:type="dxa"/>
            <w:bottom w:w="0" w:type="dxa"/>
            <w:right w:w="108" w:type="dxa"/>
          </w:tblCellMar>
        </w:tblPrEx>
        <w:trPr>
          <w:trHeight w:val="521" w:hRule="atLeast"/>
        </w:trPr>
        <w:tc>
          <w:tcPr>
            <w:tcW w:w="1135" w:type="pct"/>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转移支付（项目）名称</w:t>
            </w:r>
          </w:p>
        </w:tc>
        <w:tc>
          <w:tcPr>
            <w:tcW w:w="3864" w:type="pct"/>
            <w:gridSpan w:val="5"/>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粮油生产保障资金</w:t>
            </w:r>
          </w:p>
        </w:tc>
      </w:tr>
      <w:tr>
        <w:tblPrEx>
          <w:tblCellMar>
            <w:top w:w="0" w:type="dxa"/>
            <w:left w:w="108" w:type="dxa"/>
            <w:bottom w:w="0" w:type="dxa"/>
            <w:right w:w="108" w:type="dxa"/>
          </w:tblCellMar>
        </w:tblPrEx>
        <w:trPr>
          <w:trHeight w:val="521"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3864" w:type="pct"/>
            <w:gridSpan w:val="5"/>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135"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中央主管部门</w:t>
            </w:r>
          </w:p>
        </w:tc>
        <w:tc>
          <w:tcPr>
            <w:tcW w:w="3864" w:type="pct"/>
            <w:gridSpan w:val="5"/>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财政部、农业农村部</w:t>
            </w:r>
          </w:p>
        </w:tc>
      </w:tr>
      <w:tr>
        <w:tblPrEx>
          <w:tblCellMar>
            <w:top w:w="0" w:type="dxa"/>
            <w:left w:w="108" w:type="dxa"/>
            <w:bottom w:w="0" w:type="dxa"/>
            <w:right w:w="108" w:type="dxa"/>
          </w:tblCellMar>
        </w:tblPrEx>
        <w:trPr>
          <w:trHeight w:val="280" w:hRule="atLeast"/>
        </w:trPr>
        <w:tc>
          <w:tcPr>
            <w:tcW w:w="1135"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地方主管部门</w:t>
            </w:r>
          </w:p>
        </w:tc>
        <w:tc>
          <w:tcPr>
            <w:tcW w:w="1532"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自治区财政厅、农业农村厅</w:t>
            </w:r>
          </w:p>
        </w:tc>
        <w:tc>
          <w:tcPr>
            <w:tcW w:w="9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资金使用单位</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县市农业农村局</w:t>
            </w:r>
          </w:p>
        </w:tc>
      </w:tr>
      <w:tr>
        <w:tblPrEx>
          <w:tblCellMar>
            <w:top w:w="0" w:type="dxa"/>
            <w:left w:w="108" w:type="dxa"/>
            <w:bottom w:w="0" w:type="dxa"/>
            <w:right w:w="108" w:type="dxa"/>
          </w:tblCellMar>
        </w:tblPrEx>
        <w:trPr>
          <w:trHeight w:val="464" w:hRule="atLeast"/>
        </w:trPr>
        <w:tc>
          <w:tcPr>
            <w:tcW w:w="1135" w:type="pct"/>
            <w:gridSpan w:val="2"/>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资金投入情况</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（万元）</w:t>
            </w:r>
          </w:p>
        </w:tc>
        <w:tc>
          <w:tcPr>
            <w:tcW w:w="772"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c>
          <w:tcPr>
            <w:tcW w:w="76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全年预算数（A)</w:t>
            </w:r>
          </w:p>
        </w:tc>
        <w:tc>
          <w:tcPr>
            <w:tcW w:w="9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全年执行数（B)</w:t>
            </w:r>
          </w:p>
        </w:tc>
        <w:tc>
          <w:tcPr>
            <w:tcW w:w="1431" w:type="pct"/>
            <w:gridSpan w:val="2"/>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预算执行率</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（B/A×100%）</w:t>
            </w:r>
          </w:p>
        </w:tc>
      </w:tr>
      <w:tr>
        <w:tblPrEx>
          <w:tblCellMar>
            <w:top w:w="0" w:type="dxa"/>
            <w:left w:w="108" w:type="dxa"/>
            <w:bottom w:w="0" w:type="dxa"/>
            <w:right w:w="108" w:type="dxa"/>
          </w:tblCellMar>
        </w:tblPrEx>
        <w:trPr>
          <w:trHeight w:val="280"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年度资金总额：</w:t>
            </w:r>
          </w:p>
        </w:tc>
        <w:tc>
          <w:tcPr>
            <w:tcW w:w="76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16817</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eastAsia="宋体"/>
                <w:color w:val="000000"/>
                <w:kern w:val="0"/>
                <w:sz w:val="16"/>
                <w:szCs w:val="16"/>
                <w:highlight w:val="none"/>
                <w:lang w:bidi="ar"/>
              </w:rPr>
            </w:pPr>
            <w:r>
              <w:rPr>
                <w:rFonts w:hint="eastAsia" w:eastAsia="宋体"/>
                <w:color w:val="000000"/>
                <w:kern w:val="0"/>
                <w:sz w:val="16"/>
                <w:szCs w:val="16"/>
                <w:highlight w:val="none"/>
                <w:lang w:bidi="ar"/>
              </w:rPr>
              <w:t>14987.14</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val="en-US" w:eastAsia="zh-CN" w:bidi="ar"/>
              </w:rPr>
              <w:t>89.12</w:t>
            </w:r>
            <w:r>
              <w:rPr>
                <w:rFonts w:eastAsia="宋体"/>
                <w:color w:val="000000"/>
                <w:kern w:val="0"/>
                <w:sz w:val="16"/>
                <w:szCs w:val="16"/>
                <w:highlight w:val="none"/>
                <w:lang w:bidi="ar"/>
              </w:rPr>
              <w:t>%</w:t>
            </w:r>
          </w:p>
        </w:tc>
      </w:tr>
      <w:tr>
        <w:tblPrEx>
          <w:tblCellMar>
            <w:top w:w="0" w:type="dxa"/>
            <w:left w:w="108" w:type="dxa"/>
            <w:bottom w:w="0" w:type="dxa"/>
            <w:right w:w="108" w:type="dxa"/>
          </w:tblCellMar>
        </w:tblPrEx>
        <w:trPr>
          <w:trHeight w:val="280"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其中：中央财政资金</w:t>
            </w:r>
          </w:p>
        </w:tc>
        <w:tc>
          <w:tcPr>
            <w:tcW w:w="76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16817</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14987.14</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val="en-US" w:eastAsia="zh-CN" w:bidi="ar"/>
              </w:rPr>
              <w:t>89.12</w:t>
            </w:r>
            <w:r>
              <w:rPr>
                <w:rFonts w:eastAsia="宋体"/>
                <w:color w:val="000000"/>
                <w:kern w:val="0"/>
                <w:sz w:val="16"/>
                <w:szCs w:val="16"/>
                <w:highlight w:val="none"/>
                <w:lang w:bidi="ar"/>
              </w:rPr>
              <w:t>%</w:t>
            </w:r>
          </w:p>
        </w:tc>
      </w:tr>
      <w:tr>
        <w:tblPrEx>
          <w:tblCellMar>
            <w:top w:w="0" w:type="dxa"/>
            <w:left w:w="108" w:type="dxa"/>
            <w:bottom w:w="0" w:type="dxa"/>
            <w:right w:w="108" w:type="dxa"/>
          </w:tblCellMar>
        </w:tblPrEx>
        <w:trPr>
          <w:trHeight w:val="280"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highlight w:val="none"/>
              </w:rPr>
            </w:pPr>
            <w:r>
              <w:rPr>
                <w:rFonts w:eastAsia="宋体"/>
                <w:color w:val="000000"/>
                <w:kern w:val="0"/>
                <w:sz w:val="16"/>
                <w:szCs w:val="16"/>
                <w:highlight w:val="none"/>
                <w:lang w:bidi="ar"/>
              </w:rPr>
              <w:t>地方资金</w:t>
            </w:r>
          </w:p>
        </w:tc>
        <w:tc>
          <w:tcPr>
            <w:tcW w:w="76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left"/>
              <w:textAlignment w:val="center"/>
              <w:rPr>
                <w:rFonts w:eastAsia="宋体"/>
                <w:color w:val="000000"/>
                <w:sz w:val="16"/>
                <w:szCs w:val="16"/>
                <w:highlight w:val="none"/>
              </w:rPr>
            </w:pPr>
            <w:r>
              <w:rPr>
                <w:rFonts w:eastAsia="宋体"/>
                <w:color w:val="000000"/>
                <w:kern w:val="0"/>
                <w:sz w:val="16"/>
                <w:szCs w:val="16"/>
                <w:highlight w:val="none"/>
                <w:lang w:bidi="ar"/>
              </w:rPr>
              <w:t>其他资金</w:t>
            </w:r>
          </w:p>
        </w:tc>
        <w:tc>
          <w:tcPr>
            <w:tcW w:w="760" w:type="pct"/>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900" w:type="pct"/>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1135" w:type="pct"/>
            <w:gridSpan w:val="2"/>
            <w:vMerge w:val="restar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资金管理情况</w:t>
            </w:r>
          </w:p>
        </w:tc>
        <w:tc>
          <w:tcPr>
            <w:tcW w:w="772"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c>
          <w:tcPr>
            <w:tcW w:w="1660"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情况说明</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存在问题和改进措施</w:t>
            </w:r>
          </w:p>
        </w:tc>
      </w:tr>
      <w:tr>
        <w:tblPrEx>
          <w:tblCellMar>
            <w:top w:w="0" w:type="dxa"/>
            <w:left w:w="108" w:type="dxa"/>
            <w:bottom w:w="0" w:type="dxa"/>
            <w:right w:w="108" w:type="dxa"/>
          </w:tblCellMar>
        </w:tblPrEx>
        <w:trPr>
          <w:trHeight w:val="3261"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分配科学性</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根据《财政部关于下达2024年粮油生产保障资金预算的通知》（财农〔2024〕11号）要求，小麦“一喷三防”补助项目按照各地州市承担小麦种植任务，对补助资金按比例进行核定分配；粮油等重点作物绿色高产高效项目按照农业农村部项目实施要求，结合各地申报意向和专家评审结果，择优确定21个县市作为自治区2024年度绿色高产高效行动县。</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547"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下达及时性</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2024年4月，财政部下达我区粮油生产保障资金，根据财政部、</w:t>
            </w:r>
            <w:r>
              <w:rPr>
                <w:rFonts w:hint="eastAsia" w:eastAsia="宋体"/>
                <w:color w:val="000000"/>
                <w:kern w:val="0"/>
                <w:sz w:val="16"/>
                <w:szCs w:val="16"/>
                <w:highlight w:val="none"/>
                <w:lang w:eastAsia="zh-CN" w:bidi="ar"/>
              </w:rPr>
              <w:t>农业农村部</w:t>
            </w:r>
            <w:r>
              <w:rPr>
                <w:rFonts w:eastAsia="宋体"/>
                <w:color w:val="000000"/>
                <w:kern w:val="0"/>
                <w:sz w:val="16"/>
                <w:szCs w:val="16"/>
                <w:highlight w:val="none"/>
                <w:lang w:bidi="ar"/>
              </w:rPr>
              <w:t>有关要求，农业农村厅收到资金文件后，在规定时限内（30日内），按管理办法规定提出具体资金分配方案，经厅党组审议同意后，正式行文报财政厅申请下达资金，综上专项资金及时拨付至各地县市，资金分解下达及时</w:t>
            </w:r>
            <w:r>
              <w:rPr>
                <w:rFonts w:hint="eastAsia" w:eastAsia="宋体"/>
                <w:color w:val="000000"/>
                <w:kern w:val="0"/>
                <w:sz w:val="16"/>
                <w:szCs w:val="16"/>
                <w:highlight w:val="none"/>
                <w:lang w:bidi="ar"/>
              </w:rPr>
              <w:t>。</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4498"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拨付合规性</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根据《新疆维吾尔自治区粮食和物资储备局关于做好粮食安全保障工作的通知》要求加强粮油生产保障资金的管理，确保资金使用合规，保障粮食安全。资金必须用于粮油生产保障，不得挪用。资金分配和使用需公开，接受监督。资金使用过程需接受审计和财政部门的监督，确保合规。为确保粮油生产保障资金发挥使用效益，自治区农业农村厅统筹考虑资金总量和各地冬春小麦实际种植面积（不含山旱地），对补助资金按比例进行核定分配，并予以拨付资金，资金拨付合规。</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2119"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使用规范性</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补助资金要严格按照财政部《粮油生产保障资金管理办法》（财农〔2023〕11号）《中央对地方专项转移支付绩效目标管理暂行办法》（财预〔2015〕163号）的要求，建立资金使用台账，规范资金使用范围。</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620"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执行准确性</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严格按照财政部《粮油生产保障资金管理办法》（财农〔2023〕11号），小麦“一喷三防”补助项目采取物化补助方式，对项目区内自愿实施小麦“一喷三防”的农民和家庭农场、农民专业合作社等小麦实际种植者，在小麦生长期喷施杀虫剂、杀菌剂、除草剂、植物生长调节剂、叶面肥等“一喷三防”等措施给予补助。粮油等重点作物绿色高产高效项目对项目实施区新技术推广应用、社会化服务、技术指导服务等方面给予适当补助。资金使用符合资金使用范围要求，在中央巡视、各级审计和财政监督中未发现问题。</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5159"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预算绩效管理情况</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按照《中共中央国务院关于全面实施预算绩效管理的意见》、《关于印发&lt;自治区本级部门预算绩效目标管理办法&gt;的通知》（新财预〔2017〕21号）、《关于印发&lt;新疆维吾尔自治区农业相关转移支付资金绩效管理办法实施细则&gt;的通知》（新财规〔2020〕15号）等相关文件要求，自治区农业农村厅强化资金使用监管，严格执行有关财经制度，进一步加强预算绩效管理，在预算执行中做好绩效监控，预算执行完做好绩效评价，切实提高财政资金使用效益，确保资金安全规范使用，确保年度绩效目标如期实现。</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5293" w:hRule="atLeast"/>
        </w:trPr>
        <w:tc>
          <w:tcPr>
            <w:tcW w:w="1135" w:type="pct"/>
            <w:gridSpan w:val="2"/>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支出责任履行情况</w:t>
            </w:r>
          </w:p>
        </w:tc>
        <w:tc>
          <w:tcPr>
            <w:tcW w:w="1660" w:type="pct"/>
            <w:gridSpan w:val="2"/>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对共同财政事权转移支付，按照财政事权和支出责任划分有关规定，足额安排资金履行本级支出责任，支出责任履行情况良好。</w:t>
            </w:r>
          </w:p>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eastAsia="zh-Hans" w:bidi="ar"/>
              </w:rPr>
              <w:t>项目实施乡镇人民政府为直接责任人，地州市县农业农村局为项目主管部门对项目资金使用、监督和验收负主体责任；单位主要领导为项目监督和实施第一责任人</w:t>
            </w:r>
            <w:r>
              <w:rPr>
                <w:rFonts w:eastAsia="宋体"/>
                <w:color w:val="000000"/>
                <w:kern w:val="0"/>
                <w:sz w:val="16"/>
                <w:szCs w:val="16"/>
                <w:highlight w:val="none"/>
                <w:lang w:bidi="ar"/>
              </w:rPr>
              <w:t>，</w:t>
            </w:r>
            <w:r>
              <w:rPr>
                <w:rFonts w:eastAsia="宋体"/>
                <w:color w:val="000000"/>
                <w:kern w:val="0"/>
                <w:sz w:val="16"/>
                <w:szCs w:val="16"/>
                <w:highlight w:val="none"/>
                <w:lang w:eastAsia="zh-Hans" w:bidi="ar"/>
              </w:rPr>
              <w:t>主动与财政部门做好项目资金对接落实工作，确保资金及时到位，安全使用；</w:t>
            </w:r>
            <w:r>
              <w:rPr>
                <w:rFonts w:eastAsia="宋体"/>
                <w:color w:val="000000"/>
                <w:kern w:val="0"/>
                <w:sz w:val="16"/>
                <w:szCs w:val="16"/>
                <w:highlight w:val="none"/>
                <w:lang w:bidi="ar"/>
              </w:rPr>
              <w:t>自治区农业农村厅</w:t>
            </w:r>
            <w:r>
              <w:rPr>
                <w:rFonts w:eastAsia="宋体"/>
                <w:color w:val="000000"/>
                <w:kern w:val="0"/>
                <w:sz w:val="16"/>
                <w:szCs w:val="16"/>
                <w:highlight w:val="none"/>
                <w:lang w:eastAsia="zh-Hans" w:bidi="ar"/>
              </w:rPr>
              <w:t>建立项目执行定期调度督导机制，及时掌握项目执行和资金使用情况，</w:t>
            </w:r>
            <w:r>
              <w:rPr>
                <w:rFonts w:eastAsia="宋体"/>
                <w:color w:val="000000"/>
                <w:kern w:val="0"/>
                <w:sz w:val="16"/>
                <w:szCs w:val="16"/>
                <w:highlight w:val="none"/>
                <w:lang w:bidi="ar"/>
              </w:rPr>
              <w:t>不断总结经验和问题，</w:t>
            </w:r>
            <w:r>
              <w:rPr>
                <w:rFonts w:eastAsia="宋体"/>
                <w:color w:val="000000"/>
                <w:kern w:val="0"/>
                <w:sz w:val="16"/>
                <w:szCs w:val="16"/>
                <w:highlight w:val="none"/>
                <w:lang w:eastAsia="zh-Hans" w:bidi="ar"/>
              </w:rPr>
              <w:t>确保项目执行到位、资金使用规范。</w:t>
            </w:r>
          </w:p>
        </w:tc>
        <w:tc>
          <w:tcPr>
            <w:tcW w:w="1431" w:type="pct"/>
            <w:gridSpan w:val="2"/>
            <w:tcBorders>
              <w:top w:val="single" w:color="000000"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r>
              <w:rPr>
                <w:rFonts w:hint="eastAsia" w:ascii="宋体" w:hAnsi="宋体" w:eastAsia="宋体" w:cs="宋体"/>
                <w:color w:val="000000"/>
                <w:sz w:val="15"/>
                <w:szCs w:val="15"/>
                <w:highlight w:val="none"/>
              </w:rPr>
              <w:t>无</w:t>
            </w:r>
          </w:p>
        </w:tc>
      </w:tr>
      <w:tr>
        <w:tblPrEx>
          <w:tblCellMar>
            <w:top w:w="0" w:type="dxa"/>
            <w:left w:w="108" w:type="dxa"/>
            <w:bottom w:w="0" w:type="dxa"/>
            <w:right w:w="108" w:type="dxa"/>
          </w:tblCellMar>
        </w:tblPrEx>
        <w:trPr>
          <w:trHeight w:val="312" w:hRule="atLeast"/>
        </w:trPr>
        <w:tc>
          <w:tcPr>
            <w:tcW w:w="373" w:type="pct"/>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总体目标完成情况</w:t>
            </w:r>
          </w:p>
        </w:tc>
        <w:tc>
          <w:tcPr>
            <w:tcW w:w="2294" w:type="pct"/>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总体目标</w:t>
            </w:r>
          </w:p>
        </w:tc>
        <w:tc>
          <w:tcPr>
            <w:tcW w:w="2331" w:type="pct"/>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全年实际完成情况</w:t>
            </w:r>
          </w:p>
        </w:tc>
      </w:tr>
      <w:tr>
        <w:tblPrEx>
          <w:tblCellMar>
            <w:top w:w="0" w:type="dxa"/>
            <w:left w:w="108" w:type="dxa"/>
            <w:bottom w:w="0" w:type="dxa"/>
            <w:right w:w="108" w:type="dxa"/>
          </w:tblCellMar>
        </w:tblPrEx>
        <w:trPr>
          <w:trHeight w:val="521"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2294" w:type="pct"/>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按照相关规划或实施方案，结合地方实际开展粮油生产保障</w:t>
            </w:r>
          </w:p>
        </w:tc>
        <w:tc>
          <w:tcPr>
            <w:tcW w:w="2331" w:type="pct"/>
            <w:gridSpan w:val="3"/>
            <w:vMerge w:val="restar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2024全年2023年，在项目资金的大力支持下，按照项目设定的绩效考核目标，为全面落实农业农村部、自治区党委、人民政府以及农业农村厅党组关于粮油规模种植主体单产提升行动各项工作的安排部署，结合我区实际，会同财政有关部门及时调整优化奖补政策，有力提升资金指向性和精准性，强力推动项目资金发放日常监管，充分发挥政策效益，带动粮油生产健康发展，全面完成既定目标。</w:t>
            </w:r>
          </w:p>
        </w:tc>
      </w:tr>
      <w:tr>
        <w:tblPrEx>
          <w:tblCellMar>
            <w:top w:w="0" w:type="dxa"/>
            <w:left w:w="108" w:type="dxa"/>
            <w:bottom w:w="0" w:type="dxa"/>
            <w:right w:w="108" w:type="dxa"/>
          </w:tblCellMar>
        </w:tblPrEx>
        <w:trPr>
          <w:trHeight w:val="521"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2294" w:type="pct"/>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highlight w:val="none"/>
              </w:rPr>
            </w:pPr>
          </w:p>
        </w:tc>
        <w:tc>
          <w:tcPr>
            <w:tcW w:w="2331" w:type="pct"/>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highlight w:val="none"/>
              </w:rPr>
            </w:pPr>
          </w:p>
        </w:tc>
      </w:tr>
      <w:tr>
        <w:tblPrEx>
          <w:tblCellMar>
            <w:top w:w="0" w:type="dxa"/>
            <w:left w:w="108" w:type="dxa"/>
            <w:bottom w:w="0" w:type="dxa"/>
            <w:right w:w="108" w:type="dxa"/>
          </w:tblCellMar>
        </w:tblPrEx>
        <w:trPr>
          <w:trHeight w:val="521"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2294" w:type="pct"/>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highlight w:val="none"/>
              </w:rPr>
            </w:pPr>
          </w:p>
        </w:tc>
        <w:tc>
          <w:tcPr>
            <w:tcW w:w="2331" w:type="pct"/>
            <w:gridSpan w:val="3"/>
            <w:vMerge w:val="continue"/>
            <w:tcBorders>
              <w:top w:val="single" w:color="000000" w:sz="4" w:space="0"/>
              <w:left w:val="single" w:color="000000" w:sz="4" w:space="0"/>
              <w:bottom w:val="single" w:color="000000" w:sz="4" w:space="0"/>
              <w:right w:val="single" w:color="000000" w:sz="4" w:space="0"/>
            </w:tcBorders>
            <w:vAlign w:val="center"/>
          </w:tcPr>
          <w:p>
            <w:pPr>
              <w:jc w:val="left"/>
              <w:rPr>
                <w:rFonts w:eastAsia="宋体"/>
                <w:color w:val="000000"/>
                <w:sz w:val="16"/>
                <w:szCs w:val="16"/>
                <w:highlight w:val="none"/>
              </w:rPr>
            </w:pPr>
          </w:p>
        </w:tc>
      </w:tr>
      <w:tr>
        <w:tblPrEx>
          <w:tblCellMar>
            <w:top w:w="0" w:type="dxa"/>
            <w:left w:w="108" w:type="dxa"/>
            <w:bottom w:w="0" w:type="dxa"/>
            <w:right w:w="108" w:type="dxa"/>
          </w:tblCellMar>
        </w:tblPrEx>
        <w:trPr>
          <w:trHeight w:val="638" w:hRule="atLeast"/>
        </w:trPr>
        <w:tc>
          <w:tcPr>
            <w:tcW w:w="373" w:type="pct"/>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p>
          <w:p>
            <w:pPr>
              <w:widowControl/>
              <w:jc w:val="center"/>
              <w:textAlignment w:val="center"/>
              <w:rPr>
                <w:rFonts w:eastAsia="宋体"/>
                <w:color w:val="000000"/>
                <w:kern w:val="0"/>
                <w:sz w:val="16"/>
                <w:szCs w:val="16"/>
                <w:highlight w:val="none"/>
                <w:lang w:bidi="ar"/>
              </w:rPr>
            </w:pPr>
          </w:p>
          <w:p>
            <w:pPr>
              <w:widowControl/>
              <w:jc w:val="center"/>
              <w:textAlignment w:val="center"/>
              <w:rPr>
                <w:rFonts w:eastAsia="宋体"/>
                <w:color w:val="000000"/>
                <w:kern w:val="0"/>
                <w:sz w:val="16"/>
                <w:szCs w:val="16"/>
                <w:highlight w:val="none"/>
                <w:lang w:bidi="ar"/>
              </w:rPr>
            </w:pPr>
          </w:p>
          <w:p>
            <w:pPr>
              <w:widowControl/>
              <w:jc w:val="center"/>
              <w:textAlignment w:val="center"/>
              <w:rPr>
                <w:rFonts w:eastAsia="宋体"/>
                <w:color w:val="000000"/>
                <w:kern w:val="0"/>
                <w:sz w:val="16"/>
                <w:szCs w:val="16"/>
                <w:highlight w:val="none"/>
                <w:lang w:bidi="ar"/>
              </w:rPr>
            </w:pPr>
          </w:p>
          <w:p>
            <w:pPr>
              <w:widowControl/>
              <w:jc w:val="center"/>
              <w:textAlignment w:val="center"/>
              <w:rPr>
                <w:rFonts w:eastAsia="宋体"/>
                <w:color w:val="000000"/>
                <w:kern w:val="0"/>
                <w:sz w:val="16"/>
                <w:szCs w:val="16"/>
                <w:highlight w:val="none"/>
                <w:lang w:bidi="ar"/>
              </w:rPr>
            </w:pPr>
          </w:p>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绩</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效</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指</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标</w:t>
            </w:r>
          </w:p>
        </w:tc>
        <w:tc>
          <w:tcPr>
            <w:tcW w:w="762" w:type="pct"/>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一级指标</w:t>
            </w:r>
          </w:p>
        </w:tc>
        <w:tc>
          <w:tcPr>
            <w:tcW w:w="772" w:type="pct"/>
            <w:tcBorders>
              <w:top w:val="single" w:color="000000" w:sz="4" w:space="0"/>
              <w:left w:val="single" w:color="000000" w:sz="4" w:space="0"/>
              <w:bottom w:val="single" w:color="auto"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二级指标</w:t>
            </w:r>
          </w:p>
        </w:tc>
        <w:tc>
          <w:tcPr>
            <w:tcW w:w="76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三级指标</w:t>
            </w:r>
          </w:p>
        </w:tc>
        <w:tc>
          <w:tcPr>
            <w:tcW w:w="90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指标值</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全年实际完成值</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未完成原因和改进措施</w:t>
            </w:r>
          </w:p>
        </w:tc>
      </w:tr>
      <w:tr>
        <w:tblPrEx>
          <w:tblCellMar>
            <w:top w:w="0" w:type="dxa"/>
            <w:left w:w="108" w:type="dxa"/>
            <w:bottom w:w="0" w:type="dxa"/>
            <w:right w:w="108" w:type="dxa"/>
          </w:tblCellMar>
        </w:tblPrEx>
        <w:trPr>
          <w:trHeight w:val="240" w:hRule="atLeast"/>
        </w:trPr>
        <w:tc>
          <w:tcPr>
            <w:tcW w:w="373" w:type="pct"/>
            <w:vMerge w:val="continue"/>
            <w:tcBorders>
              <w:top w:val="single" w:color="000000" w:sz="4" w:space="0"/>
              <w:left w:val="single" w:color="000000" w:sz="4" w:space="0"/>
              <w:bottom w:val="single" w:color="000000" w:sz="4" w:space="0"/>
              <w:right w:val="single" w:color="auto" w:sz="4" w:space="0"/>
            </w:tcBorders>
            <w:vAlign w:val="center"/>
          </w:tcPr>
          <w:p>
            <w:pPr>
              <w:jc w:val="center"/>
              <w:rPr>
                <w:rFonts w:eastAsia="宋体"/>
                <w:color w:val="000000"/>
                <w:sz w:val="16"/>
                <w:szCs w:val="16"/>
                <w:highlight w:val="none"/>
              </w:rPr>
            </w:pPr>
          </w:p>
        </w:tc>
        <w:tc>
          <w:tcPr>
            <w:tcW w:w="76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hint="eastAsia" w:eastAsia="宋体"/>
                <w:color w:val="000000"/>
                <w:kern w:val="0"/>
                <w:sz w:val="16"/>
                <w:szCs w:val="16"/>
                <w:highlight w:val="none"/>
                <w:lang w:eastAsia="zh-CN" w:bidi="ar"/>
              </w:rPr>
            </w:pPr>
            <w:r>
              <w:rPr>
                <w:rFonts w:hint="eastAsia" w:eastAsia="宋体"/>
                <w:color w:val="000000"/>
                <w:kern w:val="0"/>
                <w:sz w:val="16"/>
                <w:szCs w:val="16"/>
                <w:highlight w:val="none"/>
                <w:lang w:eastAsia="zh-CN" w:bidi="ar"/>
              </w:rPr>
              <w:t>产出指标</w:t>
            </w:r>
          </w:p>
        </w:tc>
        <w:tc>
          <w:tcPr>
            <w:tcW w:w="77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数量指标</w:t>
            </w:r>
          </w:p>
        </w:tc>
        <w:tc>
          <w:tcPr>
            <w:tcW w:w="760" w:type="pct"/>
            <w:tcBorders>
              <w:top w:val="single" w:color="000000" w:sz="4" w:space="0"/>
              <w:left w:val="single" w:color="auto" w:sz="4" w:space="0"/>
              <w:bottom w:val="single" w:color="000000" w:sz="4" w:space="0"/>
              <w:right w:val="single" w:color="000000" w:sz="4" w:space="0"/>
            </w:tcBorders>
          </w:tcPr>
          <w:p>
            <w:pPr>
              <w:pStyle w:val="14"/>
              <w:spacing w:before="62" w:line="216" w:lineRule="auto"/>
              <w:ind w:left="52" w:hanging="40"/>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重点作物绿色高产高效创建县数世(个)</w:t>
            </w:r>
          </w:p>
        </w:tc>
        <w:tc>
          <w:tcPr>
            <w:tcW w:w="900" w:type="pct"/>
            <w:tcBorders>
              <w:top w:val="single" w:color="000000" w:sz="4" w:space="0"/>
              <w:left w:val="single" w:color="000000" w:sz="4" w:space="0"/>
              <w:bottom w:val="single" w:color="000000" w:sz="4" w:space="0"/>
              <w:right w:val="single" w:color="000000" w:sz="4" w:space="0"/>
            </w:tcBorders>
            <w:vAlign w:val="center"/>
          </w:tcPr>
          <w:p>
            <w:pPr>
              <w:pStyle w:val="14"/>
              <w:spacing w:before="175" w:line="183" w:lineRule="auto"/>
              <w:jc w:val="center"/>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27</w:t>
            </w:r>
          </w:p>
        </w:tc>
        <w:tc>
          <w:tcPr>
            <w:tcW w:w="7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highlight w:val="none"/>
              </w:rPr>
            </w:pPr>
            <w:r>
              <w:rPr>
                <w:rFonts w:hint="eastAsia" w:ascii="Times New Roman" w:hAnsi="Times New Roman" w:eastAsia="宋体" w:cs="Times New Roman"/>
                <w:color w:val="000000"/>
                <w:kern w:val="0"/>
                <w:sz w:val="16"/>
                <w:szCs w:val="16"/>
                <w:highlight w:val="none"/>
                <w:lang w:val="en-US" w:eastAsia="zh-CN" w:bidi="ar"/>
              </w:rPr>
              <w:t>30</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240" w:hRule="atLeast"/>
        </w:trPr>
        <w:tc>
          <w:tcPr>
            <w:tcW w:w="373" w:type="pct"/>
            <w:vMerge w:val="continue"/>
            <w:tcBorders>
              <w:top w:val="single" w:color="000000" w:sz="4" w:space="0"/>
              <w:left w:val="single" w:color="000000" w:sz="4" w:space="0"/>
              <w:bottom w:val="single" w:color="000000" w:sz="4" w:space="0"/>
              <w:right w:val="single" w:color="auto" w:sz="4" w:space="0"/>
            </w:tcBorders>
            <w:vAlign w:val="center"/>
          </w:tcPr>
          <w:p>
            <w:pPr>
              <w:jc w:val="center"/>
              <w:rPr>
                <w:rFonts w:eastAsia="宋体"/>
                <w:color w:val="000000"/>
                <w:sz w:val="16"/>
                <w:szCs w:val="16"/>
                <w:highlight w:val="none"/>
              </w:rPr>
            </w:pPr>
          </w:p>
        </w:tc>
        <w:tc>
          <w:tcPr>
            <w:tcW w:w="762"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highlight w:val="none"/>
              </w:rPr>
            </w:pPr>
          </w:p>
        </w:tc>
        <w:tc>
          <w:tcPr>
            <w:tcW w:w="772"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highlight w:val="none"/>
              </w:rPr>
            </w:pPr>
          </w:p>
        </w:tc>
        <w:tc>
          <w:tcPr>
            <w:tcW w:w="760" w:type="pct"/>
            <w:tcBorders>
              <w:top w:val="single" w:color="000000" w:sz="4" w:space="0"/>
              <w:left w:val="single" w:color="auto" w:sz="4" w:space="0"/>
              <w:bottom w:val="single" w:color="000000" w:sz="4" w:space="0"/>
              <w:right w:val="single" w:color="000000" w:sz="4" w:space="0"/>
            </w:tcBorders>
          </w:tcPr>
          <w:p>
            <w:pPr>
              <w:pStyle w:val="14"/>
              <w:spacing w:before="72" w:line="216" w:lineRule="auto"/>
              <w:ind w:left="12"/>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大豆玉米小麦油菜单产提升整建制推进县数量(个)</w:t>
            </w:r>
          </w:p>
        </w:tc>
        <w:tc>
          <w:tcPr>
            <w:tcW w:w="900" w:type="pct"/>
            <w:tcBorders>
              <w:top w:val="single" w:color="000000" w:sz="4" w:space="0"/>
              <w:left w:val="single" w:color="000000" w:sz="4" w:space="0"/>
              <w:bottom w:val="single" w:color="000000" w:sz="4" w:space="0"/>
              <w:right w:val="single" w:color="000000" w:sz="4" w:space="0"/>
            </w:tcBorders>
            <w:vAlign w:val="center"/>
          </w:tcPr>
          <w:p>
            <w:pPr>
              <w:pStyle w:val="14"/>
              <w:spacing w:before="175" w:line="720" w:lineRule="auto"/>
              <w:jc w:val="center"/>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20</w:t>
            </w:r>
          </w:p>
        </w:tc>
        <w:tc>
          <w:tcPr>
            <w:tcW w:w="7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val="0"/>
              <w:kinsoku/>
              <w:wordWrap/>
              <w:overflowPunct/>
              <w:topLinePunct w:val="0"/>
              <w:autoSpaceDE/>
              <w:autoSpaceDN/>
              <w:bidi w:val="0"/>
              <w:adjustRightInd/>
              <w:snapToGrid/>
              <w:spacing w:after="0"/>
              <w:jc w:val="center"/>
              <w:textAlignment w:val="auto"/>
              <w:rPr>
                <w:highlight w:val="none"/>
              </w:rPr>
            </w:pPr>
            <w:r>
              <w:rPr>
                <w:rFonts w:hint="eastAsia" w:ascii="Times New Roman" w:hAnsi="Times New Roman" w:eastAsia="宋体" w:cs="Times New Roman"/>
                <w:color w:val="000000"/>
                <w:kern w:val="0"/>
                <w:sz w:val="16"/>
                <w:szCs w:val="16"/>
                <w:highlight w:val="none"/>
                <w:lang w:val="en-US" w:eastAsia="zh-CN" w:bidi="ar"/>
              </w:rPr>
              <w:t>20</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373" w:type="pct"/>
            <w:vMerge w:val="continue"/>
            <w:tcBorders>
              <w:top w:val="single" w:color="000000" w:sz="4" w:space="0"/>
              <w:left w:val="single" w:color="000000" w:sz="4" w:space="0"/>
              <w:bottom w:val="single" w:color="000000" w:sz="4" w:space="0"/>
              <w:right w:val="single" w:color="auto" w:sz="4" w:space="0"/>
            </w:tcBorders>
            <w:vAlign w:val="center"/>
          </w:tcPr>
          <w:p>
            <w:pPr>
              <w:jc w:val="center"/>
              <w:rPr>
                <w:rFonts w:eastAsia="宋体"/>
                <w:color w:val="000000"/>
                <w:sz w:val="16"/>
                <w:szCs w:val="16"/>
                <w:highlight w:val="none"/>
              </w:rPr>
            </w:pPr>
          </w:p>
        </w:tc>
        <w:tc>
          <w:tcPr>
            <w:tcW w:w="762" w:type="pct"/>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eastAsia="宋体"/>
                <w:color w:val="000000"/>
                <w:sz w:val="16"/>
                <w:szCs w:val="16"/>
                <w:highlight w:val="none"/>
              </w:rPr>
            </w:pPr>
          </w:p>
        </w:tc>
        <w:tc>
          <w:tcPr>
            <w:tcW w:w="77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时效指标</w:t>
            </w:r>
          </w:p>
        </w:tc>
        <w:tc>
          <w:tcPr>
            <w:tcW w:w="760"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小麦“一喷三防”措施落实完成时限</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7月3</w:t>
            </w:r>
            <w:r>
              <w:rPr>
                <w:rFonts w:hint="eastAsia" w:eastAsia="宋体"/>
                <w:color w:val="000000"/>
                <w:kern w:val="0"/>
                <w:sz w:val="16"/>
                <w:szCs w:val="16"/>
                <w:highlight w:val="none"/>
                <w:lang w:bidi="ar"/>
              </w:rPr>
              <w:t>1</w:t>
            </w:r>
            <w:r>
              <w:rPr>
                <w:rFonts w:eastAsia="宋体"/>
                <w:color w:val="000000"/>
                <w:kern w:val="0"/>
                <w:sz w:val="16"/>
                <w:szCs w:val="16"/>
                <w:highlight w:val="none"/>
                <w:lang w:bidi="ar"/>
              </w:rPr>
              <w:t>日</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7月31日</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760" w:hRule="atLeast"/>
        </w:trPr>
        <w:tc>
          <w:tcPr>
            <w:tcW w:w="373" w:type="pct"/>
            <w:vMerge w:val="continue"/>
            <w:tcBorders>
              <w:top w:val="single" w:color="000000" w:sz="4" w:space="0"/>
              <w:left w:val="single" w:color="000000" w:sz="4" w:space="0"/>
              <w:bottom w:val="single" w:color="000000" w:sz="4" w:space="0"/>
              <w:right w:val="single" w:color="auto" w:sz="4" w:space="0"/>
            </w:tcBorders>
            <w:vAlign w:val="center"/>
          </w:tcPr>
          <w:p>
            <w:pPr>
              <w:jc w:val="center"/>
              <w:rPr>
                <w:rFonts w:eastAsia="宋体"/>
                <w:color w:val="000000"/>
                <w:sz w:val="16"/>
                <w:szCs w:val="16"/>
                <w:highlight w:val="none"/>
              </w:rPr>
            </w:pPr>
          </w:p>
        </w:tc>
        <w:tc>
          <w:tcPr>
            <w:tcW w:w="762" w:type="pct"/>
            <w:vMerge w:val="continue"/>
            <w:tcBorders>
              <w:top w:val="single" w:color="auto" w:sz="4" w:space="0"/>
              <w:left w:val="single" w:color="auto" w:sz="4" w:space="0"/>
              <w:bottom w:val="single" w:color="auto" w:sz="4" w:space="0"/>
              <w:right w:val="single" w:color="auto" w:sz="4" w:space="0"/>
            </w:tcBorders>
            <w:noWrap/>
            <w:vAlign w:val="center"/>
          </w:tcPr>
          <w:p>
            <w:pPr>
              <w:jc w:val="center"/>
              <w:rPr>
                <w:rFonts w:eastAsia="宋体"/>
                <w:color w:val="000000"/>
                <w:sz w:val="16"/>
                <w:szCs w:val="16"/>
                <w:highlight w:val="none"/>
              </w:rPr>
            </w:pPr>
          </w:p>
        </w:tc>
        <w:tc>
          <w:tcPr>
            <w:tcW w:w="772" w:type="pct"/>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成本指标</w:t>
            </w:r>
          </w:p>
        </w:tc>
        <w:tc>
          <w:tcPr>
            <w:tcW w:w="760" w:type="pct"/>
            <w:tcBorders>
              <w:top w:val="single" w:color="000000" w:sz="4" w:space="0"/>
              <w:left w:val="single" w:color="auto"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重点作物绿色高产高效项目区节本增效水平(%)</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≥5%</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bidi="ar"/>
              </w:rPr>
              <w:t>5.67%</w:t>
            </w:r>
          </w:p>
        </w:tc>
        <w:tc>
          <w:tcPr>
            <w:tcW w:w="680" w:type="pct"/>
            <w:tcBorders>
              <w:top w:val="single" w:color="000000" w:sz="4" w:space="0"/>
              <w:left w:val="single" w:color="000000" w:sz="4" w:space="0"/>
              <w:bottom w:val="single" w:color="000000" w:sz="4" w:space="0"/>
              <w:right w:val="single" w:color="000000" w:sz="4" w:space="0"/>
            </w:tcBorders>
            <w:vAlign w:val="center"/>
          </w:tcPr>
          <w:p>
            <w:pPr>
              <w:widowControl/>
              <w:jc w:val="left"/>
              <w:textAlignment w:val="cente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62" w:type="pct"/>
            <w:vMerge w:val="restart"/>
            <w:tcBorders>
              <w:top w:val="single" w:color="auto" w:sz="4" w:space="0"/>
              <w:left w:val="single" w:color="000000" w:sz="4" w:space="0"/>
              <w:bottom w:val="single" w:color="auto"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效益指标</w:t>
            </w:r>
          </w:p>
        </w:tc>
        <w:tc>
          <w:tcPr>
            <w:tcW w:w="772" w:type="pct"/>
            <w:vMerge w:val="restart"/>
            <w:tcBorders>
              <w:top w:val="single" w:color="auto" w:sz="4" w:space="0"/>
              <w:left w:val="single" w:color="000000" w:sz="4" w:space="0"/>
              <w:bottom w:val="single" w:color="auto" w:sz="4" w:space="0"/>
              <w:right w:val="single" w:color="000000" w:sz="4" w:space="0"/>
            </w:tcBorders>
            <w:noWrap/>
            <w:vAlign w:val="center"/>
          </w:tcPr>
          <w:p>
            <w:pPr>
              <w:jc w:val="center"/>
              <w:rPr>
                <w:rFonts w:eastAsia="宋体"/>
                <w:color w:val="000000"/>
                <w:sz w:val="16"/>
                <w:szCs w:val="16"/>
                <w:highlight w:val="none"/>
              </w:rPr>
            </w:pPr>
            <w:r>
              <w:rPr>
                <w:rFonts w:eastAsia="宋体"/>
                <w:color w:val="000000"/>
                <w:kern w:val="0"/>
                <w:sz w:val="16"/>
                <w:szCs w:val="16"/>
                <w:highlight w:val="none"/>
                <w:lang w:bidi="ar"/>
              </w:rPr>
              <w:t>社会效益指标</w:t>
            </w:r>
          </w:p>
        </w:tc>
        <w:tc>
          <w:tcPr>
            <w:tcW w:w="760" w:type="pct"/>
            <w:tcBorders>
              <w:top w:val="single" w:color="000000" w:sz="4" w:space="0"/>
              <w:left w:val="single" w:color="000000" w:sz="4" w:space="0"/>
              <w:bottom w:val="single" w:color="000000" w:sz="4" w:space="0"/>
              <w:right w:val="single" w:color="000000" w:sz="4" w:space="0"/>
            </w:tcBorders>
          </w:tcPr>
          <w:p>
            <w:pPr>
              <w:pStyle w:val="14"/>
              <w:spacing w:before="144" w:line="219" w:lineRule="auto"/>
              <w:jc w:val="left"/>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集成推广绿色高质高效棋式(套)</w:t>
            </w:r>
          </w:p>
        </w:tc>
        <w:tc>
          <w:tcPr>
            <w:tcW w:w="900" w:type="pct"/>
            <w:tcBorders>
              <w:top w:val="single" w:color="000000" w:sz="4" w:space="0"/>
              <w:left w:val="single" w:color="000000" w:sz="4" w:space="0"/>
              <w:bottom w:val="single" w:color="000000" w:sz="4" w:space="0"/>
              <w:right w:val="single" w:color="000000" w:sz="4" w:space="0"/>
            </w:tcBorders>
            <w:vAlign w:val="center"/>
          </w:tcPr>
          <w:p>
            <w:pPr>
              <w:pStyle w:val="14"/>
              <w:spacing w:before="177" w:line="183" w:lineRule="auto"/>
              <w:jc w:val="center"/>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8</w:t>
            </w:r>
          </w:p>
        </w:tc>
        <w:tc>
          <w:tcPr>
            <w:tcW w:w="750" w:type="pct"/>
            <w:tcBorders>
              <w:top w:val="single" w:color="000000" w:sz="4" w:space="0"/>
              <w:left w:val="single" w:color="000000" w:sz="4" w:space="0"/>
              <w:bottom w:val="single" w:color="000000" w:sz="4" w:space="0"/>
              <w:right w:val="single" w:color="000000" w:sz="4" w:space="0"/>
            </w:tcBorders>
            <w:vAlign w:val="center"/>
          </w:tcPr>
          <w:p>
            <w:pPr>
              <w:keepNext w:val="0"/>
              <w:keepLines w:val="0"/>
              <w:pageBreakBefore w:val="0"/>
              <w:widowControl/>
              <w:kinsoku/>
              <w:wordWrap/>
              <w:overflowPunct/>
              <w:topLinePunct w:val="0"/>
              <w:autoSpaceDE/>
              <w:autoSpaceDN/>
              <w:bidi w:val="0"/>
              <w:adjustRightInd/>
              <w:snapToGrid/>
              <w:spacing w:after="0" w:line="279" w:lineRule="auto"/>
              <w:jc w:val="center"/>
              <w:textAlignment w:val="center"/>
              <w:rPr>
                <w:rFonts w:eastAsia="宋体"/>
                <w:color w:val="000000"/>
                <w:sz w:val="16"/>
                <w:szCs w:val="16"/>
                <w:highlight w:val="none"/>
              </w:rPr>
            </w:pPr>
            <w:r>
              <w:rPr>
                <w:rFonts w:hint="eastAsia" w:eastAsia="宋体"/>
                <w:color w:val="000000"/>
                <w:sz w:val="16"/>
                <w:szCs w:val="16"/>
                <w:highlight w:val="none"/>
              </w:rPr>
              <w:t>8</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62" w:type="pct"/>
            <w:vMerge w:val="continue"/>
            <w:tcBorders>
              <w:top w:val="single" w:color="auto" w:sz="4" w:space="0"/>
              <w:left w:val="single" w:color="000000" w:sz="4" w:space="0"/>
              <w:bottom w:val="single" w:color="auto" w:sz="4" w:space="0"/>
              <w:right w:val="single" w:color="000000" w:sz="4" w:space="0"/>
            </w:tcBorders>
            <w:noWrap/>
            <w:vAlign w:val="center"/>
          </w:tcPr>
          <w:p>
            <w:pPr>
              <w:jc w:val="center"/>
              <w:rPr>
                <w:rFonts w:eastAsia="宋体"/>
                <w:color w:val="000000"/>
                <w:sz w:val="16"/>
                <w:szCs w:val="16"/>
                <w:highlight w:val="none"/>
              </w:rPr>
            </w:pPr>
          </w:p>
        </w:tc>
        <w:tc>
          <w:tcPr>
            <w:tcW w:w="772" w:type="pct"/>
            <w:vMerge w:val="continue"/>
            <w:tcBorders>
              <w:top w:val="single" w:color="auto" w:sz="4" w:space="0"/>
              <w:left w:val="single" w:color="000000" w:sz="4" w:space="0"/>
              <w:bottom w:val="single" w:color="auto" w:sz="4" w:space="0"/>
              <w:right w:val="single" w:color="000000" w:sz="4" w:space="0"/>
            </w:tcBorders>
            <w:noWrap/>
            <w:vAlign w:val="center"/>
          </w:tcPr>
          <w:p>
            <w:pPr>
              <w:jc w:val="center"/>
              <w:rPr>
                <w:rFonts w:eastAsia="宋体"/>
                <w:color w:val="000000"/>
                <w:sz w:val="16"/>
                <w:szCs w:val="16"/>
                <w:highlight w:val="none"/>
              </w:rPr>
            </w:pPr>
          </w:p>
        </w:tc>
        <w:tc>
          <w:tcPr>
            <w:tcW w:w="760" w:type="pct"/>
            <w:tcBorders>
              <w:top w:val="single" w:color="000000" w:sz="4" w:space="0"/>
              <w:left w:val="single" w:color="000000" w:sz="4" w:space="0"/>
              <w:bottom w:val="single" w:color="000000" w:sz="4" w:space="0"/>
              <w:right w:val="single" w:color="000000" w:sz="4" w:space="0"/>
            </w:tcBorders>
          </w:tcPr>
          <w:p>
            <w:pPr>
              <w:pStyle w:val="14"/>
              <w:spacing w:before="144" w:line="219" w:lineRule="auto"/>
              <w:ind w:left="12"/>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资金使用重大违规违纪问题</w:t>
            </w:r>
          </w:p>
        </w:tc>
        <w:tc>
          <w:tcPr>
            <w:tcW w:w="900" w:type="pct"/>
            <w:tcBorders>
              <w:top w:val="single" w:color="000000" w:sz="4" w:space="0"/>
              <w:left w:val="single" w:color="000000" w:sz="4" w:space="0"/>
              <w:bottom w:val="single" w:color="000000" w:sz="4" w:space="0"/>
              <w:right w:val="single" w:color="000000" w:sz="4" w:space="0"/>
            </w:tcBorders>
            <w:vAlign w:val="center"/>
          </w:tcPr>
          <w:p>
            <w:pPr>
              <w:pStyle w:val="14"/>
              <w:spacing w:before="144" w:line="220" w:lineRule="auto"/>
              <w:jc w:val="center"/>
              <w:rPr>
                <w:rFonts w:ascii="Times New Roman" w:hAnsi="Times New Roman" w:cs="Times New Roman"/>
                <w:color w:val="000000"/>
                <w:kern w:val="0"/>
                <w:sz w:val="16"/>
                <w:szCs w:val="16"/>
                <w:highlight w:val="none"/>
                <w:lang w:eastAsia="zh-CN" w:bidi="ar"/>
              </w:rPr>
            </w:pPr>
            <w:r>
              <w:rPr>
                <w:rFonts w:ascii="Times New Roman" w:hAnsi="Times New Roman" w:cs="Times New Roman"/>
                <w:color w:val="000000"/>
                <w:kern w:val="0"/>
                <w:sz w:val="16"/>
                <w:szCs w:val="16"/>
                <w:highlight w:val="none"/>
                <w:lang w:eastAsia="zh-CN" w:bidi="ar"/>
              </w:rPr>
              <w:t>无</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hint="eastAsia" w:eastAsia="宋体"/>
                <w:color w:val="000000"/>
                <w:sz w:val="16"/>
                <w:szCs w:val="16"/>
                <w:highlight w:val="none"/>
              </w:rPr>
              <w:t>无</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642"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62" w:type="pct"/>
            <w:vMerge w:val="continue"/>
            <w:tcBorders>
              <w:top w:val="single" w:color="auto" w:sz="4" w:space="0"/>
              <w:left w:val="single" w:color="000000" w:sz="4" w:space="0"/>
              <w:bottom w:val="single" w:color="000000" w:sz="4" w:space="0"/>
              <w:right w:val="single" w:color="000000" w:sz="4" w:space="0"/>
            </w:tcBorders>
            <w:noWrap/>
            <w:vAlign w:val="center"/>
          </w:tcPr>
          <w:p>
            <w:pPr>
              <w:jc w:val="center"/>
              <w:rPr>
                <w:rFonts w:eastAsia="宋体"/>
                <w:color w:val="000000"/>
                <w:sz w:val="16"/>
                <w:szCs w:val="16"/>
                <w:highlight w:val="none"/>
              </w:rPr>
            </w:pPr>
          </w:p>
        </w:tc>
        <w:tc>
          <w:tcPr>
            <w:tcW w:w="772" w:type="pct"/>
            <w:tcBorders>
              <w:top w:val="single" w:color="auto"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生态效益指标</w:t>
            </w:r>
          </w:p>
        </w:tc>
        <w:tc>
          <w:tcPr>
            <w:tcW w:w="76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重点作物绿色高产高效项目区病虫害危害损失率</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hint="eastAsia" w:eastAsia="宋体"/>
                <w:color w:val="000000"/>
                <w:kern w:val="0"/>
                <w:sz w:val="16"/>
                <w:szCs w:val="16"/>
                <w:highlight w:val="none"/>
                <w:lang w:eastAsia="zh-CN" w:bidi="ar"/>
              </w:rPr>
              <w:t>＜</w:t>
            </w:r>
            <w:r>
              <w:rPr>
                <w:rFonts w:eastAsia="宋体"/>
                <w:color w:val="000000"/>
                <w:kern w:val="0"/>
                <w:sz w:val="16"/>
                <w:szCs w:val="16"/>
                <w:highlight w:val="none"/>
                <w:lang w:bidi="ar"/>
              </w:rPr>
              <w:t>5%</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hint="eastAsia" w:eastAsia="宋体"/>
                <w:color w:val="000000"/>
                <w:sz w:val="16"/>
                <w:szCs w:val="16"/>
                <w:highlight w:val="none"/>
              </w:rPr>
              <w:t>4.4%</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600" w:hRule="atLeast"/>
        </w:trPr>
        <w:tc>
          <w:tcPr>
            <w:tcW w:w="373" w:type="pct"/>
            <w:vMerge w:val="continue"/>
            <w:tcBorders>
              <w:top w:val="single" w:color="000000" w:sz="4" w:space="0"/>
              <w:left w:val="single" w:color="000000" w:sz="4" w:space="0"/>
              <w:bottom w:val="single" w:color="000000" w:sz="4" w:space="0"/>
              <w:right w:val="single" w:color="000000" w:sz="4" w:space="0"/>
            </w:tcBorders>
            <w:vAlign w:val="center"/>
          </w:tcPr>
          <w:p>
            <w:pPr>
              <w:jc w:val="center"/>
              <w:rPr>
                <w:rFonts w:eastAsia="宋体"/>
                <w:color w:val="000000"/>
                <w:sz w:val="16"/>
                <w:szCs w:val="16"/>
                <w:highlight w:val="none"/>
              </w:rPr>
            </w:pPr>
          </w:p>
        </w:tc>
        <w:tc>
          <w:tcPr>
            <w:tcW w:w="76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满意度指标</w:t>
            </w:r>
          </w:p>
        </w:tc>
        <w:tc>
          <w:tcPr>
            <w:tcW w:w="772"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服务对象</w:t>
            </w:r>
            <w:r>
              <w:rPr>
                <w:rFonts w:eastAsia="宋体"/>
                <w:color w:val="000000"/>
                <w:kern w:val="0"/>
                <w:sz w:val="16"/>
                <w:szCs w:val="16"/>
                <w:highlight w:val="none"/>
                <w:lang w:bidi="ar"/>
              </w:rPr>
              <w:br w:type="textWrapping"/>
            </w:r>
            <w:r>
              <w:rPr>
                <w:rFonts w:eastAsia="宋体"/>
                <w:color w:val="000000"/>
                <w:kern w:val="0"/>
                <w:sz w:val="16"/>
                <w:szCs w:val="16"/>
                <w:highlight w:val="none"/>
                <w:lang w:bidi="ar"/>
              </w:rPr>
              <w:t>满意度指标</w:t>
            </w:r>
          </w:p>
        </w:tc>
        <w:tc>
          <w:tcPr>
            <w:tcW w:w="76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小麦“一喷三防”服务群众满意度 (%)</w:t>
            </w:r>
          </w:p>
        </w:tc>
        <w:tc>
          <w:tcPr>
            <w:tcW w:w="90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kern w:val="0"/>
                <w:sz w:val="16"/>
                <w:szCs w:val="16"/>
                <w:highlight w:val="none"/>
                <w:lang w:bidi="ar"/>
              </w:rPr>
            </w:pPr>
            <w:r>
              <w:rPr>
                <w:rFonts w:eastAsia="宋体"/>
                <w:color w:val="000000"/>
                <w:kern w:val="0"/>
                <w:sz w:val="16"/>
                <w:szCs w:val="16"/>
                <w:highlight w:val="none"/>
                <w:lang w:bidi="ar"/>
              </w:rPr>
              <w:t>≥90%</w:t>
            </w:r>
          </w:p>
        </w:tc>
        <w:tc>
          <w:tcPr>
            <w:tcW w:w="750" w:type="pct"/>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eastAsia="宋体"/>
                <w:color w:val="000000"/>
                <w:sz w:val="16"/>
                <w:szCs w:val="16"/>
                <w:highlight w:val="none"/>
              </w:rPr>
            </w:pPr>
            <w:r>
              <w:rPr>
                <w:rFonts w:hint="eastAsia" w:eastAsia="宋体"/>
                <w:color w:val="000000"/>
                <w:sz w:val="16"/>
                <w:szCs w:val="16"/>
                <w:highlight w:val="none"/>
              </w:rPr>
              <w:t>90%</w:t>
            </w:r>
          </w:p>
        </w:tc>
        <w:tc>
          <w:tcPr>
            <w:tcW w:w="680" w:type="pct"/>
            <w:tcBorders>
              <w:top w:val="single" w:color="000000" w:sz="4" w:space="0"/>
              <w:left w:val="single" w:color="000000" w:sz="4" w:space="0"/>
              <w:bottom w:val="single" w:color="000000" w:sz="4" w:space="0"/>
              <w:right w:val="single" w:color="000000" w:sz="4" w:space="0"/>
            </w:tcBorders>
            <w:noWrap/>
            <w:vAlign w:val="center"/>
          </w:tcPr>
          <w:p>
            <w:pPr>
              <w:rPr>
                <w:rFonts w:eastAsia="宋体"/>
                <w:color w:val="000000"/>
                <w:sz w:val="16"/>
                <w:szCs w:val="16"/>
                <w:highlight w:val="none"/>
              </w:rPr>
            </w:pPr>
          </w:p>
        </w:tc>
      </w:tr>
      <w:tr>
        <w:tblPrEx>
          <w:tblCellMar>
            <w:top w:w="0" w:type="dxa"/>
            <w:left w:w="108" w:type="dxa"/>
            <w:bottom w:w="0" w:type="dxa"/>
            <w:right w:w="108" w:type="dxa"/>
          </w:tblCellMar>
        </w:tblPrEx>
        <w:trPr>
          <w:trHeight w:val="280" w:hRule="atLeast"/>
        </w:trPr>
        <w:tc>
          <w:tcPr>
            <w:tcW w:w="373" w:type="pct"/>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说明</w:t>
            </w:r>
          </w:p>
        </w:tc>
        <w:tc>
          <w:tcPr>
            <w:tcW w:w="4626" w:type="pct"/>
            <w:gridSpan w:val="6"/>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eastAsia="宋体"/>
                <w:color w:val="000000"/>
                <w:sz w:val="16"/>
                <w:szCs w:val="16"/>
                <w:highlight w:val="none"/>
              </w:rPr>
            </w:pPr>
            <w:r>
              <w:rPr>
                <w:rFonts w:eastAsia="宋体"/>
                <w:color w:val="000000"/>
                <w:kern w:val="0"/>
                <w:sz w:val="16"/>
                <w:szCs w:val="16"/>
                <w:highlight w:val="none"/>
                <w:lang w:bidi="ar"/>
              </w:rPr>
              <w:t>无</w:t>
            </w:r>
          </w:p>
        </w:tc>
      </w:tr>
    </w:tbl>
    <w:p>
      <w:pPr>
        <w:pBdr>
          <w:top w:val="none" w:color="000000" w:sz="0" w:space="0"/>
          <w:left w:val="none" w:color="000000" w:sz="0" w:space="0"/>
          <w:bottom w:val="none" w:color="000000" w:sz="0" w:space="21"/>
          <w:right w:val="none" w:color="000000" w:sz="0" w:space="0"/>
        </w:pBdr>
        <w:overflowPunct w:val="0"/>
        <w:spacing w:line="560" w:lineRule="exact"/>
        <w:ind w:firstLine="640" w:firstLineChars="200"/>
        <w:rPr>
          <w:sz w:val="32"/>
          <w:szCs w:val="32"/>
          <w:highlight w:val="none"/>
        </w:rPr>
      </w:pPr>
    </w:p>
    <w:sectPr>
      <w:pgSz w:w="11906" w:h="16838"/>
      <w:pgMar w:top="1440" w:right="1797" w:bottom="1440" w:left="179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00007A87" w:usb1="80000000" w:usb2="00000008"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楷体">
    <w:altName w:val="方正楷体_GBK"/>
    <w:panose1 w:val="02010609060101010101"/>
    <w:charset w:val="86"/>
    <w:family w:val="modern"/>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a:effectLst/>
                    </wps:spPr>
                    <wps:txbx>
                      <w:txbxContent>
                        <w:p>
                          <w:pPr>
                            <w:pStyle w:val="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CCNfcMGwIAACcEAAAOAAAAAAAAAAEAIAAAADUBAABkcnMvZTJvRG9jLnhtbFBLBQYA&#10;AAAABgAGAFkBAADCBQAAAAA=&#10;">
              <v:fill on="f" focussize="0,0"/>
              <v:stroke on="f" weight="0.5pt"/>
              <v:imagedata o:title=""/>
              <o:lock v:ext="edit" aspectratio="f"/>
              <v:textbox inset="0mm,0mm,0mm,0mm" style="mso-fit-shape-to-text:t;">
                <w:txbxContent>
                  <w:p>
                    <w:pPr>
                      <w:pStyle w:val="8"/>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hint="eastAsia" w:ascii="宋体" w:hAnsi="宋体" w:eastAsia="宋体" w:cs="宋体"/>
                        <w:sz w:val="24"/>
                        <w:szCs w:val="24"/>
                      </w:rPr>
                      <w:t>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8A60BA"/>
    <w:multiLevelType w:val="singleLevel"/>
    <w:tmpl w:val="4F8A60BA"/>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xY2FlYmQ5ZDk2ODhhNjA1MDNkMTg2OGE1NTVkYmYifQ=="/>
  </w:docVars>
  <w:rsids>
    <w:rsidRoot w:val="690A7624"/>
    <w:rsid w:val="001B2716"/>
    <w:rsid w:val="002F1B64"/>
    <w:rsid w:val="00577B28"/>
    <w:rsid w:val="005F3381"/>
    <w:rsid w:val="0084499D"/>
    <w:rsid w:val="00937A80"/>
    <w:rsid w:val="00C158B6"/>
    <w:rsid w:val="00C3560A"/>
    <w:rsid w:val="02A92523"/>
    <w:rsid w:val="02C04514"/>
    <w:rsid w:val="02F2197A"/>
    <w:rsid w:val="07434552"/>
    <w:rsid w:val="07B94814"/>
    <w:rsid w:val="080B17EA"/>
    <w:rsid w:val="0902043D"/>
    <w:rsid w:val="0B696D7B"/>
    <w:rsid w:val="0BFC73C5"/>
    <w:rsid w:val="0CA21D12"/>
    <w:rsid w:val="0CB478A7"/>
    <w:rsid w:val="0D5C5C58"/>
    <w:rsid w:val="0EC3241C"/>
    <w:rsid w:val="0F39623B"/>
    <w:rsid w:val="0FCD53EB"/>
    <w:rsid w:val="103510F8"/>
    <w:rsid w:val="132C67E2"/>
    <w:rsid w:val="140040F4"/>
    <w:rsid w:val="15C076B6"/>
    <w:rsid w:val="169C4ED1"/>
    <w:rsid w:val="18F629B6"/>
    <w:rsid w:val="1B304996"/>
    <w:rsid w:val="1C9A4858"/>
    <w:rsid w:val="20867062"/>
    <w:rsid w:val="214B412D"/>
    <w:rsid w:val="221802F7"/>
    <w:rsid w:val="22A13307"/>
    <w:rsid w:val="22D64075"/>
    <w:rsid w:val="24422247"/>
    <w:rsid w:val="262F241A"/>
    <w:rsid w:val="2B5621F6"/>
    <w:rsid w:val="2BAC0068"/>
    <w:rsid w:val="2C345C98"/>
    <w:rsid w:val="2CE33F5E"/>
    <w:rsid w:val="2E2E5B5D"/>
    <w:rsid w:val="2ED651CD"/>
    <w:rsid w:val="31A71BB0"/>
    <w:rsid w:val="328947D0"/>
    <w:rsid w:val="35960D13"/>
    <w:rsid w:val="36197FA3"/>
    <w:rsid w:val="374C09A7"/>
    <w:rsid w:val="37F7C59E"/>
    <w:rsid w:val="3BBF0114"/>
    <w:rsid w:val="3CFC3141"/>
    <w:rsid w:val="3E060C40"/>
    <w:rsid w:val="3E7FA574"/>
    <w:rsid w:val="3E932215"/>
    <w:rsid w:val="3ECA05D1"/>
    <w:rsid w:val="3FB35DA1"/>
    <w:rsid w:val="407B509B"/>
    <w:rsid w:val="428471F1"/>
    <w:rsid w:val="42E27550"/>
    <w:rsid w:val="447113DB"/>
    <w:rsid w:val="49CD3B9B"/>
    <w:rsid w:val="4DED25B9"/>
    <w:rsid w:val="4DEF484E"/>
    <w:rsid w:val="4F7911BC"/>
    <w:rsid w:val="4FC96B8B"/>
    <w:rsid w:val="52D62C91"/>
    <w:rsid w:val="52E71802"/>
    <w:rsid w:val="57D91936"/>
    <w:rsid w:val="58EB1921"/>
    <w:rsid w:val="599E2CE5"/>
    <w:rsid w:val="59E43CD1"/>
    <w:rsid w:val="5A957D96"/>
    <w:rsid w:val="5B261A3F"/>
    <w:rsid w:val="5FAF7383"/>
    <w:rsid w:val="5FBB029F"/>
    <w:rsid w:val="5FFF0993"/>
    <w:rsid w:val="60015C3D"/>
    <w:rsid w:val="6065020A"/>
    <w:rsid w:val="62B4699E"/>
    <w:rsid w:val="66AF3F8D"/>
    <w:rsid w:val="68E25D18"/>
    <w:rsid w:val="690A7624"/>
    <w:rsid w:val="6A1707C7"/>
    <w:rsid w:val="6C1D408F"/>
    <w:rsid w:val="6CB26586"/>
    <w:rsid w:val="6CE23A73"/>
    <w:rsid w:val="6E62032D"/>
    <w:rsid w:val="6EE91E80"/>
    <w:rsid w:val="6F255232"/>
    <w:rsid w:val="6F93736D"/>
    <w:rsid w:val="6FEB6BDD"/>
    <w:rsid w:val="71AA5C52"/>
    <w:rsid w:val="756F31CA"/>
    <w:rsid w:val="76C76AE4"/>
    <w:rsid w:val="7720419D"/>
    <w:rsid w:val="77FB40D7"/>
    <w:rsid w:val="78372035"/>
    <w:rsid w:val="796450AB"/>
    <w:rsid w:val="7A61783D"/>
    <w:rsid w:val="7BFAE121"/>
    <w:rsid w:val="7C607F1C"/>
    <w:rsid w:val="7DD8701C"/>
    <w:rsid w:val="7E1846B6"/>
    <w:rsid w:val="7EC7EB24"/>
    <w:rsid w:val="7F4D63CD"/>
    <w:rsid w:val="7F803FA7"/>
    <w:rsid w:val="7F9A6813"/>
    <w:rsid w:val="B7F74FEE"/>
    <w:rsid w:val="CFD34693"/>
    <w:rsid w:val="DF561947"/>
    <w:rsid w:val="EBFC133C"/>
    <w:rsid w:val="FF7F6DD4"/>
    <w:rsid w:val="FF7FB708"/>
    <w:rsid w:val="FFFDE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仿宋_GB2312" w:cs="Times New Roman"/>
      <w:kern w:val="2"/>
      <w:sz w:val="30"/>
      <w:szCs w:val="24"/>
      <w:lang w:val="en-US" w:eastAsia="zh-CN" w:bidi="ar-SA"/>
    </w:rPr>
  </w:style>
  <w:style w:type="paragraph" w:styleId="2">
    <w:name w:val="heading 2"/>
    <w:basedOn w:val="1"/>
    <w:next w:val="1"/>
    <w:unhideWhenUsed/>
    <w:qFormat/>
    <w:uiPriority w:val="0"/>
    <w:pPr>
      <w:keepNext/>
      <w:keepLines/>
      <w:outlineLvl w:val="1"/>
    </w:pPr>
    <w:rPr>
      <w:rFonts w:ascii="仿宋_GB2312" w:hAnsi="仿宋_GB231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eastAsia="仿宋"/>
      <w:sz w:val="32"/>
    </w:rPr>
  </w:style>
  <w:style w:type="paragraph" w:styleId="4">
    <w:name w:val="annotation text"/>
    <w:basedOn w:val="1"/>
    <w:qFormat/>
    <w:uiPriority w:val="0"/>
    <w:pPr>
      <w:jc w:val="left"/>
    </w:pPr>
  </w:style>
  <w:style w:type="paragraph" w:styleId="5">
    <w:name w:val="Body Text"/>
    <w:basedOn w:val="1"/>
    <w:qFormat/>
    <w:uiPriority w:val="0"/>
    <w:rPr>
      <w:rFonts w:ascii="宋体" w:hAnsi="宋体" w:eastAsia="宋体" w:cs="宋体"/>
      <w:szCs w:val="32"/>
      <w:lang w:val="zh-CN" w:bidi="zh-CN"/>
    </w:rPr>
  </w:style>
  <w:style w:type="paragraph" w:styleId="6">
    <w:name w:val="Body Text Indent"/>
    <w:basedOn w:val="1"/>
    <w:next w:val="3"/>
    <w:semiHidden/>
    <w:qFormat/>
    <w:uiPriority w:val="99"/>
    <w:pPr>
      <w:spacing w:after="120"/>
      <w:ind w:left="420" w:leftChars="200"/>
    </w:pPr>
  </w:style>
  <w:style w:type="paragraph" w:styleId="7">
    <w:name w:val="Plain Text"/>
    <w:basedOn w:val="1"/>
    <w:qFormat/>
    <w:uiPriority w:val="0"/>
    <w:rPr>
      <w:rFonts w:ascii="宋体" w:hAnsi="Courier New" w:eastAsia="宋体"/>
      <w:kern w:val="0"/>
      <w:sz w:val="20"/>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Body Text First Indent"/>
    <w:basedOn w:val="5"/>
    <w:qFormat/>
    <w:uiPriority w:val="0"/>
    <w:pPr>
      <w:ind w:firstLine="420" w:firstLineChars="100"/>
    </w:pPr>
  </w:style>
  <w:style w:type="paragraph" w:styleId="11">
    <w:name w:val="Body Text First Indent 2"/>
    <w:basedOn w:val="6"/>
    <w:next w:val="10"/>
    <w:qFormat/>
    <w:uiPriority w:val="99"/>
    <w:pPr>
      <w:ind w:firstLine="420" w:firstLineChars="200"/>
    </w:pPr>
    <w:rPr>
      <w:rFonts w:ascii="Calibri" w:hAnsi="Calibri"/>
    </w:rPr>
  </w:style>
  <w:style w:type="paragraph" w:customStyle="1" w:styleId="14">
    <w:name w:val="Table Text"/>
    <w:basedOn w:val="1"/>
    <w:semiHidden/>
    <w:qFormat/>
    <w:uiPriority w:val="0"/>
    <w:rPr>
      <w:rFonts w:ascii="宋体" w:hAnsi="宋体" w:eastAsia="宋体" w:cs="宋体"/>
      <w:sz w:val="19"/>
      <w:szCs w:val="19"/>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paragraph" w:customStyle="1" w:styleId="16">
    <w:name w:val="_Style 1"/>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character" w:customStyle="1" w:styleId="17">
    <w:name w:val="font11"/>
    <w:basedOn w:val="13"/>
    <w:qFormat/>
    <w:uiPriority w:val="0"/>
    <w:rPr>
      <w:rFonts w:hint="eastAsia" w:ascii="黑体" w:hAnsi="宋体" w:eastAsia="黑体" w:cs="黑体"/>
      <w:b/>
      <w:bCs/>
      <w:color w:val="000000"/>
      <w:sz w:val="20"/>
      <w:szCs w:val="20"/>
      <w:u w:val="none"/>
    </w:rPr>
  </w:style>
  <w:style w:type="character" w:customStyle="1" w:styleId="18">
    <w:name w:val="font41"/>
    <w:basedOn w:val="13"/>
    <w:qFormat/>
    <w:uiPriority w:val="0"/>
    <w:rPr>
      <w:rFonts w:ascii="楷体_GB2312" w:eastAsia="楷体_GB2312" w:cs="楷体_GB2312"/>
      <w:b/>
      <w:bCs/>
      <w:color w:val="000000"/>
      <w:sz w:val="20"/>
      <w:szCs w:val="20"/>
      <w:u w:val="none"/>
    </w:rPr>
  </w:style>
  <w:style w:type="character" w:customStyle="1" w:styleId="19">
    <w:name w:val="font21"/>
    <w:basedOn w:val="13"/>
    <w:qFormat/>
    <w:uiPriority w:val="0"/>
    <w:rPr>
      <w:rFonts w:hint="eastAsia" w:ascii="宋体" w:hAnsi="宋体" w:eastAsia="宋体" w:cs="宋体"/>
      <w:color w:val="000000"/>
      <w:sz w:val="18"/>
      <w:szCs w:val="18"/>
      <w:u w:val="none"/>
    </w:rPr>
  </w:style>
  <w:style w:type="character" w:customStyle="1" w:styleId="20">
    <w:name w:val="font91"/>
    <w:basedOn w:val="13"/>
    <w:qFormat/>
    <w:uiPriority w:val="0"/>
    <w:rPr>
      <w:rFonts w:hint="eastAsia" w:ascii="仿宋_GB2312" w:eastAsia="仿宋_GB2312" w:cs="仿宋_GB2312"/>
      <w:color w:val="000000"/>
      <w:sz w:val="16"/>
      <w:szCs w:val="16"/>
      <w:u w:val="none"/>
    </w:rPr>
  </w:style>
  <w:style w:type="character" w:customStyle="1" w:styleId="21">
    <w:name w:val="font121"/>
    <w:basedOn w:val="13"/>
    <w:qFormat/>
    <w:uiPriority w:val="0"/>
    <w:rPr>
      <w:rFonts w:hint="default" w:ascii="Times New Roman" w:hAnsi="Times New Roman" w:cs="Times New Roman"/>
      <w:color w:val="000000"/>
      <w:sz w:val="16"/>
      <w:szCs w:val="16"/>
      <w:u w:val="none"/>
    </w:rPr>
  </w:style>
  <w:style w:type="character" w:customStyle="1" w:styleId="22">
    <w:name w:val="NormalCharacter"/>
    <w:basedOn w:val="13"/>
    <w:semiHidden/>
    <w:qFormat/>
    <w:uiPriority w:val="0"/>
    <w:rPr>
      <w:rFonts w:ascii="Calibri" w:hAnsi="Calibri"/>
      <w:kern w:val="2"/>
      <w:sz w:val="21"/>
      <w:szCs w:val="24"/>
      <w:lang w:val="en-US" w:eastAsia="zh-CN" w:bidi="ar-SA"/>
    </w:rPr>
  </w:style>
  <w:style w:type="character" w:customStyle="1" w:styleId="23">
    <w:name w:val="font31"/>
    <w:basedOn w:val="13"/>
    <w:qFormat/>
    <w:uiPriority w:val="0"/>
    <w:rPr>
      <w:rFonts w:hint="eastAsia" w:ascii="宋体" w:hAnsi="宋体" w:eastAsia="宋体" w:cs="宋体"/>
      <w:color w:val="000000"/>
      <w:sz w:val="18"/>
      <w:szCs w:val="18"/>
      <w:u w:val="none"/>
    </w:rPr>
  </w:style>
  <w:style w:type="character" w:customStyle="1" w:styleId="24">
    <w:name w:val="font51"/>
    <w:basedOn w:val="13"/>
    <w:qFormat/>
    <w:uiPriority w:val="0"/>
    <w:rPr>
      <w:rFonts w:hint="eastAsia" w:ascii="宋体" w:hAnsi="宋体" w:eastAsia="宋体" w:cs="宋体"/>
      <w:b/>
      <w:bCs/>
      <w:color w:val="000000"/>
      <w:sz w:val="18"/>
      <w:szCs w:val="18"/>
      <w:u w:val="none"/>
    </w:rPr>
  </w:style>
  <w:style w:type="character" w:customStyle="1" w:styleId="25">
    <w:name w:val="font61"/>
    <w:basedOn w:val="13"/>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1516</Words>
  <Characters>1833</Characters>
  <Lines>65</Lines>
  <Paragraphs>18</Paragraphs>
  <TotalTime>0</TotalTime>
  <ScaleCrop>false</ScaleCrop>
  <LinksUpToDate>false</LinksUpToDate>
  <CharactersWithSpaces>1837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2024-03-11T03:04:00Z</dcterms:created>
  <dc:creator>Qin</dc:creator>
  <cp:lastModifiedBy>user</cp:lastModifiedBy>
  <cp:lastPrinted>2025-03-26T17:14:00Z</cp:lastPrinted>
  <dcterms:modified xsi:type="dcterms:W3CDTF">2026-03-16T16:48:33Z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5EB837311C7D47E4AB574BE84F283849</vt:lpwstr>
  </property>
  <property fmtid="{D5CDD505-2E9C-101B-9397-08002B2CF9AE}" pid="4" name="KSOTemplateDocerSaveRecord">
    <vt:lpwstr>eyJoZGlkIjoiZWVkNzFmYmU3ZmFiNTI4YTExMTUxMzU0YWNhNmVlYWQiLCJ1c2VySWQiOiIxNTU4MDYwODYxIn0=</vt:lpwstr>
  </property>
</Properties>
</file>