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after="0" w:line="640" w:lineRule="exact"/>
        <w:jc w:val="left"/>
        <w:textAlignment w:val="baseline"/>
        <w:rPr>
          <w:rFonts w:hint="default" w:ascii="方正黑体_GBK" w:hAnsi="方正黑体_GBK" w:eastAsia="方正黑体_GBK" w:cs="方正黑体_GBK"/>
          <w:b w:val="0"/>
          <w:bCs w:val="0"/>
          <w:snapToGrid w:val="0"/>
          <w:spacing w:val="-5"/>
          <w:kern w:val="0"/>
          <w:sz w:val="32"/>
          <w:szCs w:val="32"/>
          <w:lang w:val="en-US" w:eastAsia="zh-CN"/>
        </w:rPr>
      </w:pPr>
      <w:bookmarkStart w:id="4" w:name="_GoBack"/>
      <w:bookmarkEnd w:id="4"/>
      <w:r>
        <w:rPr>
          <w:rFonts w:hint="eastAsia" w:ascii="方正黑体_GBK" w:hAnsi="方正黑体_GBK" w:eastAsia="方正黑体_GBK" w:cs="方正黑体_GBK"/>
          <w:b w:val="0"/>
          <w:bCs w:val="0"/>
          <w:snapToGrid w:val="0"/>
          <w:spacing w:val="-5"/>
          <w:kern w:val="0"/>
          <w:sz w:val="32"/>
          <w:szCs w:val="32"/>
          <w:lang w:eastAsia="zh-CN"/>
        </w:rPr>
        <w:t>附件</w:t>
      </w:r>
      <w:r>
        <w:rPr>
          <w:rFonts w:hint="eastAsia" w:ascii="方正黑体_GBK" w:hAnsi="方正黑体_GBK" w:eastAsia="方正黑体_GBK" w:cs="方正黑体_GBK"/>
          <w:b w:val="0"/>
          <w:bCs w:val="0"/>
          <w:snapToGrid w:val="0"/>
          <w:spacing w:val="-5"/>
          <w:kern w:val="0"/>
          <w:sz w:val="32"/>
          <w:szCs w:val="32"/>
          <w:lang w:val="en-US" w:eastAsia="zh-CN"/>
        </w:rPr>
        <w:t>5</w:t>
      </w:r>
    </w:p>
    <w:p>
      <w:pPr>
        <w:keepNext w:val="0"/>
        <w:keepLines w:val="0"/>
        <w:pageBreakBefore w:val="0"/>
        <w:widowControl/>
        <w:kinsoku w:val="0"/>
        <w:wordWrap/>
        <w:overflowPunct/>
        <w:topLinePunct w:val="0"/>
        <w:autoSpaceDE w:val="0"/>
        <w:autoSpaceDN w:val="0"/>
        <w:bidi w:val="0"/>
        <w:adjustRightInd w:val="0"/>
        <w:snapToGrid w:val="0"/>
        <w:spacing w:after="0" w:line="640" w:lineRule="exact"/>
        <w:jc w:val="center"/>
        <w:textAlignment w:val="baseline"/>
        <w:rPr>
          <w:rFonts w:hint="eastAsia" w:ascii="方正小标宋_GBK" w:hAnsi="方正小标宋_GBK" w:eastAsia="方正小标宋_GBK" w:cs="方正小标宋_GBK"/>
          <w:snapToGrid w:val="0"/>
          <w:spacing w:val="-5"/>
          <w:kern w:val="0"/>
          <w:sz w:val="44"/>
          <w:szCs w:val="44"/>
        </w:rPr>
      </w:pPr>
    </w:p>
    <w:p>
      <w:pPr>
        <w:keepNext w:val="0"/>
        <w:keepLines w:val="0"/>
        <w:pageBreakBefore w:val="0"/>
        <w:widowControl/>
        <w:kinsoku w:val="0"/>
        <w:wordWrap/>
        <w:overflowPunct/>
        <w:topLinePunct w:val="0"/>
        <w:autoSpaceDE w:val="0"/>
        <w:autoSpaceDN w:val="0"/>
        <w:bidi w:val="0"/>
        <w:adjustRightInd w:val="0"/>
        <w:snapToGrid w:val="0"/>
        <w:spacing w:after="0" w:line="640" w:lineRule="exact"/>
        <w:jc w:val="center"/>
        <w:textAlignment w:val="baseline"/>
        <w:rPr>
          <w:rFonts w:hint="eastAsia" w:ascii="方正小标宋_GBK" w:hAnsi="方正小标宋_GBK" w:eastAsia="方正小标宋_GBK" w:cs="方正小标宋_GBK"/>
          <w:snapToGrid w:val="0"/>
          <w:spacing w:val="-5"/>
          <w:kern w:val="0"/>
          <w:sz w:val="44"/>
          <w:szCs w:val="44"/>
        </w:r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新疆维吾尔自治区农业防灾减灾资金和</w:t>
      </w: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（动物防疫补助）转移支付2024年度</w:t>
      </w: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绩效自评报告</w:t>
      </w: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p>
    <w:p>
      <w:pPr>
        <w:spacing w:line="540" w:lineRule="exact"/>
        <w:jc w:val="center"/>
        <w:rPr>
          <w:b/>
          <w:bCs/>
          <w:kern w:val="0"/>
          <w:szCs w:val="30"/>
        </w:rPr>
      </w:pPr>
    </w:p>
    <w:p>
      <w:pPr>
        <w:spacing w:line="540" w:lineRule="exact"/>
        <w:jc w:val="center"/>
        <w:rPr>
          <w:kern w:val="0"/>
          <w:szCs w:val="30"/>
        </w:rPr>
      </w:pPr>
    </w:p>
    <w:p>
      <w:pPr>
        <w:spacing w:line="540" w:lineRule="exact"/>
        <w:jc w:val="center"/>
        <w:rPr>
          <w:kern w:val="0"/>
          <w:szCs w:val="30"/>
        </w:rPr>
      </w:pPr>
    </w:p>
    <w:p>
      <w:pPr>
        <w:pStyle w:val="13"/>
        <w:ind w:left="600" w:firstLine="600"/>
        <w:rPr>
          <w:rFonts w:ascii="Times New Roman" w:hAnsi="Times New Roman"/>
          <w:kern w:val="0"/>
          <w:szCs w:val="30"/>
        </w:rPr>
      </w:pPr>
    </w:p>
    <w:p>
      <w:pPr>
        <w:spacing w:line="540" w:lineRule="exact"/>
        <w:rPr>
          <w:kern w:val="0"/>
          <w:szCs w:val="30"/>
        </w:rPr>
      </w:pP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项目名称：</w:t>
      </w:r>
      <w:r>
        <w:rPr>
          <w:sz w:val="36"/>
          <w:szCs w:val="36"/>
        </w:rPr>
        <w:t>农业防灾减灾资金</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sz w:val="32"/>
          <w:szCs w:val="32"/>
        </w:rPr>
      </w:pPr>
      <w:r>
        <w:rPr>
          <w:b/>
          <w:bCs/>
          <w:color w:val="3F3F3F"/>
          <w:sz w:val="32"/>
        </w:rPr>
        <w:t>实施单位（公章）：</w:t>
      </w:r>
      <w:r>
        <w:rPr>
          <w:sz w:val="36"/>
          <w:szCs w:val="36"/>
        </w:rPr>
        <w:t>各地州市农业农村局</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主管部门（公章）：</w:t>
      </w:r>
      <w:r>
        <w:rPr>
          <w:kern w:val="0"/>
          <w:sz w:val="36"/>
          <w:szCs w:val="36"/>
        </w:rPr>
        <w:t>自治区农业农村厅</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项目负责人（签章）：</w:t>
      </w:r>
      <w:r>
        <w:rPr>
          <w:rFonts w:hint="eastAsia"/>
          <w:kern w:val="0"/>
          <w:sz w:val="36"/>
          <w:szCs w:val="36"/>
        </w:rPr>
        <w:t>汤义武、</w:t>
      </w:r>
      <w:r>
        <w:rPr>
          <w:kern w:val="0"/>
          <w:sz w:val="36"/>
          <w:szCs w:val="36"/>
        </w:rPr>
        <w:t>沙牙哈提·卡克木</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填报时间：</w:t>
      </w:r>
      <w:r>
        <w:rPr>
          <w:kern w:val="0"/>
          <w:sz w:val="36"/>
          <w:szCs w:val="36"/>
        </w:rPr>
        <w:t>202</w:t>
      </w:r>
      <w:r>
        <w:rPr>
          <w:rFonts w:hint="eastAsia"/>
          <w:kern w:val="0"/>
          <w:sz w:val="36"/>
          <w:szCs w:val="36"/>
        </w:rPr>
        <w:t>5</w:t>
      </w:r>
      <w:r>
        <w:rPr>
          <w:kern w:val="0"/>
          <w:sz w:val="36"/>
          <w:szCs w:val="36"/>
        </w:rPr>
        <w:t>年</w:t>
      </w:r>
      <w:r>
        <w:rPr>
          <w:rFonts w:hint="eastAsia"/>
          <w:kern w:val="0"/>
          <w:sz w:val="36"/>
          <w:szCs w:val="36"/>
        </w:rPr>
        <w:t>3</w:t>
      </w:r>
      <w:r>
        <w:rPr>
          <w:kern w:val="0"/>
          <w:sz w:val="36"/>
          <w:szCs w:val="36"/>
        </w:rPr>
        <w:t>月</w:t>
      </w:r>
      <w:r>
        <w:rPr>
          <w:kern w:val="0"/>
          <w:sz w:val="36"/>
          <w:szCs w:val="36"/>
          <w:lang w:val="en"/>
        </w:rPr>
        <w:t>10</w:t>
      </w:r>
      <w:r>
        <w:rPr>
          <w:kern w:val="0"/>
          <w:sz w:val="36"/>
          <w:szCs w:val="36"/>
        </w:rPr>
        <w:t>日</w:t>
      </w:r>
    </w:p>
    <w:p>
      <w:pPr>
        <w:keepNext w:val="0"/>
        <w:keepLines w:val="0"/>
        <w:pageBreakBefore w:val="0"/>
        <w:widowControl w:val="0"/>
        <w:kinsoku/>
        <w:wordWrap/>
        <w:overflowPunct/>
        <w:topLinePunct w:val="0"/>
        <w:autoSpaceDE/>
        <w:autoSpaceDN/>
        <w:bidi w:val="0"/>
        <w:adjustRightInd/>
        <w:snapToGrid/>
        <w:spacing w:after="0"/>
        <w:jc w:val="center"/>
        <w:textAlignment w:val="auto"/>
        <w:rPr>
          <w:b/>
          <w:sz w:val="44"/>
          <w:szCs w:val="44"/>
        </w:rPr>
        <w:sectPr>
          <w:footerReference r:id="rId5" w:type="default"/>
          <w:pgSz w:w="11906" w:h="16838"/>
          <w:pgMar w:top="1440" w:right="1800" w:bottom="1440" w:left="1800" w:header="851" w:footer="992" w:gutter="0"/>
          <w:cols w:space="720" w:num="1"/>
          <w:docGrid w:type="lines" w:linePitch="312" w:charSpace="0"/>
        </w:sect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新疆维吾尔自治区农业防灾减灾资金和</w:t>
      </w: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（动物防疫补助）转移支付2024年度</w:t>
      </w: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绩效自评报告</w:t>
      </w:r>
    </w:p>
    <w:p>
      <w:pPr>
        <w:spacing w:line="560" w:lineRule="exact"/>
        <w:ind w:firstLine="640" w:firstLineChars="200"/>
        <w:rPr>
          <w:bCs/>
          <w:sz w:val="32"/>
          <w:szCs w:val="32"/>
        </w:rPr>
      </w:pPr>
    </w:p>
    <w:p>
      <w:pPr>
        <w:spacing w:line="560" w:lineRule="exact"/>
        <w:ind w:firstLine="640" w:firstLineChars="200"/>
        <w:rPr>
          <w:bCs/>
          <w:sz w:val="32"/>
          <w:szCs w:val="32"/>
        </w:rPr>
      </w:pPr>
      <w:r>
        <w:rPr>
          <w:rFonts w:hint="eastAsia"/>
          <w:bCs/>
          <w:sz w:val="32"/>
          <w:szCs w:val="32"/>
        </w:rPr>
        <w:t>为</w:t>
      </w:r>
      <w:r>
        <w:rPr>
          <w:bCs/>
          <w:sz w:val="32"/>
          <w:szCs w:val="32"/>
        </w:rPr>
        <w:t>贯彻落实党中央全面实施预算绩效管理决策部署，根据</w:t>
      </w:r>
      <w:r>
        <w:rPr>
          <w:rFonts w:hint="eastAsia"/>
          <w:bCs/>
          <w:sz w:val="32"/>
          <w:szCs w:val="32"/>
        </w:rPr>
        <w:t>《</w:t>
      </w:r>
      <w:r>
        <w:rPr>
          <w:bCs/>
          <w:sz w:val="32"/>
          <w:szCs w:val="32"/>
        </w:rPr>
        <w:t>关于开展202</w:t>
      </w:r>
      <w:r>
        <w:rPr>
          <w:rFonts w:hint="eastAsia"/>
          <w:bCs/>
          <w:sz w:val="32"/>
          <w:szCs w:val="32"/>
        </w:rPr>
        <w:t>4</w:t>
      </w:r>
      <w:r>
        <w:rPr>
          <w:bCs/>
          <w:sz w:val="32"/>
          <w:szCs w:val="32"/>
        </w:rPr>
        <w:t>年度中央对地方转移支付预算执行情况绩效自评工作的通知》（财监〔202</w:t>
      </w:r>
      <w:r>
        <w:rPr>
          <w:rFonts w:hint="eastAsia"/>
          <w:bCs/>
          <w:sz w:val="32"/>
          <w:szCs w:val="32"/>
        </w:rPr>
        <w:t>5</w:t>
      </w:r>
      <w:r>
        <w:rPr>
          <w:bCs/>
          <w:sz w:val="32"/>
          <w:szCs w:val="32"/>
        </w:rPr>
        <w:t>〕</w:t>
      </w:r>
      <w:r>
        <w:rPr>
          <w:rFonts w:hint="eastAsia"/>
          <w:bCs/>
          <w:sz w:val="32"/>
          <w:szCs w:val="32"/>
        </w:rPr>
        <w:t>1</w:t>
      </w:r>
      <w:r>
        <w:rPr>
          <w:bCs/>
          <w:sz w:val="32"/>
          <w:szCs w:val="32"/>
        </w:rPr>
        <w:t>号），自治区农业农村厅高度重视，严格按规范要求组织开展了202</w:t>
      </w:r>
      <w:r>
        <w:rPr>
          <w:rFonts w:hint="eastAsia"/>
          <w:bCs/>
          <w:sz w:val="32"/>
          <w:szCs w:val="32"/>
        </w:rPr>
        <w:t>4</w:t>
      </w:r>
      <w:r>
        <w:rPr>
          <w:bCs/>
          <w:sz w:val="32"/>
          <w:szCs w:val="32"/>
        </w:rPr>
        <w:t>年度新疆农业防灾减灾中央补助资金绩效自评工作，现将自评情况报告如下：</w:t>
      </w:r>
    </w:p>
    <w:p>
      <w:pPr>
        <w:spacing w:line="560" w:lineRule="exact"/>
        <w:ind w:firstLine="640" w:firstLineChars="200"/>
        <w:rPr>
          <w:rFonts w:eastAsia="黑体"/>
          <w:bCs/>
          <w:sz w:val="32"/>
          <w:szCs w:val="32"/>
        </w:rPr>
      </w:pPr>
      <w:r>
        <w:rPr>
          <w:rFonts w:eastAsia="黑体"/>
          <w:bCs/>
          <w:sz w:val="32"/>
          <w:szCs w:val="32"/>
        </w:rPr>
        <w:t>一、绩效目标分解下达情况</w:t>
      </w:r>
    </w:p>
    <w:p>
      <w:pPr>
        <w:spacing w:line="560" w:lineRule="exact"/>
        <w:ind w:firstLine="642" w:firstLineChars="200"/>
        <w:outlineLvl w:val="0"/>
        <w:rPr>
          <w:rFonts w:eastAsia="楷体"/>
          <w:b/>
          <w:bCs/>
          <w:sz w:val="32"/>
          <w:szCs w:val="32"/>
        </w:rPr>
      </w:pPr>
      <w:r>
        <w:rPr>
          <w:rFonts w:eastAsia="楷体"/>
          <w:b/>
          <w:bCs/>
          <w:sz w:val="32"/>
          <w:szCs w:val="32"/>
        </w:rPr>
        <w:t>（一）中央下达农业防灾减灾专项转移支付预算和绩效目标情况</w:t>
      </w:r>
    </w:p>
    <w:p>
      <w:pPr>
        <w:spacing w:line="560" w:lineRule="exact"/>
        <w:ind w:firstLine="642" w:firstLineChars="200"/>
        <w:rPr>
          <w:b/>
          <w:bCs/>
          <w:sz w:val="32"/>
          <w:szCs w:val="32"/>
        </w:rPr>
      </w:pPr>
      <w:r>
        <w:rPr>
          <w:b/>
          <w:bCs/>
          <w:sz w:val="32"/>
          <w:szCs w:val="32"/>
        </w:rPr>
        <w:t>1、下达预算情况：</w:t>
      </w:r>
    </w:p>
    <w:p>
      <w:pPr>
        <w:pStyle w:val="13"/>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年度，财政部分批下达我区农业防灾减灾资金共计</w:t>
      </w:r>
      <w:r>
        <w:rPr>
          <w:rFonts w:hint="eastAsia" w:ascii="Times New Roman" w:hAnsi="Times New Roman"/>
          <w:sz w:val="32"/>
          <w:szCs w:val="32"/>
        </w:rPr>
        <w:t>42347</w:t>
      </w:r>
      <w:r>
        <w:rPr>
          <w:rFonts w:ascii="Times New Roman" w:hAnsi="Times New Roman"/>
          <w:sz w:val="32"/>
          <w:szCs w:val="32"/>
        </w:rPr>
        <w:t>万元，用于农业防灾减灾</w:t>
      </w:r>
      <w:r>
        <w:rPr>
          <w:rFonts w:hint="eastAsia" w:ascii="Times New Roman" w:hAnsi="Times New Roman"/>
          <w:sz w:val="32"/>
          <w:szCs w:val="32"/>
        </w:rPr>
        <w:t>13200万元和动物防疫补助29147万元</w:t>
      </w:r>
      <w:r>
        <w:rPr>
          <w:rFonts w:ascii="Times New Roman" w:hAnsi="Times New Roman"/>
          <w:sz w:val="32"/>
          <w:szCs w:val="32"/>
        </w:rPr>
        <w:t>。详细如下：</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cs="Times New Roman"/>
          <w:sz w:val="32"/>
          <w:lang w:val="en-US"/>
        </w:rPr>
        <w:t>2024年3月</w:t>
      </w:r>
      <w:r>
        <w:rPr>
          <w:rFonts w:hint="eastAsia" w:ascii="Times New Roman" w:hAnsi="Times New Roman" w:eastAsia="仿宋_GB2312" w:cs="Times New Roman"/>
          <w:sz w:val="32"/>
          <w:lang w:val="en-US" w:bidi="ar-SA"/>
        </w:rPr>
        <w:t>《财政部关于预拨2024年农业防灾减灾和水利救灾资金预算(防灾救灾第一批)的通知》（财农〔2024〕3号）下达1630万元。2024年4月《财政部关于下达2024年农业防灾减灾和水利救灾资金预算(防灾救灾第三批)的通知》（财农〔2024〕20号）下达1750万元。2024年12月财政部《关于下达2024年农业防灾减灾和水利救灾资金预算（防灾救灾第十四批）的通知》（财农〔2024〕93号）下达9820万元</w:t>
      </w:r>
      <w:r>
        <w:rPr>
          <w:rFonts w:hint="eastAsia" w:ascii="Times New Roman" w:hAnsi="Times New Roman" w:eastAsia="仿宋" w:cs="Times New Roman"/>
          <w:kern w:val="0"/>
          <w:sz w:val="32"/>
          <w:lang w:val="en-US" w:bidi="ar"/>
        </w:rPr>
        <w:t>。</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2023年11月《关于提前下达2024年中央农业防灾减灾和水利救灾资金预算(动物防疫补助)预算的通知》（财农〔2023〕88号）下达22479万元。</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2024年4月《财政部关于下达2024年农业防灾减灾和水利救灾资金（动物防疫补助）预算的通知》（财农〔2024〕14号）下达6668万元。</w:t>
      </w:r>
    </w:p>
    <w:p>
      <w:pPr>
        <w:spacing w:line="560" w:lineRule="exact"/>
        <w:ind w:firstLine="642" w:firstLineChars="200"/>
        <w:rPr>
          <w:b/>
          <w:bCs/>
          <w:sz w:val="32"/>
          <w:szCs w:val="32"/>
        </w:rPr>
      </w:pPr>
      <w:r>
        <w:rPr>
          <w:b/>
          <w:bCs/>
          <w:sz w:val="32"/>
          <w:szCs w:val="32"/>
        </w:rPr>
        <w:t>2、下达绩效目标情况：</w:t>
      </w:r>
    </w:p>
    <w:p>
      <w:pPr>
        <w:pStyle w:val="13"/>
        <w:spacing w:after="0" w:line="560" w:lineRule="exact"/>
        <w:ind w:left="0" w:leftChars="0" w:firstLine="640"/>
        <w:rPr>
          <w:rFonts w:ascii="Times New Roman" w:hAnsi="Times New Roman" w:eastAsia="宋体"/>
          <w:b/>
          <w:bCs/>
          <w:spacing w:val="-8"/>
          <w:sz w:val="23"/>
          <w:szCs w:val="23"/>
        </w:rPr>
      </w:pPr>
      <w:r>
        <w:rPr>
          <w:rFonts w:ascii="Times New Roman" w:hAnsi="Times New Roman"/>
          <w:sz w:val="32"/>
          <w:szCs w:val="32"/>
        </w:rPr>
        <w:t>财政部随文下达新疆区域绩效目标，情况详见下表</w:t>
      </w:r>
      <w:r>
        <w:rPr>
          <w:rFonts w:ascii="Times New Roman" w:hAnsi="Times New Roman"/>
          <w:color w:val="000000"/>
        </w:rPr>
        <w:t>：</w:t>
      </w:r>
    </w:p>
    <w:p>
      <w:pPr>
        <w:spacing w:before="107" w:line="209" w:lineRule="auto"/>
        <w:ind w:firstLine="1434" w:firstLineChars="700"/>
        <w:outlineLvl w:val="0"/>
        <w:rPr>
          <w:rFonts w:eastAsia="宋体"/>
          <w:sz w:val="22"/>
          <w:szCs w:val="22"/>
        </w:rPr>
      </w:pPr>
      <w:r>
        <w:rPr>
          <w:rFonts w:eastAsia="宋体"/>
          <w:b/>
          <w:bCs/>
          <w:spacing w:val="-8"/>
          <w:sz w:val="22"/>
          <w:szCs w:val="22"/>
        </w:rPr>
        <w:t>农业防灾减灾和水利救灾资金（第一批）区域绩效目标</w:t>
      </w:r>
      <w:r>
        <w:rPr>
          <w:rFonts w:hint="eastAsia" w:eastAsia="宋体"/>
          <w:b/>
          <w:bCs/>
          <w:spacing w:val="-8"/>
          <w:sz w:val="22"/>
          <w:szCs w:val="22"/>
        </w:rPr>
        <w:t>备案</w:t>
      </w:r>
      <w:r>
        <w:rPr>
          <w:rFonts w:eastAsia="宋体"/>
          <w:b/>
          <w:bCs/>
          <w:spacing w:val="-8"/>
          <w:sz w:val="22"/>
          <w:szCs w:val="22"/>
        </w:rPr>
        <w:t>表</w:t>
      </w:r>
    </w:p>
    <w:p>
      <w:pPr>
        <w:spacing w:line="219" w:lineRule="auto"/>
        <w:ind w:firstLine="3822" w:firstLineChars="1700"/>
        <w:outlineLvl w:val="0"/>
        <w:rPr>
          <w:rFonts w:eastAsia="宋体"/>
          <w:b/>
          <w:bCs/>
          <w:spacing w:val="2"/>
          <w:sz w:val="22"/>
          <w:szCs w:val="22"/>
        </w:rPr>
      </w:pPr>
      <w:r>
        <w:rPr>
          <w:rFonts w:eastAsia="宋体"/>
          <w:b/>
          <w:bCs/>
          <w:spacing w:val="2"/>
          <w:sz w:val="22"/>
          <w:szCs w:val="22"/>
        </w:rPr>
        <w:t>(202</w:t>
      </w:r>
      <w:r>
        <w:rPr>
          <w:rFonts w:hint="eastAsia" w:eastAsia="宋体"/>
          <w:b/>
          <w:bCs/>
          <w:spacing w:val="2"/>
          <w:sz w:val="22"/>
          <w:szCs w:val="22"/>
        </w:rPr>
        <w:t>4</w:t>
      </w:r>
      <w:r>
        <w:rPr>
          <w:rFonts w:eastAsia="宋体"/>
          <w:b/>
          <w:bCs/>
          <w:spacing w:val="2"/>
          <w:sz w:val="22"/>
          <w:szCs w:val="22"/>
        </w:rPr>
        <w:t>年度）</w:t>
      </w:r>
    </w:p>
    <w:tbl>
      <w:tblPr>
        <w:tblStyle w:val="17"/>
        <w:tblW w:w="9982" w:type="dxa"/>
        <w:tblInd w:w="-5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0"/>
        <w:gridCol w:w="900"/>
        <w:gridCol w:w="1818"/>
        <w:gridCol w:w="97"/>
        <w:gridCol w:w="2031"/>
        <w:gridCol w:w="1145"/>
        <w:gridCol w:w="26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4058" w:type="dxa"/>
            <w:gridSpan w:val="3"/>
            <w:vAlign w:val="center"/>
          </w:tcPr>
          <w:p>
            <w:pPr>
              <w:pStyle w:val="16"/>
              <w:spacing w:before="113" w:line="220" w:lineRule="auto"/>
              <w:jc w:val="center"/>
              <w:rPr>
                <w:rFonts w:ascii="Times New Roman" w:hAnsi="Times New Roman" w:cs="Times New Roman"/>
                <w:sz w:val="20"/>
                <w:szCs w:val="20"/>
              </w:rPr>
            </w:pPr>
            <w:r>
              <w:rPr>
                <w:rFonts w:ascii="Times New Roman" w:hAnsi="Times New Roman" w:cs="Times New Roman"/>
                <w:spacing w:val="-2"/>
                <w:sz w:val="20"/>
                <w:szCs w:val="20"/>
              </w:rPr>
              <w:t>专项名称</w:t>
            </w:r>
          </w:p>
        </w:tc>
        <w:tc>
          <w:tcPr>
            <w:tcW w:w="5924" w:type="dxa"/>
            <w:gridSpan w:val="4"/>
            <w:vAlign w:val="center"/>
          </w:tcPr>
          <w:p>
            <w:pPr>
              <w:pStyle w:val="16"/>
              <w:spacing w:before="113" w:line="219" w:lineRule="auto"/>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农业防灾减灾和水利救灾资金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4058" w:type="dxa"/>
            <w:gridSpan w:val="3"/>
            <w:vAlign w:val="center"/>
          </w:tcPr>
          <w:p>
            <w:pPr>
              <w:pStyle w:val="16"/>
              <w:spacing w:before="157" w:line="219" w:lineRule="auto"/>
              <w:jc w:val="center"/>
              <w:rPr>
                <w:rFonts w:ascii="Times New Roman" w:hAnsi="Times New Roman" w:cs="Times New Roman"/>
                <w:sz w:val="20"/>
                <w:szCs w:val="20"/>
              </w:rPr>
            </w:pPr>
            <w:r>
              <w:rPr>
                <w:rFonts w:ascii="Times New Roman" w:hAnsi="Times New Roman" w:cs="Times New Roman"/>
                <w:spacing w:val="3"/>
                <w:sz w:val="20"/>
                <w:szCs w:val="20"/>
              </w:rPr>
              <w:t>中央主管部门</w:t>
            </w:r>
          </w:p>
        </w:tc>
        <w:tc>
          <w:tcPr>
            <w:tcW w:w="2128" w:type="dxa"/>
            <w:gridSpan w:val="2"/>
            <w:vAlign w:val="center"/>
          </w:tcPr>
          <w:p>
            <w:pPr>
              <w:pStyle w:val="16"/>
              <w:spacing w:before="156" w:line="219" w:lineRule="auto"/>
              <w:jc w:val="center"/>
              <w:rPr>
                <w:rFonts w:ascii="Times New Roman" w:hAnsi="Times New Roman" w:cs="Times New Roman"/>
                <w:sz w:val="20"/>
                <w:szCs w:val="20"/>
              </w:rPr>
            </w:pPr>
            <w:r>
              <w:rPr>
                <w:rFonts w:ascii="Times New Roman" w:hAnsi="Times New Roman" w:cs="Times New Roman"/>
                <w:spacing w:val="-2"/>
                <w:sz w:val="20"/>
                <w:szCs w:val="20"/>
              </w:rPr>
              <w:t>农业农村部</w:t>
            </w:r>
          </w:p>
        </w:tc>
        <w:tc>
          <w:tcPr>
            <w:tcW w:w="1145" w:type="dxa"/>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2"/>
                <w:sz w:val="20"/>
                <w:szCs w:val="20"/>
              </w:rPr>
              <w:t>专项实施期</w:t>
            </w:r>
          </w:p>
        </w:tc>
        <w:tc>
          <w:tcPr>
            <w:tcW w:w="2651" w:type="dxa"/>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6"/>
                <w:sz w:val="20"/>
                <w:szCs w:val="20"/>
              </w:rPr>
              <w:t>长期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4058" w:type="dxa"/>
            <w:gridSpan w:val="3"/>
            <w:vAlign w:val="center"/>
          </w:tcPr>
          <w:p>
            <w:pPr>
              <w:pStyle w:val="16"/>
              <w:spacing w:before="147" w:line="219" w:lineRule="auto"/>
              <w:jc w:val="center"/>
              <w:rPr>
                <w:rFonts w:ascii="Times New Roman" w:hAnsi="Times New Roman" w:cs="Times New Roman"/>
                <w:sz w:val="20"/>
                <w:szCs w:val="20"/>
              </w:rPr>
            </w:pPr>
            <w:r>
              <w:rPr>
                <w:rFonts w:ascii="Times New Roman" w:hAnsi="Times New Roman" w:cs="Times New Roman"/>
                <w:spacing w:val="3"/>
                <w:sz w:val="20"/>
                <w:szCs w:val="20"/>
              </w:rPr>
              <w:t>省级财政部门</w:t>
            </w:r>
          </w:p>
        </w:tc>
        <w:tc>
          <w:tcPr>
            <w:tcW w:w="2128" w:type="dxa"/>
            <w:gridSpan w:val="2"/>
            <w:vAlign w:val="center"/>
          </w:tcPr>
          <w:p>
            <w:pPr>
              <w:pStyle w:val="16"/>
              <w:spacing w:before="37" w:line="210" w:lineRule="auto"/>
              <w:ind w:right="122"/>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新疆维吾尔自治区财政</w:t>
            </w:r>
            <w:r>
              <w:rPr>
                <w:rFonts w:ascii="Times New Roman" w:hAnsi="Times New Roman" w:cs="Times New Roman"/>
                <w:sz w:val="20"/>
                <w:szCs w:val="20"/>
                <w:lang w:eastAsia="zh-CN"/>
              </w:rPr>
              <w:t>厅</w:t>
            </w:r>
          </w:p>
        </w:tc>
        <w:tc>
          <w:tcPr>
            <w:tcW w:w="1145" w:type="dxa"/>
            <w:vAlign w:val="center"/>
          </w:tcPr>
          <w:p>
            <w:pPr>
              <w:pStyle w:val="16"/>
              <w:spacing w:before="147" w:line="219" w:lineRule="auto"/>
              <w:jc w:val="center"/>
              <w:rPr>
                <w:rFonts w:ascii="Times New Roman" w:hAnsi="Times New Roman" w:cs="Times New Roman"/>
                <w:sz w:val="20"/>
                <w:szCs w:val="20"/>
              </w:rPr>
            </w:pPr>
            <w:r>
              <w:rPr>
                <w:rFonts w:ascii="Times New Roman" w:hAnsi="Times New Roman" w:cs="Times New Roman"/>
                <w:spacing w:val="3"/>
                <w:sz w:val="20"/>
                <w:szCs w:val="20"/>
              </w:rPr>
              <w:t>省级主管部门</w:t>
            </w:r>
          </w:p>
        </w:tc>
        <w:tc>
          <w:tcPr>
            <w:tcW w:w="2651" w:type="dxa"/>
            <w:vAlign w:val="center"/>
          </w:tcPr>
          <w:p>
            <w:pPr>
              <w:pStyle w:val="16"/>
              <w:spacing w:before="27" w:line="215" w:lineRule="auto"/>
              <w:ind w:left="518" w:right="53" w:hanging="470"/>
              <w:jc w:val="center"/>
              <w:rPr>
                <w:rFonts w:ascii="Times New Roman" w:hAnsi="Times New Roman" w:cs="Times New Roman"/>
                <w:spacing w:val="-1"/>
                <w:sz w:val="20"/>
                <w:szCs w:val="20"/>
                <w:lang w:eastAsia="zh-CN"/>
              </w:rPr>
            </w:pPr>
            <w:r>
              <w:rPr>
                <w:rFonts w:ascii="Times New Roman" w:hAnsi="Times New Roman" w:cs="Times New Roman"/>
                <w:spacing w:val="-1"/>
                <w:sz w:val="20"/>
                <w:szCs w:val="20"/>
                <w:lang w:eastAsia="zh-CN"/>
              </w:rPr>
              <w:t>新疆维吾尔自治区</w:t>
            </w:r>
          </w:p>
          <w:p>
            <w:pPr>
              <w:pStyle w:val="16"/>
              <w:spacing w:before="27" w:line="215" w:lineRule="auto"/>
              <w:ind w:left="518" w:right="53" w:hanging="470"/>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w:t>
            </w:r>
            <w:r>
              <w:rPr>
                <w:rFonts w:ascii="Times New Roman" w:hAnsi="Times New Roman" w:cs="Times New Roman"/>
                <w:spacing w:val="-2"/>
                <w:sz w:val="20"/>
                <w:szCs w:val="20"/>
                <w:lang w:eastAsia="zh-CN"/>
              </w:rPr>
              <w:t>业农村厅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40" w:type="dxa"/>
            <w:vMerge w:val="restart"/>
            <w:tcBorders>
              <w:bottom w:val="nil"/>
            </w:tcBorders>
            <w:vAlign w:val="center"/>
          </w:tcPr>
          <w:p>
            <w:pPr>
              <w:spacing w:line="255" w:lineRule="auto"/>
              <w:jc w:val="center"/>
              <w:rPr>
                <w:sz w:val="20"/>
                <w:szCs w:val="20"/>
              </w:rPr>
            </w:pPr>
          </w:p>
          <w:p>
            <w:pPr>
              <w:pStyle w:val="16"/>
              <w:spacing w:before="62" w:line="269" w:lineRule="exact"/>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资金情况</w:t>
            </w:r>
          </w:p>
        </w:tc>
        <w:tc>
          <w:tcPr>
            <w:tcW w:w="2718" w:type="dxa"/>
            <w:gridSpan w:val="2"/>
            <w:vAlign w:val="center"/>
          </w:tcPr>
          <w:p>
            <w:pPr>
              <w:pStyle w:val="16"/>
              <w:spacing w:before="157" w:line="219" w:lineRule="auto"/>
              <w:ind w:left="11"/>
              <w:jc w:val="center"/>
              <w:rPr>
                <w:rFonts w:ascii="Times New Roman" w:hAnsi="Times New Roman" w:cs="Times New Roman"/>
                <w:sz w:val="20"/>
                <w:szCs w:val="20"/>
              </w:rPr>
            </w:pPr>
            <w:r>
              <w:rPr>
                <w:rFonts w:ascii="Times New Roman" w:hAnsi="Times New Roman" w:cs="Times New Roman"/>
                <w:spacing w:val="-1"/>
                <w:sz w:val="20"/>
                <w:szCs w:val="20"/>
              </w:rPr>
              <w:t>年度金额：</w:t>
            </w:r>
          </w:p>
        </w:tc>
        <w:tc>
          <w:tcPr>
            <w:tcW w:w="5924" w:type="dxa"/>
            <w:gridSpan w:val="4"/>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1"/>
                <w:sz w:val="20"/>
                <w:szCs w:val="20"/>
              </w:rPr>
              <w:t>1</w:t>
            </w:r>
            <w:r>
              <w:rPr>
                <w:rFonts w:hint="eastAsia" w:ascii="Times New Roman" w:hAnsi="Times New Roman" w:cs="Times New Roman"/>
                <w:spacing w:val="1"/>
                <w:sz w:val="20"/>
                <w:szCs w:val="20"/>
                <w:lang w:eastAsia="zh-CN"/>
              </w:rPr>
              <w:t>6</w:t>
            </w:r>
            <w:r>
              <w:rPr>
                <w:rFonts w:ascii="Times New Roman" w:hAnsi="Times New Roman" w:cs="Times New Roman"/>
                <w:spacing w:val="1"/>
                <w:sz w:val="20"/>
                <w:szCs w:val="20"/>
              </w:rPr>
              <w:t>30万元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340" w:type="dxa"/>
            <w:vMerge w:val="continue"/>
            <w:tcBorders>
              <w:top w:val="nil"/>
              <w:bottom w:val="nil"/>
            </w:tcBorders>
            <w:vAlign w:val="center"/>
          </w:tcPr>
          <w:p>
            <w:pPr>
              <w:jc w:val="center"/>
              <w:rPr>
                <w:sz w:val="20"/>
                <w:szCs w:val="20"/>
              </w:rPr>
            </w:pPr>
          </w:p>
        </w:tc>
        <w:tc>
          <w:tcPr>
            <w:tcW w:w="2718" w:type="dxa"/>
            <w:gridSpan w:val="2"/>
            <w:vAlign w:val="center"/>
          </w:tcPr>
          <w:p>
            <w:pPr>
              <w:pStyle w:val="16"/>
              <w:spacing w:before="168" w:line="220" w:lineRule="auto"/>
              <w:jc w:val="center"/>
              <w:rPr>
                <w:rFonts w:ascii="Times New Roman" w:hAnsi="Times New Roman" w:cs="Times New Roman"/>
                <w:sz w:val="20"/>
                <w:szCs w:val="20"/>
              </w:rPr>
            </w:pPr>
            <w:r>
              <w:rPr>
                <w:rFonts w:ascii="Times New Roman" w:hAnsi="Times New Roman" w:cs="Times New Roman"/>
                <w:spacing w:val="1"/>
                <w:sz w:val="20"/>
                <w:szCs w:val="20"/>
              </w:rPr>
              <w:t>其中：中央补助</w:t>
            </w:r>
          </w:p>
        </w:tc>
        <w:tc>
          <w:tcPr>
            <w:tcW w:w="5924" w:type="dxa"/>
            <w:gridSpan w:val="4"/>
            <w:vAlign w:val="center"/>
          </w:tcPr>
          <w:p>
            <w:pPr>
              <w:pStyle w:val="16"/>
              <w:spacing w:before="168" w:line="220" w:lineRule="auto"/>
              <w:jc w:val="center"/>
              <w:rPr>
                <w:rFonts w:ascii="Times New Roman" w:hAnsi="Times New Roman" w:cs="Times New Roman"/>
                <w:sz w:val="20"/>
                <w:szCs w:val="20"/>
              </w:rPr>
            </w:pPr>
            <w:r>
              <w:rPr>
                <w:rFonts w:ascii="Times New Roman" w:hAnsi="Times New Roman" w:cs="Times New Roman"/>
                <w:spacing w:val="1"/>
                <w:sz w:val="20"/>
                <w:szCs w:val="20"/>
              </w:rPr>
              <w:t>1</w:t>
            </w:r>
            <w:r>
              <w:rPr>
                <w:rFonts w:hint="eastAsia" w:ascii="Times New Roman" w:hAnsi="Times New Roman" w:cs="Times New Roman"/>
                <w:spacing w:val="1"/>
                <w:sz w:val="20"/>
                <w:szCs w:val="20"/>
                <w:lang w:eastAsia="zh-CN"/>
              </w:rPr>
              <w:t>6</w:t>
            </w:r>
            <w:r>
              <w:rPr>
                <w:rFonts w:ascii="Times New Roman" w:hAnsi="Times New Roman" w:cs="Times New Roman"/>
                <w:spacing w:val="1"/>
                <w:sz w:val="20"/>
                <w:szCs w:val="20"/>
              </w:rPr>
              <w:t>30万元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40" w:type="dxa"/>
            <w:vMerge w:val="continue"/>
            <w:tcBorders>
              <w:top w:val="nil"/>
            </w:tcBorders>
            <w:vAlign w:val="center"/>
          </w:tcPr>
          <w:p>
            <w:pPr>
              <w:jc w:val="center"/>
              <w:rPr>
                <w:sz w:val="20"/>
                <w:szCs w:val="20"/>
              </w:rPr>
            </w:pPr>
          </w:p>
        </w:tc>
        <w:tc>
          <w:tcPr>
            <w:tcW w:w="2718" w:type="dxa"/>
            <w:gridSpan w:val="2"/>
            <w:vAlign w:val="center"/>
          </w:tcPr>
          <w:p>
            <w:pPr>
              <w:pStyle w:val="16"/>
              <w:spacing w:before="158" w:line="221" w:lineRule="auto"/>
              <w:jc w:val="center"/>
              <w:rPr>
                <w:rFonts w:ascii="Times New Roman" w:hAnsi="Times New Roman" w:cs="Times New Roman"/>
                <w:sz w:val="20"/>
                <w:szCs w:val="20"/>
              </w:rPr>
            </w:pPr>
            <w:r>
              <w:rPr>
                <w:rFonts w:ascii="Times New Roman" w:hAnsi="Times New Roman" w:cs="Times New Roman"/>
                <w:spacing w:val="-2"/>
                <w:sz w:val="20"/>
                <w:szCs w:val="20"/>
              </w:rPr>
              <w:t>地方资金</w:t>
            </w:r>
          </w:p>
        </w:tc>
        <w:tc>
          <w:tcPr>
            <w:tcW w:w="5924" w:type="dxa"/>
            <w:gridSpan w:val="4"/>
            <w:vAlign w:val="center"/>
          </w:tcPr>
          <w:p>
            <w:pPr>
              <w:jc w:val="center"/>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340" w:type="dxa"/>
            <w:vAlign w:val="center"/>
          </w:tcPr>
          <w:p>
            <w:pPr>
              <w:pStyle w:val="16"/>
              <w:spacing w:before="299" w:line="216" w:lineRule="auto"/>
              <w:jc w:val="center"/>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pacing w:val="-38"/>
                <w:sz w:val="20"/>
                <w:szCs w:val="20"/>
              </w:rPr>
              <w:t xml:space="preserve"> </w:t>
            </w:r>
            <w:r>
              <w:rPr>
                <w:rFonts w:ascii="Times New Roman" w:hAnsi="Times New Roman" w:cs="Times New Roman"/>
                <w:sz w:val="20"/>
                <w:szCs w:val="20"/>
              </w:rPr>
              <w:t>度</w:t>
            </w:r>
            <w:r>
              <w:rPr>
                <w:rFonts w:ascii="Times New Roman" w:hAnsi="Times New Roman" w:cs="Times New Roman"/>
                <w:spacing w:val="-38"/>
                <w:sz w:val="20"/>
                <w:szCs w:val="20"/>
              </w:rPr>
              <w:t xml:space="preserve"> </w:t>
            </w:r>
            <w:r>
              <w:rPr>
                <w:rFonts w:ascii="Times New Roman" w:hAnsi="Times New Roman" w:cs="Times New Roman"/>
                <w:sz w:val="20"/>
                <w:szCs w:val="20"/>
              </w:rPr>
              <w:t>目</w:t>
            </w:r>
            <w:r>
              <w:rPr>
                <w:rFonts w:ascii="Times New Roman" w:hAnsi="Times New Roman" w:cs="Times New Roman"/>
                <w:spacing w:val="-38"/>
                <w:sz w:val="20"/>
                <w:szCs w:val="20"/>
              </w:rPr>
              <w:t xml:space="preserve"> </w:t>
            </w:r>
            <w:r>
              <w:rPr>
                <w:rFonts w:ascii="Times New Roman" w:hAnsi="Times New Roman" w:cs="Times New Roman"/>
                <w:sz w:val="20"/>
                <w:szCs w:val="20"/>
              </w:rPr>
              <w:t>标</w:t>
            </w:r>
          </w:p>
        </w:tc>
        <w:tc>
          <w:tcPr>
            <w:tcW w:w="8642" w:type="dxa"/>
            <w:gridSpan w:val="6"/>
          </w:tcPr>
          <w:p>
            <w:pPr>
              <w:pStyle w:val="16"/>
              <w:spacing w:before="187" w:line="232" w:lineRule="auto"/>
              <w:ind w:right="43"/>
              <w:rPr>
                <w:rFonts w:ascii="Times New Roman" w:hAnsi="Times New Roman" w:cs="Times New Roman"/>
                <w:sz w:val="20"/>
                <w:szCs w:val="20"/>
                <w:lang w:eastAsia="zh-CN"/>
              </w:rPr>
            </w:pPr>
            <w:r>
              <w:rPr>
                <w:rFonts w:hint="eastAsia" w:ascii="Times New Roman" w:hAnsi="Times New Roman" w:cs="Times New Roman"/>
                <w:sz w:val="20"/>
                <w:szCs w:val="20"/>
                <w:lang w:eastAsia="zh-CN"/>
              </w:rPr>
              <w:t>通过使用救灾资金，减少灾害损失，确保农业生产稳定。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340" w:type="dxa"/>
            <w:vMerge w:val="restart"/>
            <w:tcBorders>
              <w:bottom w:val="nil"/>
            </w:tcBorders>
            <w:vAlign w:val="center"/>
          </w:tcPr>
          <w:p>
            <w:pPr>
              <w:pStyle w:val="16"/>
              <w:spacing w:before="298" w:line="217" w:lineRule="auto"/>
              <w:jc w:val="center"/>
              <w:rPr>
                <w:rFonts w:ascii="Times New Roman" w:hAnsi="Times New Roman" w:cs="Times New Roman"/>
                <w:sz w:val="20"/>
                <w:szCs w:val="20"/>
              </w:rPr>
            </w:pPr>
            <w:r>
              <w:rPr>
                <w:rFonts w:ascii="Times New Roman" w:hAnsi="Times New Roman" w:cs="Times New Roman"/>
                <w:sz w:val="20"/>
                <w:szCs w:val="20"/>
              </w:rPr>
              <w:t>绩效指标</w:t>
            </w:r>
          </w:p>
        </w:tc>
        <w:tc>
          <w:tcPr>
            <w:tcW w:w="900" w:type="dxa"/>
            <w:vAlign w:val="center"/>
          </w:tcPr>
          <w:p>
            <w:pPr>
              <w:pStyle w:val="16"/>
              <w:spacing w:before="210" w:line="193"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一级指标</w:t>
            </w:r>
          </w:p>
        </w:tc>
        <w:tc>
          <w:tcPr>
            <w:tcW w:w="1915"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二级指标</w:t>
            </w:r>
          </w:p>
        </w:tc>
        <w:tc>
          <w:tcPr>
            <w:tcW w:w="3176"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三级指标</w:t>
            </w:r>
          </w:p>
        </w:tc>
        <w:tc>
          <w:tcPr>
            <w:tcW w:w="2651" w:type="dxa"/>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3"/>
                <w:sz w:val="20"/>
                <w:szCs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restart"/>
            <w:tcBorders>
              <w:bottom w:val="nil"/>
            </w:tcBorders>
            <w:vAlign w:val="center"/>
          </w:tcPr>
          <w:p>
            <w:pPr>
              <w:spacing w:line="285" w:lineRule="auto"/>
              <w:jc w:val="center"/>
              <w:rPr>
                <w:rFonts w:eastAsia="宋体"/>
                <w:spacing w:val="-2"/>
                <w:sz w:val="20"/>
                <w:szCs w:val="20"/>
              </w:rPr>
            </w:pPr>
            <w:r>
              <w:rPr>
                <w:rFonts w:hint="eastAsia" w:eastAsia="宋体"/>
                <w:spacing w:val="-2"/>
                <w:sz w:val="20"/>
                <w:szCs w:val="20"/>
              </w:rPr>
              <w:t>产出指标</w:t>
            </w:r>
          </w:p>
          <w:p>
            <w:pPr>
              <w:pStyle w:val="16"/>
              <w:spacing w:before="64" w:line="216" w:lineRule="auto"/>
              <w:ind w:left="1242"/>
              <w:jc w:val="center"/>
              <w:rPr>
                <w:rFonts w:ascii="Times New Roman" w:hAnsi="Times New Roman" w:cs="Times New Roman"/>
                <w:sz w:val="20"/>
                <w:szCs w:val="20"/>
              </w:rPr>
            </w:pPr>
          </w:p>
        </w:tc>
        <w:tc>
          <w:tcPr>
            <w:tcW w:w="1915" w:type="dxa"/>
            <w:gridSpan w:val="2"/>
            <w:vMerge w:val="restart"/>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2"/>
                <w:sz w:val="20"/>
                <w:szCs w:val="20"/>
              </w:rPr>
              <w:t>数量指标</w:t>
            </w: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支持灾后设施恢复和农作物恢复生长</w:t>
            </w:r>
          </w:p>
        </w:tc>
        <w:tc>
          <w:tcPr>
            <w:tcW w:w="2651" w:type="dxa"/>
            <w:vAlign w:val="center"/>
          </w:tcPr>
          <w:p>
            <w:pPr>
              <w:pStyle w:val="16"/>
              <w:spacing w:before="62" w:line="219" w:lineRule="auto"/>
              <w:jc w:val="center"/>
              <w:rPr>
                <w:rFonts w:ascii="Times New Roman" w:hAnsi="Times New Roman" w:cs="Times New Roman"/>
                <w:sz w:val="20"/>
                <w:szCs w:val="20"/>
              </w:rPr>
            </w:pPr>
            <w:r>
              <w:rPr>
                <w:rFonts w:hint="eastAsia" w:ascii="Times New Roman" w:hAnsi="Times New Roman" w:cs="Times New Roman"/>
                <w:spacing w:val="-4"/>
                <w:sz w:val="20"/>
                <w:szCs w:val="20"/>
                <w:lang w:eastAsia="zh-CN"/>
              </w:rPr>
              <w:t>≥</w:t>
            </w:r>
            <w:r>
              <w:rPr>
                <w:rFonts w:hint="eastAsia"/>
                <w:spacing w:val="-4"/>
                <w:sz w:val="20"/>
                <w:szCs w:val="20"/>
                <w:lang w:eastAsia="zh-CN"/>
              </w:rPr>
              <w:t>**</w:t>
            </w:r>
            <w:r>
              <w:rPr>
                <w:rFonts w:ascii="Times New Roman" w:hAnsi="Times New Roman" w:cs="Times New Roman"/>
                <w:spacing w:val="-4"/>
                <w:sz w:val="20"/>
                <w:szCs w:val="20"/>
              </w:rPr>
              <w:t>万亩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vAlign w:val="center"/>
          </w:tcPr>
          <w:p>
            <w:pPr>
              <w:pStyle w:val="16"/>
              <w:spacing w:before="64" w:line="216" w:lineRule="auto"/>
              <w:ind w:left="1242"/>
              <w:jc w:val="center"/>
              <w:rPr>
                <w:rFonts w:ascii="Times New Roman" w:hAnsi="Times New Roman" w:cs="Times New Roman"/>
                <w:sz w:val="20"/>
                <w:szCs w:val="20"/>
              </w:rPr>
            </w:pPr>
          </w:p>
        </w:tc>
        <w:tc>
          <w:tcPr>
            <w:tcW w:w="1915" w:type="dxa"/>
            <w:gridSpan w:val="2"/>
            <w:vMerge w:val="continue"/>
            <w:vAlign w:val="center"/>
          </w:tcPr>
          <w:p>
            <w:pPr>
              <w:pStyle w:val="16"/>
              <w:spacing w:before="62" w:line="219" w:lineRule="auto"/>
              <w:jc w:val="center"/>
              <w:rPr>
                <w:rFonts w:ascii="Times New Roman" w:hAnsi="Times New Roman" w:cs="Times New Roman"/>
                <w:spacing w:val="-2"/>
                <w:sz w:val="20"/>
                <w:szCs w:val="20"/>
              </w:rPr>
            </w:pPr>
          </w:p>
        </w:tc>
        <w:tc>
          <w:tcPr>
            <w:tcW w:w="3176" w:type="dxa"/>
            <w:gridSpan w:val="2"/>
            <w:vAlign w:val="center"/>
          </w:tcPr>
          <w:p>
            <w:pPr>
              <w:pStyle w:val="16"/>
              <w:spacing w:before="61" w:line="220" w:lineRule="auto"/>
              <w:jc w:val="center"/>
              <w:rPr>
                <w:rFonts w:ascii="Times New Roman" w:hAnsi="Times New Roman" w:cs="Times New Roman"/>
                <w:spacing w:val="1"/>
                <w:sz w:val="20"/>
                <w:szCs w:val="20"/>
                <w:lang w:eastAsia="zh-CN"/>
              </w:rPr>
            </w:pPr>
            <w:r>
              <w:rPr>
                <w:rFonts w:hint="eastAsia" w:ascii="Times New Roman" w:hAnsi="Times New Roman" w:cs="Times New Roman"/>
                <w:spacing w:val="1"/>
                <w:sz w:val="20"/>
                <w:szCs w:val="20"/>
                <w:lang w:eastAsia="zh-CN"/>
              </w:rPr>
              <w:t>修复畜禽养殖圈舍</w:t>
            </w:r>
          </w:p>
        </w:tc>
        <w:tc>
          <w:tcPr>
            <w:tcW w:w="2651" w:type="dxa"/>
            <w:vAlign w:val="center"/>
          </w:tcPr>
          <w:p>
            <w:pPr>
              <w:pStyle w:val="16"/>
              <w:spacing w:before="62" w:line="219" w:lineRule="auto"/>
              <w:jc w:val="center"/>
              <w:rPr>
                <w:rFonts w:ascii="Times New Roman" w:hAnsi="Times New Roman" w:cs="Times New Roman"/>
                <w:spacing w:val="-4"/>
                <w:sz w:val="20"/>
                <w:szCs w:val="20"/>
                <w:lang w:eastAsia="zh-CN"/>
              </w:rPr>
            </w:pPr>
            <w:r>
              <w:rPr>
                <w:rFonts w:hint="eastAsia" w:ascii="Times New Roman" w:hAnsi="Times New Roman" w:cs="Times New Roman"/>
                <w:spacing w:val="-4"/>
                <w:sz w:val="20"/>
                <w:szCs w:val="20"/>
                <w:lang w:eastAsia="zh-CN"/>
              </w:rPr>
              <w:t>≥</w:t>
            </w:r>
            <w:r>
              <w:rPr>
                <w:rFonts w:hint="eastAsia"/>
                <w:spacing w:val="-4"/>
                <w:sz w:val="20"/>
                <w:szCs w:val="20"/>
                <w:lang w:eastAsia="zh-CN"/>
              </w:rPr>
              <w:t>**平方米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vAlign w:val="center"/>
          </w:tcPr>
          <w:p>
            <w:pPr>
              <w:pStyle w:val="16"/>
              <w:spacing w:before="64" w:line="216" w:lineRule="auto"/>
              <w:ind w:left="1242"/>
              <w:jc w:val="center"/>
              <w:rPr>
                <w:rFonts w:ascii="Times New Roman" w:hAnsi="Times New Roman" w:cs="Times New Roman"/>
                <w:sz w:val="20"/>
                <w:szCs w:val="20"/>
              </w:rPr>
            </w:pPr>
          </w:p>
        </w:tc>
        <w:tc>
          <w:tcPr>
            <w:tcW w:w="1915" w:type="dxa"/>
            <w:gridSpan w:val="2"/>
            <w:vMerge w:val="continue"/>
            <w:vAlign w:val="center"/>
          </w:tcPr>
          <w:p>
            <w:pPr>
              <w:pStyle w:val="16"/>
              <w:spacing w:before="62" w:line="219" w:lineRule="auto"/>
              <w:jc w:val="center"/>
              <w:rPr>
                <w:rFonts w:ascii="Times New Roman" w:hAnsi="Times New Roman" w:cs="Times New Roman"/>
                <w:spacing w:val="-2"/>
                <w:sz w:val="20"/>
                <w:szCs w:val="20"/>
              </w:rPr>
            </w:pPr>
          </w:p>
        </w:tc>
        <w:tc>
          <w:tcPr>
            <w:tcW w:w="3176" w:type="dxa"/>
            <w:gridSpan w:val="2"/>
            <w:vAlign w:val="center"/>
          </w:tcPr>
          <w:p>
            <w:pPr>
              <w:pStyle w:val="16"/>
              <w:spacing w:before="61" w:line="220" w:lineRule="auto"/>
              <w:jc w:val="center"/>
              <w:rPr>
                <w:rFonts w:ascii="Times New Roman" w:hAnsi="Times New Roman" w:cs="Times New Roman"/>
                <w:spacing w:val="1"/>
                <w:sz w:val="20"/>
                <w:szCs w:val="20"/>
                <w:lang w:eastAsia="zh-CN"/>
              </w:rPr>
            </w:pPr>
            <w:r>
              <w:rPr>
                <w:rFonts w:hint="eastAsia" w:ascii="Times New Roman" w:hAnsi="Times New Roman" w:cs="Times New Roman"/>
                <w:spacing w:val="1"/>
                <w:sz w:val="20"/>
                <w:szCs w:val="20"/>
                <w:lang w:eastAsia="zh-CN"/>
              </w:rPr>
              <w:t>购买投放鱼苗</w:t>
            </w:r>
          </w:p>
        </w:tc>
        <w:tc>
          <w:tcPr>
            <w:tcW w:w="2651" w:type="dxa"/>
            <w:vAlign w:val="center"/>
          </w:tcPr>
          <w:p>
            <w:pPr>
              <w:pStyle w:val="16"/>
              <w:spacing w:before="62" w:line="219" w:lineRule="auto"/>
              <w:jc w:val="center"/>
              <w:rPr>
                <w:rFonts w:ascii="Times New Roman" w:hAnsi="Times New Roman" w:cs="Times New Roman"/>
                <w:spacing w:val="-4"/>
                <w:sz w:val="20"/>
                <w:szCs w:val="20"/>
              </w:rPr>
            </w:pPr>
            <w:r>
              <w:rPr>
                <w:rFonts w:hint="eastAsia" w:ascii="Times New Roman" w:hAnsi="Times New Roman" w:cs="Times New Roman"/>
                <w:spacing w:val="-4"/>
                <w:sz w:val="20"/>
                <w:szCs w:val="20"/>
                <w:lang w:eastAsia="zh-CN"/>
              </w:rPr>
              <w:t>≥</w:t>
            </w:r>
            <w:r>
              <w:rPr>
                <w:rFonts w:hint="eastAsia"/>
                <w:spacing w:val="-4"/>
                <w:sz w:val="20"/>
                <w:szCs w:val="20"/>
                <w:lang w:eastAsia="zh-CN"/>
              </w:rPr>
              <w:t>**万尾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tcBorders>
              <w:top w:val="nil"/>
              <w:bottom w:val="nil"/>
            </w:tcBorders>
            <w:textDirection w:val="tbRlV"/>
            <w:vAlign w:val="center"/>
          </w:tcPr>
          <w:p>
            <w:pPr>
              <w:jc w:val="center"/>
              <w:rPr>
                <w:sz w:val="20"/>
                <w:szCs w:val="20"/>
              </w:rPr>
            </w:pPr>
          </w:p>
        </w:tc>
        <w:tc>
          <w:tcPr>
            <w:tcW w:w="1915" w:type="dxa"/>
            <w:gridSpan w:val="2"/>
            <w:tcBorders>
              <w:bottom w:val="nil"/>
            </w:tcBorders>
            <w:vAlign w:val="center"/>
          </w:tcPr>
          <w:p>
            <w:pPr>
              <w:pStyle w:val="16"/>
              <w:spacing w:before="62" w:line="220" w:lineRule="auto"/>
              <w:jc w:val="center"/>
              <w:rPr>
                <w:rFonts w:ascii="Times New Roman" w:hAnsi="Times New Roman" w:cs="Times New Roman"/>
                <w:sz w:val="20"/>
                <w:szCs w:val="20"/>
              </w:rPr>
            </w:pPr>
            <w:r>
              <w:rPr>
                <w:rFonts w:ascii="Times New Roman" w:hAnsi="Times New Roman" w:cs="Times New Roman"/>
                <w:spacing w:val="-2"/>
                <w:sz w:val="20"/>
                <w:szCs w:val="20"/>
              </w:rPr>
              <w:t>质量指标</w:t>
            </w: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pacing w:val="2"/>
                <w:sz w:val="20"/>
                <w:szCs w:val="20"/>
                <w:lang w:eastAsia="zh-CN"/>
              </w:rPr>
              <w:t>用于农业生产防灾减灾救灾相关支出比例</w:t>
            </w:r>
          </w:p>
        </w:tc>
        <w:tc>
          <w:tcPr>
            <w:tcW w:w="2651" w:type="dxa"/>
            <w:vAlign w:val="center"/>
          </w:tcPr>
          <w:p>
            <w:pPr>
              <w:pStyle w:val="16"/>
              <w:spacing w:before="220" w:line="218" w:lineRule="auto"/>
              <w:ind w:right="53"/>
              <w:jc w:val="center"/>
              <w:rPr>
                <w:rFonts w:ascii="Times New Roman" w:hAnsi="Times New Roman" w:cs="Times New Roman"/>
                <w:sz w:val="20"/>
                <w:szCs w:val="20"/>
              </w:rPr>
            </w:pPr>
            <w:r>
              <w:rPr>
                <w:rFonts w:hint="eastAsia" w:ascii="Times New Roman" w:hAnsi="Times New Roman" w:cs="Times New Roman"/>
                <w:spacing w:val="-4"/>
                <w:sz w:val="20"/>
                <w:szCs w:val="20"/>
                <w:lang w:eastAsia="zh-CN"/>
              </w:rPr>
              <w:t>≥</w:t>
            </w:r>
            <w:r>
              <w:rPr>
                <w:rFonts w:hint="eastAsia"/>
                <w:spacing w:val="-4"/>
                <w:sz w:val="20"/>
                <w:szCs w:val="20"/>
                <w:lang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tcBorders>
              <w:top w:val="nil"/>
            </w:tcBorders>
            <w:textDirection w:val="tbRlV"/>
            <w:vAlign w:val="center"/>
          </w:tcPr>
          <w:p>
            <w:pPr>
              <w:jc w:val="center"/>
              <w:rPr>
                <w:sz w:val="20"/>
                <w:szCs w:val="20"/>
              </w:rPr>
            </w:pPr>
          </w:p>
        </w:tc>
        <w:tc>
          <w:tcPr>
            <w:tcW w:w="1915"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1"/>
                <w:sz w:val="20"/>
                <w:szCs w:val="20"/>
              </w:rPr>
              <w:t>时效指标</w:t>
            </w: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pacing w:val="-1"/>
                <w:sz w:val="20"/>
                <w:szCs w:val="20"/>
                <w:lang w:eastAsia="zh-CN"/>
              </w:rPr>
              <w:t>救灾资金下达省6个月内预算执行率</w:t>
            </w:r>
          </w:p>
        </w:tc>
        <w:tc>
          <w:tcPr>
            <w:tcW w:w="2651" w:type="dxa"/>
            <w:vAlign w:val="center"/>
          </w:tcPr>
          <w:p>
            <w:pPr>
              <w:pStyle w:val="16"/>
              <w:spacing w:before="202" w:line="222" w:lineRule="auto"/>
              <w:ind w:right="51"/>
              <w:jc w:val="center"/>
              <w:rPr>
                <w:rFonts w:ascii="Times New Roman" w:hAnsi="Times New Roman" w:cs="Times New Roman"/>
                <w:sz w:val="20"/>
                <w:szCs w:val="20"/>
              </w:rPr>
            </w:pPr>
            <w:r>
              <w:rPr>
                <w:rFonts w:hint="eastAsia" w:ascii="Times New Roman" w:hAnsi="Times New Roman" w:cs="Times New Roman"/>
                <w:spacing w:val="-4"/>
                <w:sz w:val="20"/>
                <w:szCs w:val="20"/>
                <w:lang w:eastAsia="zh-CN"/>
              </w:rPr>
              <w:t>≥</w:t>
            </w:r>
            <w:r>
              <w:rPr>
                <w:rFonts w:hint="eastAsia"/>
                <w:spacing w:val="-4"/>
                <w:sz w:val="20"/>
                <w:szCs w:val="20"/>
                <w:lang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tcBorders>
              <w:top w:val="nil"/>
            </w:tcBorders>
            <w:textDirection w:val="tbRlV"/>
            <w:vAlign w:val="center"/>
          </w:tcPr>
          <w:p>
            <w:pPr>
              <w:jc w:val="center"/>
              <w:rPr>
                <w:sz w:val="20"/>
                <w:szCs w:val="20"/>
              </w:rPr>
            </w:pPr>
          </w:p>
        </w:tc>
        <w:tc>
          <w:tcPr>
            <w:tcW w:w="1915" w:type="dxa"/>
            <w:gridSpan w:val="2"/>
            <w:vAlign w:val="center"/>
          </w:tcPr>
          <w:p>
            <w:pPr>
              <w:pStyle w:val="16"/>
              <w:spacing w:before="61" w:line="219" w:lineRule="auto"/>
              <w:jc w:val="center"/>
              <w:rPr>
                <w:rFonts w:ascii="Times New Roman" w:hAnsi="Times New Roman" w:cs="Times New Roman"/>
                <w:sz w:val="20"/>
                <w:szCs w:val="20"/>
              </w:rPr>
            </w:pPr>
            <w:r>
              <w:rPr>
                <w:rFonts w:ascii="Times New Roman" w:hAnsi="Times New Roman" w:cs="Times New Roman"/>
                <w:spacing w:val="-2"/>
                <w:sz w:val="20"/>
                <w:szCs w:val="20"/>
              </w:rPr>
              <w:t>成本指标</w:t>
            </w:r>
          </w:p>
        </w:tc>
        <w:tc>
          <w:tcPr>
            <w:tcW w:w="3176" w:type="dxa"/>
            <w:gridSpan w:val="2"/>
            <w:vAlign w:val="center"/>
          </w:tcPr>
          <w:p>
            <w:pPr>
              <w:pStyle w:val="16"/>
              <w:spacing w:before="62" w:line="218" w:lineRule="auto"/>
              <w:jc w:val="center"/>
              <w:rPr>
                <w:rFonts w:ascii="Times New Roman" w:hAnsi="Times New Roman" w:cs="Times New Roman"/>
                <w:sz w:val="20"/>
                <w:szCs w:val="20"/>
              </w:rPr>
            </w:pPr>
            <w:r>
              <w:rPr>
                <w:rFonts w:ascii="Times New Roman" w:hAnsi="Times New Roman" w:cs="Times New Roman"/>
                <w:spacing w:val="-1"/>
                <w:sz w:val="20"/>
                <w:szCs w:val="20"/>
              </w:rPr>
              <w:t>采购物资或服务价格</w:t>
            </w:r>
          </w:p>
        </w:tc>
        <w:tc>
          <w:tcPr>
            <w:tcW w:w="2651" w:type="dxa"/>
            <w:vAlign w:val="center"/>
          </w:tcPr>
          <w:p>
            <w:pPr>
              <w:pStyle w:val="16"/>
              <w:spacing w:before="62" w:line="218" w:lineRule="auto"/>
              <w:jc w:val="center"/>
              <w:rPr>
                <w:rFonts w:ascii="Times New Roman" w:hAnsi="Times New Roman" w:cs="Times New Roman"/>
                <w:sz w:val="20"/>
                <w:szCs w:val="20"/>
              </w:rPr>
            </w:pPr>
            <w:r>
              <w:rPr>
                <w:rFonts w:ascii="Times New Roman" w:hAnsi="Times New Roman" w:cs="Times New Roman"/>
                <w:spacing w:val="-2"/>
                <w:sz w:val="20"/>
                <w:szCs w:val="20"/>
              </w:rPr>
              <w:t>不超过市场价格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restart"/>
            <w:tcBorders>
              <w:bottom w:val="nil"/>
            </w:tcBorders>
            <w:vAlign w:val="center"/>
          </w:tcPr>
          <w:p>
            <w:pPr>
              <w:pStyle w:val="16"/>
              <w:spacing w:before="63" w:line="217" w:lineRule="auto"/>
              <w:jc w:val="center"/>
              <w:rPr>
                <w:rFonts w:ascii="Times New Roman" w:hAnsi="Times New Roman" w:cs="Times New Roman"/>
                <w:sz w:val="20"/>
                <w:szCs w:val="20"/>
              </w:rPr>
            </w:pPr>
            <w:r>
              <w:rPr>
                <w:rFonts w:ascii="Times New Roman" w:hAnsi="Times New Roman" w:cs="Times New Roman"/>
                <w:sz w:val="20"/>
                <w:szCs w:val="20"/>
              </w:rPr>
              <w:t>效益指标</w:t>
            </w:r>
          </w:p>
        </w:tc>
        <w:tc>
          <w:tcPr>
            <w:tcW w:w="1915" w:type="dxa"/>
            <w:gridSpan w:val="2"/>
            <w:vAlign w:val="center"/>
          </w:tcPr>
          <w:p>
            <w:pPr>
              <w:pStyle w:val="16"/>
              <w:spacing w:before="61"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经济效益指标</w:t>
            </w:r>
          </w:p>
        </w:tc>
        <w:tc>
          <w:tcPr>
            <w:tcW w:w="3176" w:type="dxa"/>
            <w:gridSpan w:val="2"/>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受灾地区设施农业、畜牧业、渔业因宰损失</w:t>
            </w:r>
          </w:p>
        </w:tc>
        <w:tc>
          <w:tcPr>
            <w:tcW w:w="2651" w:type="dxa"/>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减少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vAlign w:val="center"/>
          </w:tcPr>
          <w:p>
            <w:pPr>
              <w:pStyle w:val="16"/>
              <w:spacing w:before="63" w:line="217" w:lineRule="auto"/>
              <w:jc w:val="center"/>
              <w:rPr>
                <w:rFonts w:ascii="Times New Roman" w:hAnsi="Times New Roman" w:cs="Times New Roman"/>
                <w:sz w:val="20"/>
                <w:szCs w:val="20"/>
              </w:rPr>
            </w:pPr>
          </w:p>
        </w:tc>
        <w:tc>
          <w:tcPr>
            <w:tcW w:w="1915" w:type="dxa"/>
            <w:gridSpan w:val="2"/>
            <w:vAlign w:val="center"/>
          </w:tcPr>
          <w:p>
            <w:pPr>
              <w:pStyle w:val="16"/>
              <w:spacing w:before="61"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社会效益指标</w:t>
            </w:r>
          </w:p>
        </w:tc>
        <w:tc>
          <w:tcPr>
            <w:tcW w:w="3176" w:type="dxa"/>
            <w:gridSpan w:val="2"/>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灾区农牧渔业生产秩序恢复</w:t>
            </w:r>
          </w:p>
        </w:tc>
        <w:tc>
          <w:tcPr>
            <w:tcW w:w="2651" w:type="dxa"/>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基本恢复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tcBorders>
              <w:top w:val="nil"/>
              <w:bottom w:val="nil"/>
            </w:tcBorders>
            <w:textDirection w:val="tbRlV"/>
            <w:vAlign w:val="center"/>
          </w:tcPr>
          <w:p>
            <w:pPr>
              <w:jc w:val="center"/>
              <w:rPr>
                <w:sz w:val="20"/>
                <w:szCs w:val="20"/>
              </w:rPr>
            </w:pPr>
          </w:p>
        </w:tc>
        <w:tc>
          <w:tcPr>
            <w:tcW w:w="1915" w:type="dxa"/>
            <w:gridSpan w:val="2"/>
            <w:vAlign w:val="center"/>
          </w:tcPr>
          <w:p>
            <w:pPr>
              <w:pStyle w:val="16"/>
              <w:spacing w:before="223" w:line="208" w:lineRule="auto"/>
              <w:ind w:right="85"/>
              <w:jc w:val="center"/>
              <w:rPr>
                <w:rFonts w:ascii="Times New Roman" w:hAnsi="Times New Roman" w:cs="Times New Roman"/>
                <w:sz w:val="20"/>
                <w:szCs w:val="20"/>
              </w:rPr>
            </w:pPr>
            <w:r>
              <w:rPr>
                <w:rFonts w:hint="eastAsia" w:ascii="Times New Roman" w:hAnsi="Times New Roman" w:cs="Times New Roman"/>
                <w:spacing w:val="-2"/>
                <w:sz w:val="20"/>
                <w:szCs w:val="20"/>
                <w:lang w:eastAsia="zh-CN"/>
              </w:rPr>
              <w:t>生态效益</w:t>
            </w:r>
            <w:r>
              <w:rPr>
                <w:rFonts w:ascii="Times New Roman" w:hAnsi="Times New Roman" w:cs="Times New Roman"/>
                <w:spacing w:val="-2"/>
                <w:sz w:val="20"/>
                <w:szCs w:val="20"/>
              </w:rPr>
              <w:t>指标</w:t>
            </w:r>
          </w:p>
        </w:tc>
        <w:tc>
          <w:tcPr>
            <w:tcW w:w="3176" w:type="dxa"/>
            <w:gridSpan w:val="2"/>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灾区农牧渔业生产能力恢复</w:t>
            </w:r>
          </w:p>
        </w:tc>
        <w:tc>
          <w:tcPr>
            <w:tcW w:w="2651" w:type="dxa"/>
            <w:vAlign w:val="center"/>
          </w:tcPr>
          <w:p>
            <w:pPr>
              <w:pStyle w:val="16"/>
              <w:spacing w:before="95" w:line="225" w:lineRule="auto"/>
              <w:ind w:left="48" w:right="31"/>
              <w:jc w:val="center"/>
              <w:rPr>
                <w:rFonts w:ascii="Times New Roman" w:hAnsi="Times New Roman" w:cs="Times New Roman"/>
                <w:sz w:val="20"/>
                <w:szCs w:val="20"/>
              </w:rPr>
            </w:pPr>
            <w:r>
              <w:rPr>
                <w:rFonts w:hint="eastAsia" w:ascii="Times New Roman" w:hAnsi="Times New Roman" w:cs="Times New Roman"/>
                <w:sz w:val="20"/>
                <w:szCs w:val="20"/>
                <w:lang w:eastAsia="zh-CN"/>
              </w:rPr>
              <w:t>基本恢复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340" w:type="dxa"/>
            <w:vMerge w:val="continue"/>
            <w:tcBorders>
              <w:top w:val="nil"/>
              <w:bottom w:val="nil"/>
            </w:tcBorders>
            <w:textDirection w:val="tbRlV"/>
            <w:vAlign w:val="center"/>
          </w:tcPr>
          <w:p>
            <w:pPr>
              <w:jc w:val="center"/>
              <w:rPr>
                <w:sz w:val="20"/>
                <w:szCs w:val="20"/>
              </w:rPr>
            </w:pPr>
          </w:p>
        </w:tc>
        <w:tc>
          <w:tcPr>
            <w:tcW w:w="900" w:type="dxa"/>
            <w:vMerge w:val="continue"/>
            <w:tcBorders>
              <w:top w:val="nil"/>
            </w:tcBorders>
            <w:textDirection w:val="tbRlV"/>
            <w:vAlign w:val="center"/>
          </w:tcPr>
          <w:p>
            <w:pPr>
              <w:jc w:val="center"/>
              <w:rPr>
                <w:sz w:val="20"/>
                <w:szCs w:val="20"/>
              </w:rPr>
            </w:pPr>
          </w:p>
        </w:tc>
        <w:tc>
          <w:tcPr>
            <w:tcW w:w="1915" w:type="dxa"/>
            <w:gridSpan w:val="2"/>
            <w:vAlign w:val="center"/>
          </w:tcPr>
          <w:p>
            <w:pPr>
              <w:pStyle w:val="16"/>
              <w:spacing w:before="226" w:line="212" w:lineRule="auto"/>
              <w:ind w:right="85"/>
              <w:jc w:val="center"/>
              <w:rPr>
                <w:rFonts w:ascii="Times New Roman" w:hAnsi="Times New Roman" w:cs="Times New Roman"/>
                <w:sz w:val="20"/>
                <w:szCs w:val="20"/>
              </w:rPr>
            </w:pPr>
            <w:r>
              <w:rPr>
                <w:rFonts w:ascii="Times New Roman" w:hAnsi="Times New Roman" w:cs="Times New Roman"/>
                <w:spacing w:val="-3"/>
                <w:sz w:val="20"/>
                <w:szCs w:val="20"/>
              </w:rPr>
              <w:t>可持续影</w:t>
            </w:r>
            <w:r>
              <w:rPr>
                <w:rFonts w:ascii="Times New Roman" w:hAnsi="Times New Roman" w:cs="Times New Roman"/>
                <w:spacing w:val="2"/>
                <w:sz w:val="20"/>
                <w:szCs w:val="20"/>
              </w:rPr>
              <w:t>响指标</w:t>
            </w:r>
          </w:p>
        </w:tc>
        <w:tc>
          <w:tcPr>
            <w:tcW w:w="3176" w:type="dxa"/>
            <w:gridSpan w:val="2"/>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稳定农民生产积极性</w:t>
            </w:r>
          </w:p>
        </w:tc>
        <w:tc>
          <w:tcPr>
            <w:tcW w:w="2651" w:type="dxa"/>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pacing w:val="3"/>
                <w:sz w:val="20"/>
                <w:szCs w:val="20"/>
                <w:lang w:eastAsia="zh-CN"/>
              </w:rPr>
              <w:t>保持稳定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 w:hRule="atLeast"/>
        </w:trPr>
        <w:tc>
          <w:tcPr>
            <w:tcW w:w="1340" w:type="dxa"/>
            <w:vMerge w:val="continue"/>
            <w:tcBorders>
              <w:top w:val="nil"/>
            </w:tcBorders>
            <w:textDirection w:val="tbRlV"/>
            <w:vAlign w:val="center"/>
          </w:tcPr>
          <w:p>
            <w:pPr>
              <w:jc w:val="center"/>
              <w:rPr>
                <w:sz w:val="20"/>
                <w:szCs w:val="20"/>
              </w:rPr>
            </w:pPr>
          </w:p>
        </w:tc>
        <w:tc>
          <w:tcPr>
            <w:tcW w:w="900" w:type="dxa"/>
            <w:vAlign w:val="center"/>
          </w:tcPr>
          <w:p>
            <w:pPr>
              <w:pStyle w:val="16"/>
              <w:spacing w:before="207" w:line="217" w:lineRule="auto"/>
              <w:ind w:right="55"/>
              <w:jc w:val="center"/>
              <w:rPr>
                <w:rFonts w:ascii="Times New Roman" w:hAnsi="Times New Roman" w:cs="Times New Roman"/>
                <w:sz w:val="20"/>
                <w:szCs w:val="20"/>
              </w:rPr>
            </w:pPr>
            <w:r>
              <w:rPr>
                <w:rFonts w:ascii="Times New Roman" w:hAnsi="Times New Roman" w:cs="Times New Roman"/>
                <w:spacing w:val="3"/>
                <w:sz w:val="20"/>
                <w:szCs w:val="20"/>
              </w:rPr>
              <w:t>满意度指</w:t>
            </w:r>
            <w:r>
              <w:rPr>
                <w:rFonts w:ascii="Times New Roman" w:hAnsi="Times New Roman" w:cs="Times New Roman"/>
                <w:sz w:val="20"/>
                <w:szCs w:val="20"/>
              </w:rPr>
              <w:t>标</w:t>
            </w:r>
          </w:p>
        </w:tc>
        <w:tc>
          <w:tcPr>
            <w:tcW w:w="1915" w:type="dxa"/>
            <w:gridSpan w:val="2"/>
            <w:vAlign w:val="center"/>
          </w:tcPr>
          <w:p>
            <w:pPr>
              <w:pStyle w:val="16"/>
              <w:spacing w:before="85" w:line="223" w:lineRule="auto"/>
              <w:ind w:right="64"/>
              <w:jc w:val="center"/>
              <w:rPr>
                <w:rFonts w:ascii="Times New Roman" w:hAnsi="Times New Roman" w:cs="Times New Roman"/>
                <w:sz w:val="20"/>
                <w:szCs w:val="20"/>
                <w:lang w:eastAsia="zh-CN"/>
              </w:rPr>
            </w:pPr>
            <w:r>
              <w:rPr>
                <w:rFonts w:ascii="Times New Roman" w:hAnsi="Times New Roman" w:cs="Times New Roman"/>
                <w:spacing w:val="3"/>
                <w:sz w:val="20"/>
                <w:szCs w:val="20"/>
                <w:lang w:eastAsia="zh-CN"/>
              </w:rPr>
              <w:t>技术指导</w:t>
            </w:r>
            <w:r>
              <w:rPr>
                <w:rFonts w:ascii="Times New Roman" w:hAnsi="Times New Roman" w:cs="Times New Roman"/>
                <w:spacing w:val="-2"/>
                <w:sz w:val="20"/>
                <w:szCs w:val="20"/>
                <w:lang w:eastAsia="zh-CN"/>
              </w:rPr>
              <w:t>对象满意</w:t>
            </w:r>
            <w:r>
              <w:rPr>
                <w:rFonts w:hint="eastAsia" w:ascii="Times New Roman" w:hAnsi="Times New Roman" w:cs="Times New Roman"/>
                <w:spacing w:val="-2"/>
                <w:sz w:val="20"/>
                <w:szCs w:val="20"/>
                <w:lang w:eastAsia="zh-CN"/>
              </w:rPr>
              <w:t>指标</w:t>
            </w:r>
          </w:p>
        </w:tc>
        <w:tc>
          <w:tcPr>
            <w:tcW w:w="3176" w:type="dxa"/>
            <w:gridSpan w:val="2"/>
            <w:vAlign w:val="center"/>
          </w:tcPr>
          <w:p>
            <w:pPr>
              <w:pStyle w:val="16"/>
              <w:spacing w:before="62" w:line="219"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受灾农民或防治服务组织满意度</w:t>
            </w:r>
          </w:p>
        </w:tc>
        <w:tc>
          <w:tcPr>
            <w:tcW w:w="2651" w:type="dxa"/>
            <w:vAlign w:val="center"/>
          </w:tcPr>
          <w:p>
            <w:pPr>
              <w:pStyle w:val="16"/>
              <w:spacing w:before="62" w:line="237" w:lineRule="auto"/>
              <w:jc w:val="center"/>
              <w:rPr>
                <w:rFonts w:ascii="Times New Roman" w:hAnsi="Times New Roman" w:cs="Times New Roman"/>
                <w:sz w:val="20"/>
                <w:szCs w:val="20"/>
              </w:rPr>
            </w:pPr>
            <w:r>
              <w:rPr>
                <w:rFonts w:ascii="Times New Roman" w:hAnsi="Times New Roman" w:cs="Times New Roman"/>
                <w:spacing w:val="-6"/>
                <w:sz w:val="20"/>
                <w:szCs w:val="20"/>
              </w:rPr>
              <w:t>≥85%</w:t>
            </w:r>
          </w:p>
        </w:tc>
      </w:tr>
    </w:tbl>
    <w:p>
      <w:pPr>
        <w:rPr>
          <w:rFonts w:eastAsia="宋体"/>
          <w:b/>
          <w:bCs/>
          <w:spacing w:val="-8"/>
          <w:sz w:val="22"/>
          <w:szCs w:val="22"/>
        </w:rPr>
      </w:pPr>
      <w:r>
        <w:rPr>
          <w:rFonts w:eastAsia="宋体"/>
          <w:b/>
          <w:bCs/>
          <w:spacing w:val="-8"/>
          <w:sz w:val="22"/>
          <w:szCs w:val="22"/>
        </w:rPr>
        <w:br w:type="page"/>
      </w:r>
    </w:p>
    <w:p>
      <w:pPr>
        <w:keepNext w:val="0"/>
        <w:keepLines w:val="0"/>
        <w:pageBreakBefore w:val="0"/>
        <w:widowControl w:val="0"/>
        <w:kinsoku/>
        <w:wordWrap/>
        <w:overflowPunct/>
        <w:topLinePunct w:val="0"/>
        <w:autoSpaceDE/>
        <w:autoSpaceDN/>
        <w:bidi w:val="0"/>
        <w:adjustRightInd/>
        <w:snapToGrid/>
        <w:spacing w:line="560" w:lineRule="exact"/>
        <w:ind w:firstLine="409" w:firstLineChars="200"/>
        <w:jc w:val="center"/>
        <w:textAlignment w:val="auto"/>
        <w:outlineLvl w:val="0"/>
        <w:rPr>
          <w:rFonts w:eastAsia="宋体"/>
          <w:b/>
          <w:bCs/>
          <w:spacing w:val="-8"/>
          <w:sz w:val="22"/>
          <w:szCs w:val="22"/>
        </w:rPr>
      </w:pPr>
      <w:r>
        <w:rPr>
          <w:rFonts w:eastAsia="宋体"/>
          <w:b/>
          <w:bCs/>
          <w:spacing w:val="-8"/>
          <w:sz w:val="22"/>
          <w:szCs w:val="22"/>
        </w:rPr>
        <w:t>农业防灾减灾和水利救灾资金</w:t>
      </w:r>
      <w:r>
        <w:rPr>
          <w:rFonts w:hint="eastAsia" w:eastAsia="宋体"/>
          <w:b/>
          <w:bCs/>
          <w:spacing w:val="-8"/>
          <w:sz w:val="22"/>
          <w:szCs w:val="22"/>
        </w:rPr>
        <w:t>（第三批）</w:t>
      </w:r>
      <w:r>
        <w:rPr>
          <w:rFonts w:eastAsia="宋体"/>
          <w:b/>
          <w:bCs/>
          <w:spacing w:val="-8"/>
          <w:sz w:val="22"/>
          <w:szCs w:val="22"/>
        </w:rPr>
        <w:t>区域绩效目标</w:t>
      </w:r>
      <w:r>
        <w:rPr>
          <w:rFonts w:hint="eastAsia" w:eastAsia="宋体"/>
          <w:b/>
          <w:bCs/>
          <w:spacing w:val="-8"/>
          <w:sz w:val="22"/>
          <w:szCs w:val="22"/>
        </w:rPr>
        <w:t>备案</w:t>
      </w:r>
      <w:r>
        <w:rPr>
          <w:rFonts w:eastAsia="宋体"/>
          <w:b/>
          <w:bCs/>
          <w:spacing w:val="-8"/>
          <w:sz w:val="22"/>
          <w:szCs w:val="22"/>
        </w:rPr>
        <w:t>表</w:t>
      </w:r>
    </w:p>
    <w:p>
      <w:pPr>
        <w:keepNext w:val="0"/>
        <w:keepLines w:val="0"/>
        <w:pageBreakBefore w:val="0"/>
        <w:widowControl w:val="0"/>
        <w:kinsoku/>
        <w:wordWrap/>
        <w:overflowPunct/>
        <w:topLinePunct w:val="0"/>
        <w:autoSpaceDE/>
        <w:autoSpaceDN/>
        <w:bidi w:val="0"/>
        <w:adjustRightInd/>
        <w:snapToGrid/>
        <w:spacing w:line="560" w:lineRule="exact"/>
        <w:ind w:firstLine="409" w:firstLineChars="200"/>
        <w:jc w:val="center"/>
        <w:textAlignment w:val="auto"/>
        <w:outlineLvl w:val="0"/>
        <w:rPr>
          <w:rFonts w:eastAsia="宋体"/>
          <w:b/>
          <w:bCs/>
          <w:spacing w:val="-8"/>
          <w:sz w:val="22"/>
          <w:szCs w:val="22"/>
        </w:rPr>
      </w:pPr>
      <w:r>
        <w:rPr>
          <w:rFonts w:hint="eastAsia" w:eastAsia="宋体"/>
          <w:b/>
          <w:bCs/>
          <w:spacing w:val="-8"/>
          <w:sz w:val="22"/>
          <w:szCs w:val="22"/>
        </w:rPr>
        <w:t>（2024年度）</w:t>
      </w:r>
    </w:p>
    <w:tbl>
      <w:tblPr>
        <w:tblStyle w:val="17"/>
        <w:tblW w:w="9939" w:type="dxa"/>
        <w:tblInd w:w="-5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3"/>
        <w:gridCol w:w="1152"/>
        <w:gridCol w:w="1772"/>
        <w:gridCol w:w="1901"/>
        <w:gridCol w:w="1138"/>
        <w:gridCol w:w="26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57" w:type="dxa"/>
            <w:gridSpan w:val="3"/>
            <w:vAlign w:val="center"/>
          </w:tcPr>
          <w:p>
            <w:pPr>
              <w:pStyle w:val="16"/>
              <w:spacing w:before="113" w:line="220" w:lineRule="auto"/>
              <w:jc w:val="center"/>
              <w:rPr>
                <w:rFonts w:ascii="Times New Roman" w:hAnsi="Times New Roman" w:cs="Times New Roman"/>
                <w:sz w:val="20"/>
                <w:szCs w:val="20"/>
              </w:rPr>
            </w:pPr>
            <w:r>
              <w:rPr>
                <w:rFonts w:ascii="Times New Roman" w:hAnsi="Times New Roman" w:cs="Times New Roman"/>
                <w:spacing w:val="-2"/>
                <w:sz w:val="20"/>
                <w:szCs w:val="20"/>
              </w:rPr>
              <w:t>专项名称</w:t>
            </w:r>
          </w:p>
        </w:tc>
        <w:tc>
          <w:tcPr>
            <w:tcW w:w="5682" w:type="dxa"/>
            <w:gridSpan w:val="3"/>
            <w:vAlign w:val="center"/>
          </w:tcPr>
          <w:p>
            <w:pPr>
              <w:pStyle w:val="16"/>
              <w:spacing w:before="113" w:line="219" w:lineRule="auto"/>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农业防灾减灾和水利救灾资金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57" w:type="dxa"/>
            <w:gridSpan w:val="3"/>
            <w:vAlign w:val="center"/>
          </w:tcPr>
          <w:p>
            <w:pPr>
              <w:pStyle w:val="16"/>
              <w:spacing w:before="157" w:line="219" w:lineRule="auto"/>
              <w:jc w:val="center"/>
              <w:rPr>
                <w:rFonts w:ascii="Times New Roman" w:hAnsi="Times New Roman" w:cs="Times New Roman"/>
                <w:sz w:val="20"/>
                <w:szCs w:val="20"/>
              </w:rPr>
            </w:pPr>
            <w:r>
              <w:rPr>
                <w:rFonts w:ascii="Times New Roman" w:hAnsi="Times New Roman" w:cs="Times New Roman"/>
                <w:spacing w:val="3"/>
                <w:sz w:val="20"/>
                <w:szCs w:val="20"/>
              </w:rPr>
              <w:t>中央主管部门</w:t>
            </w:r>
          </w:p>
        </w:tc>
        <w:tc>
          <w:tcPr>
            <w:tcW w:w="1901" w:type="dxa"/>
            <w:vAlign w:val="center"/>
          </w:tcPr>
          <w:p>
            <w:pPr>
              <w:pStyle w:val="16"/>
              <w:spacing w:before="156" w:line="219" w:lineRule="auto"/>
              <w:jc w:val="center"/>
              <w:rPr>
                <w:rFonts w:ascii="Times New Roman" w:hAnsi="Times New Roman" w:cs="Times New Roman"/>
                <w:sz w:val="20"/>
                <w:szCs w:val="20"/>
              </w:rPr>
            </w:pPr>
            <w:r>
              <w:rPr>
                <w:rFonts w:ascii="Times New Roman" w:hAnsi="Times New Roman" w:cs="Times New Roman"/>
                <w:spacing w:val="-2"/>
                <w:sz w:val="20"/>
                <w:szCs w:val="20"/>
              </w:rPr>
              <w:t>农业农村部</w:t>
            </w:r>
          </w:p>
        </w:tc>
        <w:tc>
          <w:tcPr>
            <w:tcW w:w="1138" w:type="dxa"/>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2"/>
                <w:sz w:val="20"/>
                <w:szCs w:val="20"/>
              </w:rPr>
              <w:t>专项实施期</w:t>
            </w:r>
          </w:p>
        </w:tc>
        <w:tc>
          <w:tcPr>
            <w:tcW w:w="2643" w:type="dxa"/>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6"/>
                <w:sz w:val="20"/>
                <w:szCs w:val="20"/>
              </w:rPr>
              <w:t>长期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57" w:type="dxa"/>
            <w:gridSpan w:val="3"/>
            <w:vAlign w:val="center"/>
          </w:tcPr>
          <w:p>
            <w:pPr>
              <w:pStyle w:val="16"/>
              <w:spacing w:before="147" w:line="219" w:lineRule="auto"/>
              <w:jc w:val="center"/>
              <w:rPr>
                <w:rFonts w:ascii="Times New Roman" w:hAnsi="Times New Roman" w:cs="Times New Roman"/>
                <w:sz w:val="20"/>
                <w:szCs w:val="20"/>
              </w:rPr>
            </w:pPr>
            <w:r>
              <w:rPr>
                <w:rFonts w:ascii="Times New Roman" w:hAnsi="Times New Roman" w:cs="Times New Roman"/>
                <w:spacing w:val="3"/>
                <w:sz w:val="20"/>
                <w:szCs w:val="20"/>
              </w:rPr>
              <w:t>省级财政部门</w:t>
            </w:r>
          </w:p>
        </w:tc>
        <w:tc>
          <w:tcPr>
            <w:tcW w:w="1901" w:type="dxa"/>
            <w:vAlign w:val="center"/>
          </w:tcPr>
          <w:p>
            <w:pPr>
              <w:pStyle w:val="16"/>
              <w:spacing w:before="37" w:line="210" w:lineRule="auto"/>
              <w:ind w:right="122"/>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新疆维吾尔自治区财政</w:t>
            </w:r>
            <w:r>
              <w:rPr>
                <w:rFonts w:ascii="Times New Roman" w:hAnsi="Times New Roman" w:cs="Times New Roman"/>
                <w:sz w:val="20"/>
                <w:szCs w:val="20"/>
                <w:lang w:eastAsia="zh-CN"/>
              </w:rPr>
              <w:t>厅</w:t>
            </w:r>
          </w:p>
        </w:tc>
        <w:tc>
          <w:tcPr>
            <w:tcW w:w="1138" w:type="dxa"/>
            <w:vAlign w:val="center"/>
          </w:tcPr>
          <w:p>
            <w:pPr>
              <w:pStyle w:val="16"/>
              <w:spacing w:before="147" w:line="219" w:lineRule="auto"/>
              <w:jc w:val="center"/>
              <w:rPr>
                <w:rFonts w:ascii="Times New Roman" w:hAnsi="Times New Roman" w:cs="Times New Roman"/>
                <w:sz w:val="20"/>
                <w:szCs w:val="20"/>
              </w:rPr>
            </w:pPr>
            <w:r>
              <w:rPr>
                <w:rFonts w:ascii="Times New Roman" w:hAnsi="Times New Roman" w:cs="Times New Roman"/>
                <w:spacing w:val="3"/>
                <w:sz w:val="20"/>
                <w:szCs w:val="20"/>
              </w:rPr>
              <w:t>省级主管部门</w:t>
            </w:r>
          </w:p>
        </w:tc>
        <w:tc>
          <w:tcPr>
            <w:tcW w:w="2643" w:type="dxa"/>
            <w:vAlign w:val="center"/>
          </w:tcPr>
          <w:p>
            <w:pPr>
              <w:pStyle w:val="16"/>
              <w:spacing w:before="27" w:line="215" w:lineRule="auto"/>
              <w:ind w:left="518" w:right="53" w:hanging="470"/>
              <w:jc w:val="center"/>
              <w:rPr>
                <w:rFonts w:ascii="Times New Roman" w:hAnsi="Times New Roman" w:cs="Times New Roman"/>
                <w:spacing w:val="-1"/>
                <w:sz w:val="20"/>
                <w:szCs w:val="20"/>
                <w:lang w:eastAsia="zh-CN"/>
              </w:rPr>
            </w:pPr>
            <w:r>
              <w:rPr>
                <w:rFonts w:ascii="Times New Roman" w:hAnsi="Times New Roman" w:cs="Times New Roman"/>
                <w:spacing w:val="-1"/>
                <w:sz w:val="20"/>
                <w:szCs w:val="20"/>
                <w:lang w:eastAsia="zh-CN"/>
              </w:rPr>
              <w:t>新疆维吾尔自治区</w:t>
            </w:r>
          </w:p>
          <w:p>
            <w:pPr>
              <w:pStyle w:val="16"/>
              <w:spacing w:before="27" w:line="215" w:lineRule="auto"/>
              <w:ind w:left="518" w:right="53" w:hanging="470"/>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w:t>
            </w:r>
            <w:r>
              <w:rPr>
                <w:rFonts w:ascii="Times New Roman" w:hAnsi="Times New Roman" w:cs="Times New Roman"/>
                <w:spacing w:val="-2"/>
                <w:sz w:val="20"/>
                <w:szCs w:val="20"/>
                <w:lang w:eastAsia="zh-CN"/>
              </w:rPr>
              <w:t>业农村厅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restart"/>
            <w:tcBorders>
              <w:bottom w:val="nil"/>
            </w:tcBorders>
            <w:vAlign w:val="center"/>
          </w:tcPr>
          <w:p>
            <w:pPr>
              <w:spacing w:line="255" w:lineRule="auto"/>
              <w:jc w:val="center"/>
              <w:rPr>
                <w:sz w:val="20"/>
                <w:szCs w:val="20"/>
              </w:rPr>
            </w:pPr>
          </w:p>
          <w:p>
            <w:pPr>
              <w:pStyle w:val="16"/>
              <w:spacing w:before="62" w:line="269" w:lineRule="exact"/>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资金情况</w:t>
            </w:r>
          </w:p>
        </w:tc>
        <w:tc>
          <w:tcPr>
            <w:tcW w:w="2924" w:type="dxa"/>
            <w:gridSpan w:val="2"/>
            <w:vAlign w:val="center"/>
          </w:tcPr>
          <w:p>
            <w:pPr>
              <w:pStyle w:val="16"/>
              <w:spacing w:before="157" w:line="219" w:lineRule="auto"/>
              <w:ind w:left="11"/>
              <w:jc w:val="center"/>
              <w:rPr>
                <w:rFonts w:ascii="Times New Roman" w:hAnsi="Times New Roman" w:cs="Times New Roman"/>
                <w:sz w:val="20"/>
                <w:szCs w:val="20"/>
              </w:rPr>
            </w:pPr>
            <w:r>
              <w:rPr>
                <w:rFonts w:ascii="Times New Roman" w:hAnsi="Times New Roman" w:cs="Times New Roman"/>
                <w:spacing w:val="-1"/>
                <w:sz w:val="20"/>
                <w:szCs w:val="20"/>
              </w:rPr>
              <w:t>年度金额：</w:t>
            </w:r>
          </w:p>
        </w:tc>
        <w:tc>
          <w:tcPr>
            <w:tcW w:w="5682" w:type="dxa"/>
            <w:gridSpan w:val="3"/>
            <w:vAlign w:val="center"/>
          </w:tcPr>
          <w:p>
            <w:pPr>
              <w:pStyle w:val="16"/>
              <w:spacing w:before="158" w:line="220" w:lineRule="auto"/>
              <w:jc w:val="center"/>
              <w:rPr>
                <w:rFonts w:ascii="Times New Roman" w:hAnsi="Times New Roman" w:cs="Times New Roman"/>
                <w:sz w:val="20"/>
                <w:szCs w:val="20"/>
              </w:rPr>
            </w:pPr>
            <w:r>
              <w:rPr>
                <w:rFonts w:hint="eastAsia" w:ascii="Times New Roman" w:hAnsi="Times New Roman" w:cs="Times New Roman"/>
                <w:spacing w:val="1"/>
                <w:sz w:val="20"/>
                <w:szCs w:val="20"/>
                <w:lang w:eastAsia="zh-CN"/>
              </w:rPr>
              <w:t>1750</w:t>
            </w:r>
            <w:r>
              <w:rPr>
                <w:rFonts w:ascii="Times New Roman" w:hAnsi="Times New Roman" w:cs="Times New Roman"/>
                <w:spacing w:val="1"/>
                <w:sz w:val="20"/>
                <w:szCs w:val="20"/>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333" w:type="dxa"/>
            <w:vMerge w:val="continue"/>
            <w:tcBorders>
              <w:top w:val="nil"/>
              <w:bottom w:val="nil"/>
            </w:tcBorders>
            <w:vAlign w:val="center"/>
          </w:tcPr>
          <w:p>
            <w:pPr>
              <w:jc w:val="center"/>
              <w:rPr>
                <w:sz w:val="20"/>
                <w:szCs w:val="20"/>
              </w:rPr>
            </w:pPr>
          </w:p>
        </w:tc>
        <w:tc>
          <w:tcPr>
            <w:tcW w:w="2924" w:type="dxa"/>
            <w:gridSpan w:val="2"/>
            <w:vAlign w:val="center"/>
          </w:tcPr>
          <w:p>
            <w:pPr>
              <w:pStyle w:val="16"/>
              <w:spacing w:before="168" w:line="220" w:lineRule="auto"/>
              <w:jc w:val="center"/>
              <w:rPr>
                <w:rFonts w:ascii="Times New Roman" w:hAnsi="Times New Roman" w:cs="Times New Roman"/>
                <w:sz w:val="20"/>
                <w:szCs w:val="20"/>
              </w:rPr>
            </w:pPr>
            <w:r>
              <w:rPr>
                <w:rFonts w:ascii="Times New Roman" w:hAnsi="Times New Roman" w:cs="Times New Roman"/>
                <w:spacing w:val="1"/>
                <w:sz w:val="20"/>
                <w:szCs w:val="20"/>
              </w:rPr>
              <w:t>其中：中央补助</w:t>
            </w:r>
          </w:p>
        </w:tc>
        <w:tc>
          <w:tcPr>
            <w:tcW w:w="5682" w:type="dxa"/>
            <w:gridSpan w:val="3"/>
            <w:vAlign w:val="center"/>
          </w:tcPr>
          <w:p>
            <w:pPr>
              <w:pStyle w:val="16"/>
              <w:spacing w:before="168" w:line="220" w:lineRule="auto"/>
              <w:jc w:val="center"/>
              <w:rPr>
                <w:rFonts w:ascii="Times New Roman" w:hAnsi="Times New Roman" w:cs="Times New Roman"/>
                <w:sz w:val="20"/>
                <w:szCs w:val="20"/>
              </w:rPr>
            </w:pPr>
            <w:r>
              <w:rPr>
                <w:rFonts w:hint="eastAsia" w:ascii="Times New Roman" w:hAnsi="Times New Roman" w:cs="Times New Roman"/>
                <w:spacing w:val="1"/>
                <w:sz w:val="20"/>
                <w:szCs w:val="20"/>
                <w:lang w:eastAsia="zh-CN"/>
              </w:rPr>
              <w:t>1750</w:t>
            </w:r>
            <w:r>
              <w:rPr>
                <w:rFonts w:ascii="Times New Roman" w:hAnsi="Times New Roman" w:cs="Times New Roman"/>
                <w:spacing w:val="1"/>
                <w:sz w:val="20"/>
                <w:szCs w:val="20"/>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1333" w:type="dxa"/>
            <w:vMerge w:val="continue"/>
            <w:tcBorders>
              <w:top w:val="nil"/>
            </w:tcBorders>
            <w:vAlign w:val="center"/>
          </w:tcPr>
          <w:p>
            <w:pPr>
              <w:jc w:val="center"/>
              <w:rPr>
                <w:sz w:val="20"/>
                <w:szCs w:val="20"/>
              </w:rPr>
            </w:pPr>
          </w:p>
        </w:tc>
        <w:tc>
          <w:tcPr>
            <w:tcW w:w="2924" w:type="dxa"/>
            <w:gridSpan w:val="2"/>
            <w:vAlign w:val="center"/>
          </w:tcPr>
          <w:p>
            <w:pPr>
              <w:pStyle w:val="16"/>
              <w:spacing w:before="158" w:line="221" w:lineRule="auto"/>
              <w:jc w:val="center"/>
              <w:rPr>
                <w:rFonts w:ascii="Times New Roman" w:hAnsi="Times New Roman" w:cs="Times New Roman"/>
                <w:sz w:val="20"/>
                <w:szCs w:val="20"/>
              </w:rPr>
            </w:pPr>
            <w:r>
              <w:rPr>
                <w:rFonts w:ascii="Times New Roman" w:hAnsi="Times New Roman" w:cs="Times New Roman"/>
                <w:spacing w:val="-2"/>
                <w:sz w:val="20"/>
                <w:szCs w:val="20"/>
              </w:rPr>
              <w:t>地方资金</w:t>
            </w:r>
          </w:p>
        </w:tc>
        <w:tc>
          <w:tcPr>
            <w:tcW w:w="5682" w:type="dxa"/>
            <w:gridSpan w:val="3"/>
            <w:vAlign w:val="center"/>
          </w:tcPr>
          <w:p>
            <w:pPr>
              <w:jc w:val="center"/>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Align w:val="center"/>
          </w:tcPr>
          <w:p>
            <w:pPr>
              <w:pStyle w:val="16"/>
              <w:spacing w:before="299" w:line="216" w:lineRule="auto"/>
              <w:jc w:val="center"/>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pacing w:val="-38"/>
                <w:sz w:val="20"/>
                <w:szCs w:val="20"/>
              </w:rPr>
              <w:t xml:space="preserve"> </w:t>
            </w:r>
            <w:r>
              <w:rPr>
                <w:rFonts w:ascii="Times New Roman" w:hAnsi="Times New Roman" w:cs="Times New Roman"/>
                <w:sz w:val="20"/>
                <w:szCs w:val="20"/>
              </w:rPr>
              <w:t>度</w:t>
            </w:r>
            <w:r>
              <w:rPr>
                <w:rFonts w:ascii="Times New Roman" w:hAnsi="Times New Roman" w:cs="Times New Roman"/>
                <w:spacing w:val="-38"/>
                <w:sz w:val="20"/>
                <w:szCs w:val="20"/>
              </w:rPr>
              <w:t xml:space="preserve"> </w:t>
            </w:r>
            <w:r>
              <w:rPr>
                <w:rFonts w:ascii="Times New Roman" w:hAnsi="Times New Roman" w:cs="Times New Roman"/>
                <w:sz w:val="20"/>
                <w:szCs w:val="20"/>
              </w:rPr>
              <w:t>目</w:t>
            </w:r>
            <w:r>
              <w:rPr>
                <w:rFonts w:ascii="Times New Roman" w:hAnsi="Times New Roman" w:cs="Times New Roman"/>
                <w:spacing w:val="-38"/>
                <w:sz w:val="20"/>
                <w:szCs w:val="20"/>
              </w:rPr>
              <w:t xml:space="preserve"> </w:t>
            </w:r>
            <w:r>
              <w:rPr>
                <w:rFonts w:ascii="Times New Roman" w:hAnsi="Times New Roman" w:cs="Times New Roman"/>
                <w:sz w:val="20"/>
                <w:szCs w:val="20"/>
              </w:rPr>
              <w:t>标</w:t>
            </w:r>
          </w:p>
        </w:tc>
        <w:tc>
          <w:tcPr>
            <w:tcW w:w="8606" w:type="dxa"/>
            <w:gridSpan w:val="5"/>
            <w:vAlign w:val="top"/>
          </w:tcPr>
          <w:p>
            <w:pPr>
              <w:pStyle w:val="16"/>
              <w:spacing w:before="187" w:line="232" w:lineRule="auto"/>
              <w:ind w:right="43"/>
              <w:rPr>
                <w:rFonts w:ascii="Times New Roman" w:hAnsi="Times New Roman" w:cs="Times New Roman"/>
                <w:sz w:val="20"/>
                <w:szCs w:val="20"/>
                <w:lang w:eastAsia="zh-CN"/>
              </w:rPr>
            </w:pPr>
            <w:r>
              <w:rPr>
                <w:rFonts w:ascii="Times New Roman" w:hAnsi="Times New Roman" w:cs="Times New Roman"/>
                <w:sz w:val="20"/>
                <w:szCs w:val="20"/>
                <w:lang w:eastAsia="zh-CN"/>
              </w:rPr>
              <w:t>支持小麦、玉米重大病虫害以及农区蝗虫等农作物重大病虫疫情防控，重</w:t>
            </w:r>
            <w:r>
              <w:rPr>
                <w:rFonts w:ascii="Times New Roman" w:hAnsi="Times New Roman" w:cs="Times New Roman"/>
                <w:spacing w:val="-1"/>
                <w:sz w:val="20"/>
                <w:szCs w:val="20"/>
                <w:lang w:eastAsia="zh-CN"/>
              </w:rPr>
              <w:t>发区域病虫疫情得到有</w:t>
            </w:r>
            <w:r>
              <w:rPr>
                <w:rFonts w:ascii="Times New Roman" w:hAnsi="Times New Roman" w:cs="Times New Roman"/>
                <w:sz w:val="20"/>
                <w:szCs w:val="20"/>
                <w:lang w:eastAsia="zh-CN"/>
              </w:rPr>
              <w:t>效控制，新发突发重大农业植物疫情有效处置，不出现大面积绝收成灾，有力保障粮食安全和农</w:t>
            </w:r>
            <w:r>
              <w:rPr>
                <w:rFonts w:ascii="Times New Roman" w:hAnsi="Times New Roman" w:cs="Times New Roman"/>
                <w:spacing w:val="-2"/>
                <w:sz w:val="20"/>
                <w:szCs w:val="20"/>
                <w:lang w:eastAsia="zh-CN"/>
              </w:rPr>
              <w:t>业生产安全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restart"/>
            <w:tcBorders>
              <w:bottom w:val="nil"/>
            </w:tcBorders>
            <w:vAlign w:val="center"/>
          </w:tcPr>
          <w:p>
            <w:pPr>
              <w:pStyle w:val="16"/>
              <w:spacing w:before="298" w:line="217" w:lineRule="auto"/>
              <w:jc w:val="center"/>
              <w:rPr>
                <w:rFonts w:ascii="Times New Roman" w:hAnsi="Times New Roman" w:cs="Times New Roman"/>
                <w:sz w:val="20"/>
                <w:szCs w:val="20"/>
              </w:rPr>
            </w:pPr>
            <w:r>
              <w:rPr>
                <w:rFonts w:ascii="Times New Roman" w:hAnsi="Times New Roman" w:cs="Times New Roman"/>
                <w:sz w:val="20"/>
                <w:szCs w:val="20"/>
              </w:rPr>
              <w:t>绩效指标</w:t>
            </w:r>
          </w:p>
        </w:tc>
        <w:tc>
          <w:tcPr>
            <w:tcW w:w="1152" w:type="dxa"/>
            <w:vAlign w:val="center"/>
          </w:tcPr>
          <w:p>
            <w:pPr>
              <w:pStyle w:val="16"/>
              <w:spacing w:before="210" w:line="193"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一级指标</w:t>
            </w:r>
          </w:p>
        </w:tc>
        <w:tc>
          <w:tcPr>
            <w:tcW w:w="1772" w:type="dxa"/>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二级指标</w:t>
            </w:r>
          </w:p>
        </w:tc>
        <w:tc>
          <w:tcPr>
            <w:tcW w:w="3039"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三级指标</w:t>
            </w:r>
          </w:p>
        </w:tc>
        <w:tc>
          <w:tcPr>
            <w:tcW w:w="2643" w:type="dxa"/>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3"/>
                <w:sz w:val="20"/>
                <w:szCs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restart"/>
            <w:tcBorders>
              <w:bottom w:val="nil"/>
            </w:tcBorders>
            <w:vAlign w:val="center"/>
          </w:tcPr>
          <w:p>
            <w:pPr>
              <w:spacing w:line="285" w:lineRule="auto"/>
              <w:jc w:val="center"/>
              <w:rPr>
                <w:rFonts w:eastAsia="宋体"/>
                <w:spacing w:val="-2"/>
                <w:sz w:val="20"/>
                <w:szCs w:val="20"/>
              </w:rPr>
            </w:pPr>
            <w:r>
              <w:rPr>
                <w:rFonts w:hint="eastAsia" w:eastAsia="宋体"/>
                <w:spacing w:val="-2"/>
                <w:sz w:val="20"/>
                <w:szCs w:val="20"/>
              </w:rPr>
              <w:t>产出指标</w:t>
            </w:r>
          </w:p>
          <w:p>
            <w:pPr>
              <w:pStyle w:val="16"/>
              <w:spacing w:before="64" w:line="216" w:lineRule="auto"/>
              <w:ind w:left="1242"/>
              <w:jc w:val="center"/>
              <w:rPr>
                <w:rFonts w:ascii="Times New Roman" w:hAnsi="Times New Roman" w:cs="Times New Roman"/>
                <w:sz w:val="20"/>
                <w:szCs w:val="20"/>
              </w:rPr>
            </w:pPr>
          </w:p>
        </w:tc>
        <w:tc>
          <w:tcPr>
            <w:tcW w:w="1772" w:type="dxa"/>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2"/>
                <w:sz w:val="20"/>
                <w:szCs w:val="20"/>
              </w:rPr>
              <w:t>数量指标</w:t>
            </w:r>
          </w:p>
        </w:tc>
        <w:tc>
          <w:tcPr>
            <w:tcW w:w="3039" w:type="dxa"/>
            <w:gridSpan w:val="2"/>
            <w:vAlign w:val="center"/>
          </w:tcPr>
          <w:p>
            <w:pPr>
              <w:pStyle w:val="16"/>
              <w:spacing w:before="61" w:line="220" w:lineRule="auto"/>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重大病虫疫情防控面积</w:t>
            </w:r>
          </w:p>
        </w:tc>
        <w:tc>
          <w:tcPr>
            <w:tcW w:w="2643" w:type="dxa"/>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4"/>
                <w:sz w:val="20"/>
                <w:szCs w:val="20"/>
              </w:rPr>
              <w:t>不少于</w:t>
            </w:r>
            <w:r>
              <w:rPr>
                <w:rFonts w:hint="eastAsia" w:ascii="Times New Roman" w:hAnsi="Times New Roman" w:cs="Times New Roman"/>
                <w:spacing w:val="5"/>
                <w:sz w:val="20"/>
                <w:szCs w:val="20"/>
                <w:lang w:eastAsia="zh-CN"/>
              </w:rPr>
              <w:t>**</w:t>
            </w:r>
            <w:r>
              <w:rPr>
                <w:rFonts w:ascii="Times New Roman" w:hAnsi="Times New Roman" w:cs="Times New Roman"/>
                <w:spacing w:val="-4"/>
                <w:sz w:val="20"/>
                <w:szCs w:val="20"/>
              </w:rPr>
              <w:t>万亩次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continue"/>
            <w:tcBorders>
              <w:top w:val="nil"/>
              <w:bottom w:val="nil"/>
            </w:tcBorders>
            <w:textDirection w:val="tbRlV"/>
            <w:vAlign w:val="center"/>
          </w:tcPr>
          <w:p>
            <w:pPr>
              <w:jc w:val="center"/>
              <w:rPr>
                <w:sz w:val="20"/>
                <w:szCs w:val="20"/>
              </w:rPr>
            </w:pPr>
          </w:p>
        </w:tc>
        <w:tc>
          <w:tcPr>
            <w:tcW w:w="1772" w:type="dxa"/>
            <w:vMerge w:val="restart"/>
            <w:tcBorders>
              <w:bottom w:val="nil"/>
            </w:tcBorders>
            <w:vAlign w:val="center"/>
          </w:tcPr>
          <w:p>
            <w:pPr>
              <w:pStyle w:val="16"/>
              <w:spacing w:before="62" w:line="220" w:lineRule="auto"/>
              <w:jc w:val="center"/>
              <w:rPr>
                <w:rFonts w:ascii="Times New Roman" w:hAnsi="Times New Roman" w:cs="Times New Roman"/>
                <w:sz w:val="20"/>
                <w:szCs w:val="20"/>
              </w:rPr>
            </w:pPr>
            <w:r>
              <w:rPr>
                <w:rFonts w:ascii="Times New Roman" w:hAnsi="Times New Roman" w:cs="Times New Roman"/>
                <w:spacing w:val="-2"/>
                <w:sz w:val="20"/>
                <w:szCs w:val="20"/>
              </w:rPr>
              <w:t>质量指标</w:t>
            </w:r>
          </w:p>
        </w:tc>
        <w:tc>
          <w:tcPr>
            <w:tcW w:w="3039"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防控效果</w:t>
            </w:r>
          </w:p>
        </w:tc>
        <w:tc>
          <w:tcPr>
            <w:tcW w:w="2643" w:type="dxa"/>
            <w:vAlign w:val="center"/>
          </w:tcPr>
          <w:p>
            <w:pPr>
              <w:pStyle w:val="16"/>
              <w:spacing w:before="220" w:line="218" w:lineRule="auto"/>
              <w:ind w:right="53"/>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有效遏制暴发流行成</w:t>
            </w:r>
            <w:r>
              <w:rPr>
                <w:rFonts w:ascii="Times New Roman" w:hAnsi="Times New Roman" w:cs="Times New Roman"/>
                <w:sz w:val="20"/>
                <w:szCs w:val="20"/>
                <w:lang w:eastAsia="zh-CN"/>
              </w:rPr>
              <w:t>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continue"/>
            <w:tcBorders>
              <w:top w:val="nil"/>
              <w:bottom w:val="nil"/>
            </w:tcBorders>
            <w:textDirection w:val="tbRlV"/>
            <w:vAlign w:val="center"/>
          </w:tcPr>
          <w:p>
            <w:pPr>
              <w:jc w:val="center"/>
              <w:rPr>
                <w:sz w:val="20"/>
                <w:szCs w:val="20"/>
              </w:rPr>
            </w:pPr>
          </w:p>
        </w:tc>
        <w:tc>
          <w:tcPr>
            <w:tcW w:w="1772" w:type="dxa"/>
            <w:vMerge w:val="continue"/>
            <w:tcBorders>
              <w:top w:val="nil"/>
            </w:tcBorders>
            <w:vAlign w:val="center"/>
          </w:tcPr>
          <w:p>
            <w:pPr>
              <w:jc w:val="center"/>
              <w:rPr>
                <w:sz w:val="20"/>
                <w:szCs w:val="20"/>
              </w:rPr>
            </w:pPr>
          </w:p>
        </w:tc>
        <w:tc>
          <w:tcPr>
            <w:tcW w:w="3039" w:type="dxa"/>
            <w:gridSpan w:val="2"/>
            <w:vAlign w:val="center"/>
          </w:tcPr>
          <w:p>
            <w:pPr>
              <w:pStyle w:val="16"/>
              <w:spacing w:before="62" w:line="219" w:lineRule="auto"/>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项目实施区统防统治覆盖率</w:t>
            </w:r>
          </w:p>
        </w:tc>
        <w:tc>
          <w:tcPr>
            <w:tcW w:w="2643" w:type="dxa"/>
            <w:vAlign w:val="center"/>
          </w:tcPr>
          <w:p>
            <w:pPr>
              <w:pStyle w:val="16"/>
              <w:spacing w:before="62"/>
              <w:jc w:val="center"/>
              <w:rPr>
                <w:rFonts w:ascii="Times New Roman" w:hAnsi="Times New Roman" w:cs="Times New Roman"/>
                <w:sz w:val="20"/>
                <w:szCs w:val="20"/>
              </w:rPr>
            </w:pPr>
            <w:r>
              <w:rPr>
                <w:rFonts w:ascii="Times New Roman" w:hAnsi="Times New Roman" w:cs="Times New Roman"/>
                <w:spacing w:val="-3"/>
                <w:sz w:val="20"/>
                <w:szCs w:val="20"/>
              </w:rPr>
              <w:t>&gt;4</w:t>
            </w:r>
            <w:r>
              <w:rPr>
                <w:rFonts w:hint="eastAsia" w:ascii="Times New Roman" w:hAnsi="Times New Roman" w:cs="Times New Roman"/>
                <w:spacing w:val="-3"/>
                <w:sz w:val="20"/>
                <w:szCs w:val="20"/>
                <w:lang w:eastAsia="zh-CN"/>
              </w:rPr>
              <w:t>6</w:t>
            </w:r>
            <w:r>
              <w:rPr>
                <w:rFonts w:ascii="Times New Roman" w:hAnsi="Times New Roman" w:cs="Times New Roman"/>
                <w:spacing w:val="-3"/>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continue"/>
            <w:tcBorders>
              <w:top w:val="nil"/>
            </w:tcBorders>
            <w:textDirection w:val="tbRlV"/>
            <w:vAlign w:val="center"/>
          </w:tcPr>
          <w:p>
            <w:pPr>
              <w:jc w:val="center"/>
              <w:rPr>
                <w:sz w:val="20"/>
                <w:szCs w:val="20"/>
              </w:rPr>
            </w:pPr>
          </w:p>
        </w:tc>
        <w:tc>
          <w:tcPr>
            <w:tcW w:w="1772" w:type="dxa"/>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1"/>
                <w:sz w:val="20"/>
                <w:szCs w:val="20"/>
              </w:rPr>
              <w:t>时效指标</w:t>
            </w:r>
          </w:p>
        </w:tc>
        <w:tc>
          <w:tcPr>
            <w:tcW w:w="3039" w:type="dxa"/>
            <w:gridSpan w:val="2"/>
            <w:vAlign w:val="center"/>
          </w:tcPr>
          <w:p>
            <w:pPr>
              <w:pStyle w:val="16"/>
              <w:spacing w:before="61" w:line="220" w:lineRule="auto"/>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农作物病虫害防治组织实施时效</w:t>
            </w:r>
          </w:p>
        </w:tc>
        <w:tc>
          <w:tcPr>
            <w:tcW w:w="2643" w:type="dxa"/>
            <w:vAlign w:val="center"/>
          </w:tcPr>
          <w:p>
            <w:pPr>
              <w:pStyle w:val="16"/>
              <w:spacing w:before="202" w:line="222" w:lineRule="auto"/>
              <w:ind w:right="51"/>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在农作物病虫害防控期及时组织实施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restart"/>
            <w:tcBorders>
              <w:bottom w:val="nil"/>
            </w:tcBorders>
            <w:vAlign w:val="center"/>
          </w:tcPr>
          <w:p>
            <w:pPr>
              <w:pStyle w:val="16"/>
              <w:spacing w:before="63" w:line="217" w:lineRule="auto"/>
              <w:jc w:val="center"/>
              <w:rPr>
                <w:rFonts w:ascii="Times New Roman" w:hAnsi="Times New Roman" w:cs="Times New Roman"/>
                <w:sz w:val="20"/>
                <w:szCs w:val="20"/>
              </w:rPr>
            </w:pPr>
            <w:r>
              <w:rPr>
                <w:rFonts w:ascii="Times New Roman" w:hAnsi="Times New Roman" w:cs="Times New Roman"/>
                <w:sz w:val="20"/>
                <w:szCs w:val="20"/>
              </w:rPr>
              <w:t>效益指标</w:t>
            </w:r>
          </w:p>
        </w:tc>
        <w:tc>
          <w:tcPr>
            <w:tcW w:w="1772" w:type="dxa"/>
            <w:vAlign w:val="center"/>
          </w:tcPr>
          <w:p>
            <w:pPr>
              <w:pStyle w:val="16"/>
              <w:spacing w:before="61" w:line="219" w:lineRule="auto"/>
              <w:jc w:val="center"/>
              <w:rPr>
                <w:rFonts w:ascii="Times New Roman" w:hAnsi="Times New Roman" w:cs="Times New Roman"/>
                <w:sz w:val="20"/>
                <w:szCs w:val="20"/>
              </w:rPr>
            </w:pPr>
            <w:r>
              <w:rPr>
                <w:rFonts w:ascii="Times New Roman" w:hAnsi="Times New Roman" w:cs="Times New Roman"/>
                <w:spacing w:val="-2"/>
                <w:sz w:val="20"/>
                <w:szCs w:val="20"/>
              </w:rPr>
              <w:t>成本指标</w:t>
            </w:r>
          </w:p>
        </w:tc>
        <w:tc>
          <w:tcPr>
            <w:tcW w:w="3039" w:type="dxa"/>
            <w:gridSpan w:val="2"/>
            <w:vAlign w:val="center"/>
          </w:tcPr>
          <w:p>
            <w:pPr>
              <w:pStyle w:val="16"/>
              <w:spacing w:before="62" w:line="218" w:lineRule="auto"/>
              <w:jc w:val="center"/>
              <w:rPr>
                <w:rFonts w:ascii="Times New Roman" w:hAnsi="Times New Roman" w:cs="Times New Roman"/>
                <w:sz w:val="20"/>
                <w:szCs w:val="20"/>
              </w:rPr>
            </w:pPr>
            <w:r>
              <w:rPr>
                <w:rFonts w:ascii="Times New Roman" w:hAnsi="Times New Roman" w:cs="Times New Roman"/>
                <w:spacing w:val="-1"/>
                <w:sz w:val="20"/>
                <w:szCs w:val="20"/>
              </w:rPr>
              <w:t>采购物资或服务价格</w:t>
            </w:r>
          </w:p>
        </w:tc>
        <w:tc>
          <w:tcPr>
            <w:tcW w:w="2643" w:type="dxa"/>
            <w:vAlign w:val="center"/>
          </w:tcPr>
          <w:p>
            <w:pPr>
              <w:pStyle w:val="16"/>
              <w:spacing w:before="62" w:line="218" w:lineRule="auto"/>
              <w:jc w:val="center"/>
              <w:rPr>
                <w:rFonts w:ascii="Times New Roman" w:hAnsi="Times New Roman" w:cs="Times New Roman"/>
                <w:sz w:val="20"/>
                <w:szCs w:val="20"/>
              </w:rPr>
            </w:pPr>
            <w:r>
              <w:rPr>
                <w:rFonts w:ascii="Times New Roman" w:hAnsi="Times New Roman" w:cs="Times New Roman"/>
                <w:spacing w:val="-2"/>
                <w:sz w:val="20"/>
                <w:szCs w:val="20"/>
              </w:rPr>
              <w:t>不超过市场价格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continue"/>
            <w:tcBorders>
              <w:top w:val="nil"/>
              <w:bottom w:val="nil"/>
            </w:tcBorders>
            <w:textDirection w:val="tbRlV"/>
            <w:vAlign w:val="center"/>
          </w:tcPr>
          <w:p>
            <w:pPr>
              <w:jc w:val="center"/>
              <w:rPr>
                <w:sz w:val="20"/>
                <w:szCs w:val="20"/>
              </w:rPr>
            </w:pPr>
          </w:p>
        </w:tc>
        <w:tc>
          <w:tcPr>
            <w:tcW w:w="1772" w:type="dxa"/>
            <w:vAlign w:val="center"/>
          </w:tcPr>
          <w:p>
            <w:pPr>
              <w:pStyle w:val="16"/>
              <w:spacing w:before="223" w:line="208" w:lineRule="auto"/>
              <w:ind w:right="85"/>
              <w:jc w:val="center"/>
              <w:rPr>
                <w:rFonts w:ascii="Times New Roman" w:hAnsi="Times New Roman" w:cs="Times New Roman"/>
                <w:sz w:val="20"/>
                <w:szCs w:val="20"/>
              </w:rPr>
            </w:pPr>
            <w:r>
              <w:rPr>
                <w:rFonts w:ascii="Times New Roman" w:hAnsi="Times New Roman" w:cs="Times New Roman"/>
                <w:spacing w:val="-2"/>
                <w:sz w:val="20"/>
                <w:szCs w:val="20"/>
                <w:lang w:eastAsia="zh-CN"/>
              </w:rPr>
              <w:t>社会效益</w:t>
            </w:r>
            <w:r>
              <w:rPr>
                <w:rFonts w:ascii="Times New Roman" w:hAnsi="Times New Roman" w:cs="Times New Roman"/>
                <w:spacing w:val="-2"/>
                <w:sz w:val="20"/>
                <w:szCs w:val="20"/>
              </w:rPr>
              <w:t>指标</w:t>
            </w:r>
          </w:p>
        </w:tc>
        <w:tc>
          <w:tcPr>
            <w:tcW w:w="3039" w:type="dxa"/>
            <w:gridSpan w:val="2"/>
            <w:vAlign w:val="center"/>
          </w:tcPr>
          <w:p>
            <w:pPr>
              <w:pStyle w:val="16"/>
              <w:spacing w:before="62" w:line="219"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防灾措施保障粮食安全和农业生产安全效果</w:t>
            </w:r>
          </w:p>
        </w:tc>
        <w:tc>
          <w:tcPr>
            <w:tcW w:w="2643" w:type="dxa"/>
            <w:vAlign w:val="center"/>
          </w:tcPr>
          <w:p>
            <w:pPr>
              <w:pStyle w:val="16"/>
              <w:spacing w:before="95" w:line="225" w:lineRule="auto"/>
              <w:ind w:left="48" w:right="31"/>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重发区域病虫害得到</w:t>
            </w:r>
            <w:r>
              <w:rPr>
                <w:rFonts w:ascii="Times New Roman" w:hAnsi="Times New Roman" w:cs="Times New Roman"/>
                <w:spacing w:val="-1"/>
                <w:sz w:val="20"/>
                <w:szCs w:val="20"/>
                <w:lang w:eastAsia="zh-CN"/>
              </w:rPr>
              <w:t>有效控制，农作物不</w:t>
            </w:r>
            <w:r>
              <w:rPr>
                <w:rFonts w:ascii="Times New Roman" w:hAnsi="Times New Roman" w:cs="Times New Roman"/>
                <w:sz w:val="20"/>
                <w:szCs w:val="20"/>
                <w:lang w:eastAsia="zh-CN"/>
              </w:rPr>
              <w:t>出现大范围成灾绝收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1333" w:type="dxa"/>
            <w:vMerge w:val="continue"/>
            <w:tcBorders>
              <w:top w:val="nil"/>
              <w:bottom w:val="nil"/>
            </w:tcBorders>
            <w:textDirection w:val="tbRlV"/>
            <w:vAlign w:val="center"/>
          </w:tcPr>
          <w:p>
            <w:pPr>
              <w:jc w:val="center"/>
              <w:rPr>
                <w:sz w:val="20"/>
                <w:szCs w:val="20"/>
              </w:rPr>
            </w:pPr>
          </w:p>
        </w:tc>
        <w:tc>
          <w:tcPr>
            <w:tcW w:w="1152" w:type="dxa"/>
            <w:vMerge w:val="continue"/>
            <w:tcBorders>
              <w:top w:val="nil"/>
            </w:tcBorders>
            <w:textDirection w:val="tbRlV"/>
            <w:vAlign w:val="center"/>
          </w:tcPr>
          <w:p>
            <w:pPr>
              <w:jc w:val="center"/>
              <w:rPr>
                <w:sz w:val="20"/>
                <w:szCs w:val="20"/>
              </w:rPr>
            </w:pPr>
          </w:p>
        </w:tc>
        <w:tc>
          <w:tcPr>
            <w:tcW w:w="1772" w:type="dxa"/>
            <w:vAlign w:val="center"/>
          </w:tcPr>
          <w:p>
            <w:pPr>
              <w:pStyle w:val="16"/>
              <w:spacing w:before="226" w:line="212" w:lineRule="auto"/>
              <w:ind w:right="85"/>
              <w:jc w:val="center"/>
              <w:rPr>
                <w:rFonts w:ascii="Times New Roman" w:hAnsi="Times New Roman" w:cs="Times New Roman"/>
                <w:sz w:val="20"/>
                <w:szCs w:val="20"/>
              </w:rPr>
            </w:pPr>
            <w:r>
              <w:rPr>
                <w:rFonts w:ascii="Times New Roman" w:hAnsi="Times New Roman" w:cs="Times New Roman"/>
                <w:spacing w:val="-3"/>
                <w:sz w:val="20"/>
                <w:szCs w:val="20"/>
              </w:rPr>
              <w:t>可持续影</w:t>
            </w:r>
            <w:r>
              <w:rPr>
                <w:rFonts w:ascii="Times New Roman" w:hAnsi="Times New Roman" w:cs="Times New Roman"/>
                <w:spacing w:val="2"/>
                <w:sz w:val="20"/>
                <w:szCs w:val="20"/>
              </w:rPr>
              <w:t>响指标</w:t>
            </w:r>
          </w:p>
        </w:tc>
        <w:tc>
          <w:tcPr>
            <w:tcW w:w="3039" w:type="dxa"/>
            <w:gridSpan w:val="2"/>
            <w:vAlign w:val="center"/>
          </w:tcPr>
          <w:p>
            <w:pPr>
              <w:pStyle w:val="16"/>
              <w:spacing w:before="62" w:line="219"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有效保持重大病虫疫情灾情监测预警能力</w:t>
            </w:r>
          </w:p>
        </w:tc>
        <w:tc>
          <w:tcPr>
            <w:tcW w:w="2643" w:type="dxa"/>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3"/>
                <w:sz w:val="20"/>
                <w:szCs w:val="20"/>
              </w:rPr>
              <w:t>病虫害防控期内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1333" w:type="dxa"/>
            <w:vMerge w:val="continue"/>
            <w:tcBorders>
              <w:top w:val="nil"/>
            </w:tcBorders>
            <w:textDirection w:val="tbRlV"/>
            <w:vAlign w:val="center"/>
          </w:tcPr>
          <w:p>
            <w:pPr>
              <w:jc w:val="center"/>
              <w:rPr>
                <w:sz w:val="20"/>
                <w:szCs w:val="20"/>
              </w:rPr>
            </w:pPr>
          </w:p>
        </w:tc>
        <w:tc>
          <w:tcPr>
            <w:tcW w:w="1152" w:type="dxa"/>
            <w:vAlign w:val="center"/>
          </w:tcPr>
          <w:p>
            <w:pPr>
              <w:pStyle w:val="16"/>
              <w:spacing w:before="207" w:line="217" w:lineRule="auto"/>
              <w:ind w:right="55"/>
              <w:jc w:val="center"/>
              <w:rPr>
                <w:rFonts w:ascii="Times New Roman" w:hAnsi="Times New Roman" w:cs="Times New Roman"/>
                <w:sz w:val="20"/>
                <w:szCs w:val="20"/>
              </w:rPr>
            </w:pPr>
            <w:r>
              <w:rPr>
                <w:rFonts w:ascii="Times New Roman" w:hAnsi="Times New Roman" w:cs="Times New Roman"/>
                <w:spacing w:val="3"/>
                <w:sz w:val="20"/>
                <w:szCs w:val="20"/>
              </w:rPr>
              <w:t>满意度指</w:t>
            </w:r>
            <w:r>
              <w:rPr>
                <w:rFonts w:ascii="Times New Roman" w:hAnsi="Times New Roman" w:cs="Times New Roman"/>
                <w:sz w:val="20"/>
                <w:szCs w:val="20"/>
              </w:rPr>
              <w:t>标</w:t>
            </w:r>
          </w:p>
        </w:tc>
        <w:tc>
          <w:tcPr>
            <w:tcW w:w="1772" w:type="dxa"/>
            <w:vAlign w:val="center"/>
          </w:tcPr>
          <w:p>
            <w:pPr>
              <w:pStyle w:val="16"/>
              <w:spacing w:before="85" w:line="223" w:lineRule="auto"/>
              <w:ind w:right="64"/>
              <w:jc w:val="center"/>
              <w:rPr>
                <w:rFonts w:ascii="Times New Roman" w:hAnsi="Times New Roman" w:cs="Times New Roman"/>
                <w:sz w:val="20"/>
                <w:szCs w:val="20"/>
                <w:lang w:eastAsia="zh-CN"/>
              </w:rPr>
            </w:pPr>
            <w:r>
              <w:rPr>
                <w:rFonts w:ascii="Times New Roman" w:hAnsi="Times New Roman" w:cs="Times New Roman"/>
                <w:spacing w:val="3"/>
                <w:sz w:val="20"/>
                <w:szCs w:val="20"/>
                <w:lang w:eastAsia="zh-CN"/>
              </w:rPr>
              <w:t>技术指导</w:t>
            </w:r>
            <w:r>
              <w:rPr>
                <w:rFonts w:ascii="Times New Roman" w:hAnsi="Times New Roman" w:cs="Times New Roman"/>
                <w:spacing w:val="-2"/>
                <w:sz w:val="20"/>
                <w:szCs w:val="20"/>
                <w:lang w:eastAsia="zh-CN"/>
              </w:rPr>
              <w:t>对象满意</w:t>
            </w:r>
            <w:r>
              <w:rPr>
                <w:rFonts w:hint="eastAsia" w:ascii="Times New Roman" w:hAnsi="Times New Roman" w:cs="Times New Roman"/>
                <w:spacing w:val="-2"/>
                <w:sz w:val="20"/>
                <w:szCs w:val="20"/>
                <w:lang w:eastAsia="zh-CN"/>
              </w:rPr>
              <w:t>指标</w:t>
            </w:r>
          </w:p>
        </w:tc>
        <w:tc>
          <w:tcPr>
            <w:tcW w:w="3039" w:type="dxa"/>
            <w:gridSpan w:val="2"/>
            <w:vAlign w:val="center"/>
          </w:tcPr>
          <w:p>
            <w:pPr>
              <w:pStyle w:val="16"/>
              <w:spacing w:before="62" w:line="219"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受灾农民或防治服务组织满意度</w:t>
            </w:r>
          </w:p>
        </w:tc>
        <w:tc>
          <w:tcPr>
            <w:tcW w:w="2643" w:type="dxa"/>
            <w:vAlign w:val="center"/>
          </w:tcPr>
          <w:p>
            <w:pPr>
              <w:pStyle w:val="16"/>
              <w:spacing w:before="62" w:line="237" w:lineRule="auto"/>
              <w:jc w:val="center"/>
              <w:rPr>
                <w:rFonts w:ascii="Times New Roman" w:hAnsi="Times New Roman" w:cs="Times New Roman"/>
                <w:sz w:val="20"/>
                <w:szCs w:val="20"/>
              </w:rPr>
            </w:pPr>
            <w:r>
              <w:rPr>
                <w:rFonts w:ascii="Times New Roman" w:hAnsi="Times New Roman" w:cs="Times New Roman"/>
                <w:spacing w:val="-6"/>
                <w:sz w:val="20"/>
                <w:szCs w:val="20"/>
              </w:rPr>
              <w:t>≥85%</w:t>
            </w:r>
          </w:p>
        </w:tc>
      </w:tr>
    </w:tbl>
    <w:p>
      <w:pPr>
        <w:keepNext w:val="0"/>
        <w:keepLines w:val="0"/>
        <w:pageBreakBefore w:val="0"/>
        <w:widowControl w:val="0"/>
        <w:kinsoku/>
        <w:wordWrap/>
        <w:overflowPunct/>
        <w:topLinePunct w:val="0"/>
        <w:autoSpaceDE/>
        <w:autoSpaceDN/>
        <w:bidi w:val="0"/>
        <w:adjustRightInd/>
        <w:snapToGrid/>
        <w:spacing w:line="520" w:lineRule="exact"/>
        <w:ind w:firstLine="409" w:firstLineChars="200"/>
        <w:jc w:val="center"/>
        <w:textAlignment w:val="auto"/>
        <w:outlineLvl w:val="0"/>
        <w:rPr>
          <w:rFonts w:eastAsia="宋体"/>
          <w:b/>
          <w:bCs/>
          <w:spacing w:val="-8"/>
          <w:sz w:val="22"/>
          <w:szCs w:val="22"/>
        </w:rPr>
      </w:pPr>
      <w:r>
        <w:rPr>
          <w:rFonts w:eastAsia="宋体"/>
          <w:b/>
          <w:bCs/>
          <w:spacing w:val="-8"/>
          <w:sz w:val="22"/>
          <w:szCs w:val="22"/>
        </w:rPr>
        <w:t>农业防灾减灾和水利救灾资金</w:t>
      </w:r>
      <w:r>
        <w:rPr>
          <w:rFonts w:hint="eastAsia" w:eastAsia="宋体"/>
          <w:b/>
          <w:bCs/>
          <w:spacing w:val="-8"/>
          <w:sz w:val="22"/>
          <w:szCs w:val="22"/>
        </w:rPr>
        <w:t>（第十四批批）</w:t>
      </w:r>
      <w:r>
        <w:rPr>
          <w:rFonts w:eastAsia="宋体"/>
          <w:b/>
          <w:bCs/>
          <w:spacing w:val="-8"/>
          <w:sz w:val="22"/>
          <w:szCs w:val="22"/>
        </w:rPr>
        <w:t>区域绩效目标</w:t>
      </w:r>
      <w:r>
        <w:rPr>
          <w:rFonts w:hint="eastAsia" w:eastAsia="宋体"/>
          <w:b/>
          <w:bCs/>
          <w:spacing w:val="-8"/>
          <w:sz w:val="22"/>
          <w:szCs w:val="22"/>
        </w:rPr>
        <w:t>备案</w:t>
      </w:r>
      <w:r>
        <w:rPr>
          <w:rFonts w:eastAsia="宋体"/>
          <w:b/>
          <w:bCs/>
          <w:spacing w:val="-8"/>
          <w:sz w:val="22"/>
          <w:szCs w:val="22"/>
        </w:rPr>
        <w:t>表</w:t>
      </w:r>
    </w:p>
    <w:p>
      <w:pPr>
        <w:keepNext w:val="0"/>
        <w:keepLines w:val="0"/>
        <w:pageBreakBefore w:val="0"/>
        <w:widowControl w:val="0"/>
        <w:kinsoku/>
        <w:wordWrap/>
        <w:overflowPunct/>
        <w:topLinePunct w:val="0"/>
        <w:autoSpaceDE/>
        <w:autoSpaceDN/>
        <w:bidi w:val="0"/>
        <w:adjustRightInd/>
        <w:snapToGrid/>
        <w:spacing w:line="520" w:lineRule="exact"/>
        <w:ind w:firstLine="429" w:firstLineChars="200"/>
        <w:jc w:val="center"/>
        <w:textAlignment w:val="auto"/>
        <w:outlineLvl w:val="0"/>
        <w:rPr>
          <w:rFonts w:eastAsia="宋体"/>
          <w:b/>
          <w:bCs/>
          <w:spacing w:val="-8"/>
          <w:sz w:val="23"/>
          <w:szCs w:val="23"/>
        </w:rPr>
      </w:pPr>
      <w:r>
        <w:rPr>
          <w:rFonts w:hint="eastAsia" w:eastAsia="宋体"/>
          <w:b/>
          <w:bCs/>
          <w:spacing w:val="-8"/>
          <w:sz w:val="23"/>
          <w:szCs w:val="23"/>
        </w:rPr>
        <w:t>（2024年度）</w:t>
      </w:r>
    </w:p>
    <w:tbl>
      <w:tblPr>
        <w:tblStyle w:val="17"/>
        <w:tblW w:w="9982" w:type="dxa"/>
        <w:tblInd w:w="-5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0"/>
        <w:gridCol w:w="900"/>
        <w:gridCol w:w="1818"/>
        <w:gridCol w:w="97"/>
        <w:gridCol w:w="2031"/>
        <w:gridCol w:w="1145"/>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4058" w:type="dxa"/>
            <w:gridSpan w:val="3"/>
            <w:vAlign w:val="center"/>
          </w:tcPr>
          <w:p>
            <w:pPr>
              <w:pStyle w:val="16"/>
              <w:spacing w:before="113" w:line="220" w:lineRule="auto"/>
              <w:jc w:val="center"/>
              <w:rPr>
                <w:rFonts w:ascii="Times New Roman" w:hAnsi="Times New Roman" w:cs="Times New Roman"/>
                <w:sz w:val="20"/>
                <w:szCs w:val="20"/>
              </w:rPr>
            </w:pPr>
            <w:r>
              <w:rPr>
                <w:rFonts w:ascii="Times New Roman" w:hAnsi="Times New Roman" w:cs="Times New Roman"/>
                <w:spacing w:val="-2"/>
                <w:sz w:val="20"/>
                <w:szCs w:val="20"/>
              </w:rPr>
              <w:t>专项名称</w:t>
            </w:r>
          </w:p>
        </w:tc>
        <w:tc>
          <w:tcPr>
            <w:tcW w:w="5924" w:type="dxa"/>
            <w:gridSpan w:val="4"/>
            <w:vAlign w:val="center"/>
          </w:tcPr>
          <w:p>
            <w:pPr>
              <w:pStyle w:val="16"/>
              <w:spacing w:before="113" w:line="219" w:lineRule="auto"/>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农业防灾减灾和水利救灾资金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4058" w:type="dxa"/>
            <w:gridSpan w:val="3"/>
            <w:vAlign w:val="center"/>
          </w:tcPr>
          <w:p>
            <w:pPr>
              <w:pStyle w:val="16"/>
              <w:spacing w:before="157" w:line="219" w:lineRule="auto"/>
              <w:jc w:val="center"/>
              <w:rPr>
                <w:rFonts w:ascii="Times New Roman" w:hAnsi="Times New Roman" w:cs="Times New Roman"/>
                <w:sz w:val="20"/>
                <w:szCs w:val="20"/>
              </w:rPr>
            </w:pPr>
            <w:r>
              <w:rPr>
                <w:rFonts w:ascii="Times New Roman" w:hAnsi="Times New Roman" w:cs="Times New Roman"/>
                <w:spacing w:val="3"/>
                <w:sz w:val="20"/>
                <w:szCs w:val="20"/>
              </w:rPr>
              <w:t>中央主管部门</w:t>
            </w:r>
          </w:p>
        </w:tc>
        <w:tc>
          <w:tcPr>
            <w:tcW w:w="2128" w:type="dxa"/>
            <w:gridSpan w:val="2"/>
            <w:vAlign w:val="center"/>
          </w:tcPr>
          <w:p>
            <w:pPr>
              <w:pStyle w:val="16"/>
              <w:spacing w:before="156" w:line="219" w:lineRule="auto"/>
              <w:jc w:val="center"/>
              <w:rPr>
                <w:rFonts w:ascii="Times New Roman" w:hAnsi="Times New Roman" w:cs="Times New Roman"/>
                <w:sz w:val="20"/>
                <w:szCs w:val="20"/>
              </w:rPr>
            </w:pPr>
            <w:r>
              <w:rPr>
                <w:rFonts w:ascii="Times New Roman" w:hAnsi="Times New Roman" w:cs="Times New Roman"/>
                <w:spacing w:val="-2"/>
                <w:sz w:val="20"/>
                <w:szCs w:val="20"/>
              </w:rPr>
              <w:t>农业农村部</w:t>
            </w:r>
          </w:p>
        </w:tc>
        <w:tc>
          <w:tcPr>
            <w:tcW w:w="1145" w:type="dxa"/>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2"/>
                <w:sz w:val="20"/>
                <w:szCs w:val="20"/>
              </w:rPr>
              <w:t>专项实施期</w:t>
            </w:r>
          </w:p>
        </w:tc>
        <w:tc>
          <w:tcPr>
            <w:tcW w:w="2651" w:type="dxa"/>
            <w:vAlign w:val="center"/>
          </w:tcPr>
          <w:p>
            <w:pPr>
              <w:pStyle w:val="16"/>
              <w:spacing w:before="158" w:line="220" w:lineRule="auto"/>
              <w:jc w:val="center"/>
              <w:rPr>
                <w:rFonts w:ascii="Times New Roman" w:hAnsi="Times New Roman" w:cs="Times New Roman"/>
                <w:sz w:val="20"/>
                <w:szCs w:val="20"/>
              </w:rPr>
            </w:pPr>
            <w:r>
              <w:rPr>
                <w:rFonts w:ascii="Times New Roman" w:hAnsi="Times New Roman" w:cs="Times New Roman"/>
                <w:spacing w:val="6"/>
                <w:sz w:val="20"/>
                <w:szCs w:val="20"/>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4058" w:type="dxa"/>
            <w:gridSpan w:val="3"/>
            <w:vAlign w:val="center"/>
          </w:tcPr>
          <w:p>
            <w:pPr>
              <w:pStyle w:val="16"/>
              <w:spacing w:before="147" w:line="219" w:lineRule="auto"/>
              <w:jc w:val="center"/>
              <w:rPr>
                <w:rFonts w:ascii="Times New Roman" w:hAnsi="Times New Roman" w:cs="Times New Roman"/>
                <w:sz w:val="20"/>
                <w:szCs w:val="20"/>
              </w:rPr>
            </w:pPr>
            <w:r>
              <w:rPr>
                <w:rFonts w:ascii="Times New Roman" w:hAnsi="Times New Roman" w:cs="Times New Roman"/>
                <w:spacing w:val="3"/>
                <w:sz w:val="20"/>
                <w:szCs w:val="20"/>
              </w:rPr>
              <w:t>省级财政部门</w:t>
            </w:r>
          </w:p>
        </w:tc>
        <w:tc>
          <w:tcPr>
            <w:tcW w:w="2128" w:type="dxa"/>
            <w:gridSpan w:val="2"/>
            <w:vAlign w:val="center"/>
          </w:tcPr>
          <w:p>
            <w:pPr>
              <w:pStyle w:val="16"/>
              <w:spacing w:before="37" w:line="210" w:lineRule="auto"/>
              <w:ind w:right="122"/>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新疆维吾尔自治区财政</w:t>
            </w:r>
            <w:r>
              <w:rPr>
                <w:rFonts w:ascii="Times New Roman" w:hAnsi="Times New Roman" w:cs="Times New Roman"/>
                <w:sz w:val="20"/>
                <w:szCs w:val="20"/>
                <w:lang w:eastAsia="zh-CN"/>
              </w:rPr>
              <w:t>厅</w:t>
            </w:r>
          </w:p>
        </w:tc>
        <w:tc>
          <w:tcPr>
            <w:tcW w:w="1145" w:type="dxa"/>
            <w:vAlign w:val="center"/>
          </w:tcPr>
          <w:p>
            <w:pPr>
              <w:pStyle w:val="16"/>
              <w:spacing w:before="147" w:line="219" w:lineRule="auto"/>
              <w:jc w:val="center"/>
              <w:rPr>
                <w:rFonts w:ascii="Times New Roman" w:hAnsi="Times New Roman" w:cs="Times New Roman"/>
                <w:sz w:val="20"/>
                <w:szCs w:val="20"/>
              </w:rPr>
            </w:pPr>
            <w:r>
              <w:rPr>
                <w:rFonts w:ascii="Times New Roman" w:hAnsi="Times New Roman" w:cs="Times New Roman"/>
                <w:spacing w:val="3"/>
                <w:sz w:val="20"/>
                <w:szCs w:val="20"/>
              </w:rPr>
              <w:t>省级主管部门</w:t>
            </w:r>
          </w:p>
        </w:tc>
        <w:tc>
          <w:tcPr>
            <w:tcW w:w="2651" w:type="dxa"/>
            <w:vAlign w:val="center"/>
          </w:tcPr>
          <w:p>
            <w:pPr>
              <w:pStyle w:val="16"/>
              <w:spacing w:before="27" w:line="215" w:lineRule="auto"/>
              <w:ind w:left="518" w:right="53" w:hanging="470"/>
              <w:jc w:val="center"/>
              <w:rPr>
                <w:rFonts w:ascii="Times New Roman" w:hAnsi="Times New Roman" w:cs="Times New Roman"/>
                <w:spacing w:val="-1"/>
                <w:sz w:val="20"/>
                <w:szCs w:val="20"/>
                <w:lang w:eastAsia="zh-CN"/>
              </w:rPr>
            </w:pPr>
            <w:r>
              <w:rPr>
                <w:rFonts w:ascii="Times New Roman" w:hAnsi="Times New Roman" w:cs="Times New Roman"/>
                <w:spacing w:val="-1"/>
                <w:sz w:val="20"/>
                <w:szCs w:val="20"/>
                <w:lang w:eastAsia="zh-CN"/>
              </w:rPr>
              <w:t>新疆维吾尔自治区</w:t>
            </w:r>
          </w:p>
          <w:p>
            <w:pPr>
              <w:pStyle w:val="16"/>
              <w:spacing w:before="27" w:line="215" w:lineRule="auto"/>
              <w:ind w:left="518" w:right="53" w:hanging="470"/>
              <w:jc w:val="center"/>
              <w:rPr>
                <w:rFonts w:ascii="Times New Roman" w:hAnsi="Times New Roman" w:cs="Times New Roman"/>
                <w:sz w:val="20"/>
                <w:szCs w:val="20"/>
                <w:lang w:eastAsia="zh-CN"/>
              </w:rPr>
            </w:pPr>
            <w:r>
              <w:rPr>
                <w:rFonts w:ascii="Times New Roman" w:hAnsi="Times New Roman" w:cs="Times New Roman"/>
                <w:spacing w:val="-1"/>
                <w:sz w:val="20"/>
                <w:szCs w:val="20"/>
                <w:lang w:eastAsia="zh-CN"/>
              </w:rPr>
              <w:t>农</w:t>
            </w:r>
            <w:r>
              <w:rPr>
                <w:rFonts w:ascii="Times New Roman" w:hAnsi="Times New Roman" w:cs="Times New Roman"/>
                <w:spacing w:val="-2"/>
                <w:sz w:val="20"/>
                <w:szCs w:val="20"/>
                <w:lang w:eastAsia="zh-CN"/>
              </w:rPr>
              <w:t>业农村厅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1340" w:type="dxa"/>
            <w:vMerge w:val="restart"/>
            <w:vAlign w:val="center"/>
          </w:tcPr>
          <w:p>
            <w:pPr>
              <w:spacing w:line="255" w:lineRule="auto"/>
              <w:jc w:val="center"/>
              <w:rPr>
                <w:sz w:val="20"/>
                <w:szCs w:val="20"/>
              </w:rPr>
            </w:pPr>
          </w:p>
          <w:p>
            <w:pPr>
              <w:pStyle w:val="16"/>
              <w:spacing w:before="62" w:line="269" w:lineRule="exact"/>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资金情况</w:t>
            </w:r>
          </w:p>
        </w:tc>
        <w:tc>
          <w:tcPr>
            <w:tcW w:w="2718" w:type="dxa"/>
            <w:gridSpan w:val="2"/>
            <w:vAlign w:val="center"/>
          </w:tcPr>
          <w:p>
            <w:pPr>
              <w:pStyle w:val="16"/>
              <w:spacing w:before="157" w:line="219" w:lineRule="auto"/>
              <w:ind w:left="11"/>
              <w:jc w:val="center"/>
              <w:rPr>
                <w:rFonts w:ascii="Times New Roman" w:hAnsi="Times New Roman" w:cs="Times New Roman"/>
                <w:sz w:val="20"/>
                <w:szCs w:val="20"/>
              </w:rPr>
            </w:pPr>
            <w:r>
              <w:rPr>
                <w:rFonts w:ascii="Times New Roman" w:hAnsi="Times New Roman" w:cs="Times New Roman"/>
                <w:spacing w:val="-1"/>
                <w:sz w:val="20"/>
                <w:szCs w:val="20"/>
              </w:rPr>
              <w:t>年度金额：</w:t>
            </w:r>
          </w:p>
        </w:tc>
        <w:tc>
          <w:tcPr>
            <w:tcW w:w="5924" w:type="dxa"/>
            <w:gridSpan w:val="4"/>
            <w:vAlign w:val="center"/>
          </w:tcPr>
          <w:p>
            <w:pPr>
              <w:pStyle w:val="16"/>
              <w:spacing w:before="158" w:line="220" w:lineRule="auto"/>
              <w:jc w:val="center"/>
              <w:rPr>
                <w:rFonts w:ascii="Times New Roman" w:hAnsi="Times New Roman" w:cs="Times New Roman"/>
                <w:sz w:val="20"/>
                <w:szCs w:val="20"/>
              </w:rPr>
            </w:pPr>
            <w:r>
              <w:rPr>
                <w:rFonts w:hint="eastAsia" w:ascii="Times New Roman" w:hAnsi="Times New Roman" w:cs="Times New Roman"/>
                <w:spacing w:val="1"/>
                <w:sz w:val="20"/>
                <w:szCs w:val="20"/>
                <w:lang w:eastAsia="zh-CN"/>
              </w:rPr>
              <w:t>9820</w:t>
            </w:r>
            <w:r>
              <w:rPr>
                <w:rFonts w:ascii="Times New Roman" w:hAnsi="Times New Roman" w:cs="Times New Roman"/>
                <w:spacing w:val="1"/>
                <w:sz w:val="20"/>
                <w:szCs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1340" w:type="dxa"/>
            <w:vMerge w:val="continue"/>
            <w:vAlign w:val="center"/>
          </w:tcPr>
          <w:p>
            <w:pPr>
              <w:jc w:val="center"/>
              <w:rPr>
                <w:sz w:val="20"/>
                <w:szCs w:val="20"/>
              </w:rPr>
            </w:pPr>
          </w:p>
        </w:tc>
        <w:tc>
          <w:tcPr>
            <w:tcW w:w="2718" w:type="dxa"/>
            <w:gridSpan w:val="2"/>
            <w:vAlign w:val="center"/>
          </w:tcPr>
          <w:p>
            <w:pPr>
              <w:pStyle w:val="16"/>
              <w:spacing w:before="168" w:line="220" w:lineRule="auto"/>
              <w:jc w:val="center"/>
              <w:rPr>
                <w:rFonts w:ascii="Times New Roman" w:hAnsi="Times New Roman" w:cs="Times New Roman"/>
                <w:sz w:val="20"/>
                <w:szCs w:val="20"/>
              </w:rPr>
            </w:pPr>
            <w:r>
              <w:rPr>
                <w:rFonts w:ascii="Times New Roman" w:hAnsi="Times New Roman" w:cs="Times New Roman"/>
                <w:spacing w:val="1"/>
                <w:sz w:val="20"/>
                <w:szCs w:val="20"/>
              </w:rPr>
              <w:t>其中：中央补助</w:t>
            </w:r>
          </w:p>
        </w:tc>
        <w:tc>
          <w:tcPr>
            <w:tcW w:w="5924" w:type="dxa"/>
            <w:gridSpan w:val="4"/>
            <w:vAlign w:val="center"/>
          </w:tcPr>
          <w:p>
            <w:pPr>
              <w:pStyle w:val="16"/>
              <w:spacing w:before="168" w:line="220" w:lineRule="auto"/>
              <w:jc w:val="center"/>
              <w:rPr>
                <w:rFonts w:ascii="Times New Roman" w:hAnsi="Times New Roman" w:cs="Times New Roman"/>
                <w:sz w:val="20"/>
                <w:szCs w:val="20"/>
              </w:rPr>
            </w:pPr>
            <w:r>
              <w:rPr>
                <w:rFonts w:hint="eastAsia" w:ascii="Times New Roman" w:hAnsi="Times New Roman" w:cs="Times New Roman"/>
                <w:spacing w:val="1"/>
                <w:sz w:val="20"/>
                <w:szCs w:val="20"/>
                <w:lang w:eastAsia="zh-CN"/>
              </w:rPr>
              <w:t>9820</w:t>
            </w:r>
            <w:r>
              <w:rPr>
                <w:rFonts w:ascii="Times New Roman" w:hAnsi="Times New Roman" w:cs="Times New Roman"/>
                <w:spacing w:val="1"/>
                <w:sz w:val="20"/>
                <w:szCs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1340" w:type="dxa"/>
            <w:vMerge w:val="continue"/>
            <w:vAlign w:val="center"/>
          </w:tcPr>
          <w:p>
            <w:pPr>
              <w:jc w:val="center"/>
              <w:rPr>
                <w:sz w:val="20"/>
                <w:szCs w:val="20"/>
              </w:rPr>
            </w:pPr>
          </w:p>
        </w:tc>
        <w:tc>
          <w:tcPr>
            <w:tcW w:w="2718" w:type="dxa"/>
            <w:gridSpan w:val="2"/>
            <w:vAlign w:val="center"/>
          </w:tcPr>
          <w:p>
            <w:pPr>
              <w:pStyle w:val="16"/>
              <w:spacing w:before="158" w:line="221" w:lineRule="auto"/>
              <w:jc w:val="center"/>
              <w:rPr>
                <w:rFonts w:ascii="Times New Roman" w:hAnsi="Times New Roman" w:cs="Times New Roman"/>
                <w:sz w:val="20"/>
                <w:szCs w:val="20"/>
              </w:rPr>
            </w:pPr>
            <w:r>
              <w:rPr>
                <w:rFonts w:ascii="Times New Roman" w:hAnsi="Times New Roman" w:cs="Times New Roman"/>
                <w:spacing w:val="-2"/>
                <w:sz w:val="20"/>
                <w:szCs w:val="20"/>
              </w:rPr>
              <w:t>地方资金</w:t>
            </w:r>
          </w:p>
        </w:tc>
        <w:tc>
          <w:tcPr>
            <w:tcW w:w="5924" w:type="dxa"/>
            <w:gridSpan w:val="4"/>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9" w:hRule="atLeast"/>
        </w:trPr>
        <w:tc>
          <w:tcPr>
            <w:tcW w:w="1340" w:type="dxa"/>
            <w:vAlign w:val="center"/>
          </w:tcPr>
          <w:p>
            <w:pPr>
              <w:pStyle w:val="16"/>
              <w:spacing w:before="299" w:line="216" w:lineRule="auto"/>
              <w:jc w:val="center"/>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pacing w:val="-38"/>
                <w:sz w:val="20"/>
                <w:szCs w:val="20"/>
              </w:rPr>
              <w:t xml:space="preserve"> </w:t>
            </w:r>
            <w:r>
              <w:rPr>
                <w:rFonts w:ascii="Times New Roman" w:hAnsi="Times New Roman" w:cs="Times New Roman"/>
                <w:sz w:val="20"/>
                <w:szCs w:val="20"/>
              </w:rPr>
              <w:t>度</w:t>
            </w:r>
            <w:r>
              <w:rPr>
                <w:rFonts w:ascii="Times New Roman" w:hAnsi="Times New Roman" w:cs="Times New Roman"/>
                <w:spacing w:val="-38"/>
                <w:sz w:val="20"/>
                <w:szCs w:val="20"/>
              </w:rPr>
              <w:t xml:space="preserve"> </w:t>
            </w:r>
            <w:r>
              <w:rPr>
                <w:rFonts w:ascii="Times New Roman" w:hAnsi="Times New Roman" w:cs="Times New Roman"/>
                <w:sz w:val="20"/>
                <w:szCs w:val="20"/>
              </w:rPr>
              <w:t>目</w:t>
            </w:r>
            <w:r>
              <w:rPr>
                <w:rFonts w:ascii="Times New Roman" w:hAnsi="Times New Roman" w:cs="Times New Roman"/>
                <w:spacing w:val="-38"/>
                <w:sz w:val="20"/>
                <w:szCs w:val="20"/>
              </w:rPr>
              <w:t xml:space="preserve"> </w:t>
            </w:r>
            <w:r>
              <w:rPr>
                <w:rFonts w:ascii="Times New Roman" w:hAnsi="Times New Roman" w:cs="Times New Roman"/>
                <w:sz w:val="20"/>
                <w:szCs w:val="20"/>
              </w:rPr>
              <w:t>标</w:t>
            </w:r>
          </w:p>
        </w:tc>
        <w:tc>
          <w:tcPr>
            <w:tcW w:w="8642" w:type="dxa"/>
            <w:gridSpan w:val="6"/>
          </w:tcPr>
          <w:p>
            <w:pPr>
              <w:pStyle w:val="16"/>
              <w:spacing w:before="187" w:line="232" w:lineRule="auto"/>
              <w:ind w:right="43"/>
              <w:rPr>
                <w:rFonts w:ascii="Times New Roman" w:hAnsi="Times New Roman" w:cs="Times New Roman"/>
                <w:sz w:val="20"/>
                <w:szCs w:val="20"/>
                <w:lang w:eastAsia="zh-CN"/>
              </w:rPr>
            </w:pPr>
            <w:r>
              <w:rPr>
                <w:rFonts w:hint="eastAsia" w:ascii="Times New Roman" w:hAnsi="Times New Roman" w:cs="Times New Roman"/>
                <w:sz w:val="20"/>
                <w:szCs w:val="20"/>
                <w:lang w:eastAsia="zh-CN"/>
              </w:rPr>
              <w:t>通过使用救灾资金，调运和储备饲草料，减少灾害损失，确保全年畜牧业生产稳定。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trPr>
        <w:tc>
          <w:tcPr>
            <w:tcW w:w="1340" w:type="dxa"/>
            <w:vMerge w:val="restart"/>
            <w:vAlign w:val="center"/>
          </w:tcPr>
          <w:p>
            <w:pPr>
              <w:pStyle w:val="16"/>
              <w:spacing w:before="298" w:line="217" w:lineRule="auto"/>
              <w:jc w:val="center"/>
              <w:rPr>
                <w:rFonts w:ascii="Times New Roman" w:hAnsi="Times New Roman" w:cs="Times New Roman"/>
                <w:sz w:val="20"/>
                <w:szCs w:val="20"/>
              </w:rPr>
            </w:pPr>
            <w:r>
              <w:rPr>
                <w:rFonts w:ascii="Times New Roman" w:hAnsi="Times New Roman" w:cs="Times New Roman"/>
                <w:sz w:val="20"/>
                <w:szCs w:val="20"/>
              </w:rPr>
              <w:t>绩效指标</w:t>
            </w:r>
          </w:p>
        </w:tc>
        <w:tc>
          <w:tcPr>
            <w:tcW w:w="900" w:type="dxa"/>
            <w:vAlign w:val="center"/>
          </w:tcPr>
          <w:p>
            <w:pPr>
              <w:pStyle w:val="16"/>
              <w:spacing w:before="210" w:line="193"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一级指标</w:t>
            </w:r>
          </w:p>
        </w:tc>
        <w:tc>
          <w:tcPr>
            <w:tcW w:w="1915"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二级指标</w:t>
            </w:r>
          </w:p>
        </w:tc>
        <w:tc>
          <w:tcPr>
            <w:tcW w:w="3176" w:type="dxa"/>
            <w:gridSpan w:val="2"/>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2"/>
                <w:sz w:val="20"/>
                <w:szCs w:val="20"/>
              </w:rPr>
              <w:t>三级指标</w:t>
            </w:r>
          </w:p>
        </w:tc>
        <w:tc>
          <w:tcPr>
            <w:tcW w:w="2651" w:type="dxa"/>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3"/>
                <w:sz w:val="20"/>
                <w:szCs w:val="20"/>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restart"/>
            <w:vAlign w:val="center"/>
          </w:tcPr>
          <w:p>
            <w:pPr>
              <w:spacing w:line="285" w:lineRule="auto"/>
              <w:jc w:val="center"/>
              <w:rPr>
                <w:rFonts w:eastAsia="宋体"/>
                <w:spacing w:val="-2"/>
                <w:sz w:val="20"/>
                <w:szCs w:val="20"/>
              </w:rPr>
            </w:pPr>
            <w:r>
              <w:rPr>
                <w:rFonts w:hint="eastAsia" w:eastAsia="宋体"/>
                <w:spacing w:val="-2"/>
                <w:sz w:val="20"/>
                <w:szCs w:val="20"/>
              </w:rPr>
              <w:t>产出指标</w:t>
            </w:r>
          </w:p>
          <w:p>
            <w:pPr>
              <w:pStyle w:val="16"/>
              <w:spacing w:before="64" w:line="216" w:lineRule="auto"/>
              <w:ind w:left="1242"/>
              <w:jc w:val="center"/>
              <w:rPr>
                <w:rFonts w:ascii="Times New Roman" w:hAnsi="Times New Roman" w:cs="Times New Roman"/>
                <w:sz w:val="20"/>
                <w:szCs w:val="20"/>
              </w:rPr>
            </w:pPr>
          </w:p>
        </w:tc>
        <w:tc>
          <w:tcPr>
            <w:tcW w:w="1915" w:type="dxa"/>
            <w:gridSpan w:val="2"/>
            <w:vAlign w:val="center"/>
          </w:tcPr>
          <w:p>
            <w:pPr>
              <w:pStyle w:val="16"/>
              <w:spacing w:before="62" w:line="219" w:lineRule="auto"/>
              <w:jc w:val="center"/>
              <w:rPr>
                <w:rFonts w:ascii="Times New Roman" w:hAnsi="Times New Roman" w:cs="Times New Roman"/>
                <w:sz w:val="20"/>
                <w:szCs w:val="20"/>
              </w:rPr>
            </w:pPr>
            <w:r>
              <w:rPr>
                <w:rFonts w:ascii="Times New Roman" w:hAnsi="Times New Roman" w:cs="Times New Roman"/>
                <w:spacing w:val="-2"/>
                <w:sz w:val="20"/>
                <w:szCs w:val="20"/>
              </w:rPr>
              <w:t>数量指标</w:t>
            </w: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调运和储备饲草料</w:t>
            </w:r>
          </w:p>
        </w:tc>
        <w:tc>
          <w:tcPr>
            <w:tcW w:w="2651" w:type="dxa"/>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pacing w:val="-4"/>
                <w:sz w:val="20"/>
                <w:szCs w:val="20"/>
                <w:lang w:eastAsia="zh-CN"/>
              </w:rPr>
              <w:t>≥</w:t>
            </w:r>
            <w:r>
              <w:rPr>
                <w:rFonts w:hint="eastAsia"/>
                <w:spacing w:val="-4"/>
                <w:sz w:val="20"/>
                <w:szCs w:val="20"/>
                <w:lang w:eastAsia="zh-CN"/>
              </w:rPr>
              <w:t>**</w:t>
            </w:r>
            <w:r>
              <w:rPr>
                <w:rFonts w:ascii="Times New Roman" w:hAnsi="Times New Roman" w:cs="Times New Roman"/>
                <w:spacing w:val="-4"/>
                <w:sz w:val="20"/>
                <w:szCs w:val="20"/>
              </w:rPr>
              <w:t>万</w:t>
            </w:r>
            <w:r>
              <w:rPr>
                <w:rFonts w:hint="eastAsia" w:ascii="Times New Roman" w:hAnsi="Times New Roman" w:cs="Times New Roman"/>
                <w:spacing w:val="-4"/>
                <w:sz w:val="20"/>
                <w:szCs w:val="20"/>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4"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Align w:val="center"/>
          </w:tcPr>
          <w:p>
            <w:pPr>
              <w:pStyle w:val="16"/>
              <w:spacing w:before="62" w:line="220" w:lineRule="auto"/>
              <w:jc w:val="center"/>
              <w:rPr>
                <w:rFonts w:ascii="Times New Roman" w:hAnsi="Times New Roman" w:cs="Times New Roman"/>
                <w:sz w:val="20"/>
                <w:szCs w:val="20"/>
              </w:rPr>
            </w:pPr>
            <w:r>
              <w:rPr>
                <w:rFonts w:ascii="Times New Roman" w:hAnsi="Times New Roman" w:cs="Times New Roman"/>
                <w:spacing w:val="-2"/>
                <w:sz w:val="20"/>
                <w:szCs w:val="20"/>
              </w:rPr>
              <w:t>质量指标</w:t>
            </w: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pacing w:val="2"/>
                <w:sz w:val="20"/>
                <w:szCs w:val="20"/>
                <w:lang w:eastAsia="zh-CN"/>
              </w:rPr>
              <w:t>用于农业生产防灾减灾救灾相关支出比例</w:t>
            </w:r>
          </w:p>
        </w:tc>
        <w:tc>
          <w:tcPr>
            <w:tcW w:w="2651" w:type="dxa"/>
            <w:vAlign w:val="center"/>
          </w:tcPr>
          <w:p>
            <w:pPr>
              <w:pStyle w:val="16"/>
              <w:spacing w:before="220" w:line="218" w:lineRule="auto"/>
              <w:ind w:right="53"/>
              <w:jc w:val="center"/>
              <w:rPr>
                <w:rFonts w:ascii="Times New Roman" w:hAnsi="Times New Roman" w:cs="Times New Roman"/>
                <w:sz w:val="20"/>
                <w:szCs w:val="20"/>
              </w:rPr>
            </w:pPr>
            <w:r>
              <w:rPr>
                <w:rFonts w:hint="eastAsia" w:ascii="Times New Roman" w:hAnsi="Times New Roman" w:cs="Times New Roman"/>
                <w:spacing w:val="-4"/>
                <w:sz w:val="20"/>
                <w:szCs w:val="20"/>
                <w:lang w:eastAsia="zh-CN"/>
              </w:rPr>
              <w:t>≥</w:t>
            </w:r>
            <w:r>
              <w:rPr>
                <w:rFonts w:hint="eastAsia"/>
                <w:spacing w:val="-4"/>
                <w:sz w:val="20"/>
                <w:szCs w:val="20"/>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Merge w:val="restart"/>
            <w:vAlign w:val="center"/>
          </w:tcPr>
          <w:p>
            <w:pPr>
              <w:pStyle w:val="16"/>
              <w:spacing w:before="61" w:line="220" w:lineRule="auto"/>
              <w:jc w:val="center"/>
              <w:rPr>
                <w:rFonts w:ascii="Times New Roman" w:hAnsi="Times New Roman" w:cs="Times New Roman"/>
                <w:sz w:val="20"/>
                <w:szCs w:val="20"/>
              </w:rPr>
            </w:pPr>
            <w:r>
              <w:rPr>
                <w:rFonts w:ascii="Times New Roman" w:hAnsi="Times New Roman" w:cs="Times New Roman"/>
                <w:spacing w:val="1"/>
                <w:sz w:val="20"/>
                <w:szCs w:val="20"/>
              </w:rPr>
              <w:t>时效指标</w:t>
            </w: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pacing w:val="-1"/>
                <w:sz w:val="20"/>
                <w:szCs w:val="20"/>
                <w:lang w:eastAsia="zh-CN"/>
              </w:rPr>
              <w:t>灾后恢复时效性</w:t>
            </w:r>
          </w:p>
        </w:tc>
        <w:tc>
          <w:tcPr>
            <w:tcW w:w="2651" w:type="dxa"/>
            <w:vAlign w:val="center"/>
          </w:tcPr>
          <w:p>
            <w:pPr>
              <w:pStyle w:val="16"/>
              <w:spacing w:before="202" w:line="222" w:lineRule="auto"/>
              <w:ind w:right="51"/>
              <w:jc w:val="center"/>
              <w:rPr>
                <w:rFonts w:ascii="Times New Roman" w:hAnsi="Times New Roman" w:cs="Times New Roman"/>
                <w:sz w:val="20"/>
                <w:szCs w:val="20"/>
              </w:rPr>
            </w:pPr>
            <w:r>
              <w:rPr>
                <w:rFonts w:hint="eastAsia" w:ascii="Times New Roman" w:hAnsi="Times New Roman" w:cs="Times New Roman"/>
                <w:spacing w:val="-4"/>
                <w:sz w:val="20"/>
                <w:szCs w:val="20"/>
                <w:lang w:eastAsia="zh-CN"/>
              </w:rPr>
              <w:t>及时恢复正常生产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Merge w:val="continue"/>
            <w:vAlign w:val="center"/>
          </w:tcPr>
          <w:p>
            <w:pPr>
              <w:pStyle w:val="16"/>
              <w:spacing w:before="61" w:line="220" w:lineRule="auto"/>
              <w:jc w:val="center"/>
              <w:rPr>
                <w:rFonts w:ascii="Times New Roman" w:hAnsi="Times New Roman" w:cs="Times New Roman"/>
                <w:spacing w:val="1"/>
                <w:sz w:val="20"/>
                <w:szCs w:val="20"/>
              </w:rPr>
            </w:pPr>
          </w:p>
        </w:tc>
        <w:tc>
          <w:tcPr>
            <w:tcW w:w="3176" w:type="dxa"/>
            <w:gridSpan w:val="2"/>
            <w:vAlign w:val="center"/>
          </w:tcPr>
          <w:p>
            <w:pPr>
              <w:pStyle w:val="16"/>
              <w:spacing w:before="61" w:line="220" w:lineRule="auto"/>
              <w:jc w:val="center"/>
              <w:rPr>
                <w:rFonts w:ascii="Times New Roman" w:hAnsi="Times New Roman" w:cs="Times New Roman"/>
                <w:sz w:val="20"/>
                <w:szCs w:val="20"/>
                <w:lang w:eastAsia="zh-CN"/>
              </w:rPr>
            </w:pPr>
            <w:r>
              <w:rPr>
                <w:rFonts w:hint="eastAsia" w:ascii="Times New Roman" w:hAnsi="Times New Roman" w:cs="Times New Roman"/>
                <w:spacing w:val="-1"/>
                <w:sz w:val="20"/>
                <w:szCs w:val="20"/>
                <w:lang w:eastAsia="zh-CN"/>
              </w:rPr>
              <w:t>救灾资金下达省3个月内预算执行率</w:t>
            </w:r>
          </w:p>
        </w:tc>
        <w:tc>
          <w:tcPr>
            <w:tcW w:w="2651" w:type="dxa"/>
            <w:vAlign w:val="center"/>
          </w:tcPr>
          <w:p>
            <w:pPr>
              <w:pStyle w:val="16"/>
              <w:spacing w:before="202" w:line="222" w:lineRule="auto"/>
              <w:ind w:right="51"/>
              <w:jc w:val="center"/>
              <w:rPr>
                <w:rFonts w:ascii="Times New Roman" w:hAnsi="Times New Roman" w:cs="Times New Roman"/>
                <w:sz w:val="20"/>
                <w:szCs w:val="20"/>
                <w:lang w:eastAsia="zh-CN"/>
              </w:rPr>
            </w:pPr>
            <w:r>
              <w:rPr>
                <w:rFonts w:hint="eastAsia" w:ascii="Times New Roman" w:hAnsi="Times New Roman" w:cs="Times New Roman"/>
                <w:spacing w:val="-4"/>
                <w:sz w:val="20"/>
                <w:szCs w:val="20"/>
                <w:lang w:eastAsia="zh-CN"/>
              </w:rPr>
              <w:t>≥</w:t>
            </w:r>
            <w:r>
              <w:rPr>
                <w:rFonts w:hint="eastAsia"/>
                <w:spacing w:val="-4"/>
                <w:sz w:val="20"/>
                <w:szCs w:val="20"/>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Align w:val="center"/>
          </w:tcPr>
          <w:p>
            <w:pPr>
              <w:pStyle w:val="16"/>
              <w:spacing w:before="61" w:line="219" w:lineRule="auto"/>
              <w:jc w:val="center"/>
              <w:rPr>
                <w:rFonts w:ascii="Times New Roman" w:hAnsi="Times New Roman" w:cs="Times New Roman"/>
                <w:sz w:val="20"/>
                <w:szCs w:val="20"/>
              </w:rPr>
            </w:pPr>
            <w:r>
              <w:rPr>
                <w:rFonts w:ascii="Times New Roman" w:hAnsi="Times New Roman" w:cs="Times New Roman"/>
                <w:spacing w:val="-2"/>
                <w:sz w:val="20"/>
                <w:szCs w:val="20"/>
              </w:rPr>
              <w:t>成本指标</w:t>
            </w:r>
          </w:p>
        </w:tc>
        <w:tc>
          <w:tcPr>
            <w:tcW w:w="3176" w:type="dxa"/>
            <w:gridSpan w:val="2"/>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pacing w:val="-1"/>
                <w:sz w:val="20"/>
                <w:szCs w:val="20"/>
                <w:lang w:eastAsia="zh-CN"/>
              </w:rPr>
              <w:t>严格执行资金预算管理规定</w:t>
            </w:r>
          </w:p>
        </w:tc>
        <w:tc>
          <w:tcPr>
            <w:tcW w:w="2651" w:type="dxa"/>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pacing w:val="-2"/>
                <w:sz w:val="20"/>
                <w:szCs w:val="20"/>
                <w:lang w:eastAsia="zh-CN"/>
              </w:rPr>
              <w:t>严格执行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restart"/>
            <w:vAlign w:val="center"/>
          </w:tcPr>
          <w:p>
            <w:pPr>
              <w:pStyle w:val="16"/>
              <w:spacing w:before="63" w:line="217" w:lineRule="auto"/>
              <w:jc w:val="center"/>
              <w:rPr>
                <w:rFonts w:ascii="Times New Roman" w:hAnsi="Times New Roman" w:cs="Times New Roman"/>
                <w:sz w:val="20"/>
                <w:szCs w:val="20"/>
              </w:rPr>
            </w:pPr>
            <w:r>
              <w:rPr>
                <w:rFonts w:ascii="Times New Roman" w:hAnsi="Times New Roman" w:cs="Times New Roman"/>
                <w:sz w:val="20"/>
                <w:szCs w:val="20"/>
              </w:rPr>
              <w:t>效益指标</w:t>
            </w:r>
          </w:p>
        </w:tc>
        <w:tc>
          <w:tcPr>
            <w:tcW w:w="1915" w:type="dxa"/>
            <w:gridSpan w:val="2"/>
            <w:vAlign w:val="center"/>
          </w:tcPr>
          <w:p>
            <w:pPr>
              <w:pStyle w:val="16"/>
              <w:spacing w:before="61"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经济效益指标</w:t>
            </w:r>
          </w:p>
        </w:tc>
        <w:tc>
          <w:tcPr>
            <w:tcW w:w="3176" w:type="dxa"/>
            <w:gridSpan w:val="2"/>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受灾地区主要牲畜存栏量减幅</w:t>
            </w:r>
          </w:p>
        </w:tc>
        <w:tc>
          <w:tcPr>
            <w:tcW w:w="2651" w:type="dxa"/>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重灾区减产、轻灾区不减产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vAlign w:val="center"/>
          </w:tcPr>
          <w:p>
            <w:pPr>
              <w:pStyle w:val="16"/>
              <w:spacing w:before="63" w:line="217" w:lineRule="auto"/>
              <w:jc w:val="center"/>
              <w:rPr>
                <w:rFonts w:ascii="Times New Roman" w:hAnsi="Times New Roman" w:cs="Times New Roman"/>
                <w:sz w:val="20"/>
                <w:szCs w:val="20"/>
                <w:lang w:eastAsia="zh-CN"/>
              </w:rPr>
            </w:pPr>
          </w:p>
        </w:tc>
        <w:tc>
          <w:tcPr>
            <w:tcW w:w="1915" w:type="dxa"/>
            <w:gridSpan w:val="2"/>
            <w:vAlign w:val="center"/>
          </w:tcPr>
          <w:p>
            <w:pPr>
              <w:pStyle w:val="16"/>
              <w:spacing w:before="61"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社会效益指标</w:t>
            </w:r>
          </w:p>
        </w:tc>
        <w:tc>
          <w:tcPr>
            <w:tcW w:w="3176" w:type="dxa"/>
            <w:gridSpan w:val="2"/>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灾区畜牧业生产秩序恢复</w:t>
            </w:r>
          </w:p>
        </w:tc>
        <w:tc>
          <w:tcPr>
            <w:tcW w:w="2651" w:type="dxa"/>
            <w:vAlign w:val="center"/>
          </w:tcPr>
          <w:p>
            <w:pPr>
              <w:pStyle w:val="16"/>
              <w:spacing w:before="62" w:line="218"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基本恢复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Align w:val="center"/>
          </w:tcPr>
          <w:p>
            <w:pPr>
              <w:pStyle w:val="16"/>
              <w:spacing w:before="223" w:line="208" w:lineRule="auto"/>
              <w:ind w:right="85"/>
              <w:jc w:val="center"/>
              <w:rPr>
                <w:rFonts w:ascii="Times New Roman" w:hAnsi="Times New Roman" w:cs="Times New Roman"/>
                <w:sz w:val="20"/>
                <w:szCs w:val="20"/>
              </w:rPr>
            </w:pPr>
            <w:r>
              <w:rPr>
                <w:rFonts w:hint="eastAsia" w:ascii="Times New Roman" w:hAnsi="Times New Roman" w:cs="Times New Roman"/>
                <w:spacing w:val="-2"/>
                <w:sz w:val="20"/>
                <w:szCs w:val="20"/>
                <w:lang w:eastAsia="zh-CN"/>
              </w:rPr>
              <w:t>生态效益</w:t>
            </w:r>
            <w:r>
              <w:rPr>
                <w:rFonts w:ascii="Times New Roman" w:hAnsi="Times New Roman" w:cs="Times New Roman"/>
                <w:spacing w:val="-2"/>
                <w:sz w:val="20"/>
                <w:szCs w:val="20"/>
              </w:rPr>
              <w:t>指标</w:t>
            </w:r>
          </w:p>
        </w:tc>
        <w:tc>
          <w:tcPr>
            <w:tcW w:w="3176" w:type="dxa"/>
            <w:gridSpan w:val="2"/>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灾区畜牧业生产能力恢复</w:t>
            </w:r>
          </w:p>
        </w:tc>
        <w:tc>
          <w:tcPr>
            <w:tcW w:w="2651" w:type="dxa"/>
            <w:vAlign w:val="center"/>
          </w:tcPr>
          <w:p>
            <w:pPr>
              <w:pStyle w:val="16"/>
              <w:spacing w:before="95" w:line="225" w:lineRule="auto"/>
              <w:ind w:left="48" w:right="31"/>
              <w:jc w:val="center"/>
              <w:rPr>
                <w:rFonts w:ascii="Times New Roman" w:hAnsi="Times New Roman" w:cs="Times New Roman"/>
                <w:sz w:val="20"/>
                <w:szCs w:val="20"/>
              </w:rPr>
            </w:pPr>
            <w:r>
              <w:rPr>
                <w:rFonts w:hint="eastAsia" w:ascii="Times New Roman" w:hAnsi="Times New Roman" w:cs="Times New Roman"/>
                <w:sz w:val="20"/>
                <w:szCs w:val="20"/>
                <w:lang w:eastAsia="zh-CN"/>
              </w:rPr>
              <w:t>基本恢复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Merge w:val="restart"/>
            <w:vAlign w:val="center"/>
          </w:tcPr>
          <w:p>
            <w:pPr>
              <w:pStyle w:val="16"/>
              <w:spacing w:before="226" w:line="212" w:lineRule="auto"/>
              <w:ind w:right="85"/>
              <w:jc w:val="center"/>
              <w:rPr>
                <w:rFonts w:ascii="Times New Roman" w:hAnsi="Times New Roman" w:cs="Times New Roman"/>
                <w:sz w:val="20"/>
                <w:szCs w:val="20"/>
              </w:rPr>
            </w:pPr>
            <w:r>
              <w:rPr>
                <w:rFonts w:ascii="Times New Roman" w:hAnsi="Times New Roman" w:cs="Times New Roman"/>
                <w:spacing w:val="-3"/>
                <w:sz w:val="20"/>
                <w:szCs w:val="20"/>
              </w:rPr>
              <w:t>可持续影</w:t>
            </w:r>
            <w:r>
              <w:rPr>
                <w:rFonts w:ascii="Times New Roman" w:hAnsi="Times New Roman" w:cs="Times New Roman"/>
                <w:spacing w:val="2"/>
                <w:sz w:val="20"/>
                <w:szCs w:val="20"/>
              </w:rPr>
              <w:t>响指标</w:t>
            </w:r>
          </w:p>
        </w:tc>
        <w:tc>
          <w:tcPr>
            <w:tcW w:w="3176" w:type="dxa"/>
            <w:gridSpan w:val="2"/>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z w:val="20"/>
                <w:szCs w:val="20"/>
                <w:lang w:eastAsia="zh-CN"/>
              </w:rPr>
              <w:t>稳定农民畜牧业生产积极性</w:t>
            </w:r>
          </w:p>
        </w:tc>
        <w:tc>
          <w:tcPr>
            <w:tcW w:w="2651" w:type="dxa"/>
            <w:vAlign w:val="center"/>
          </w:tcPr>
          <w:p>
            <w:pPr>
              <w:pStyle w:val="16"/>
              <w:spacing w:before="62" w:line="219" w:lineRule="auto"/>
              <w:jc w:val="center"/>
              <w:rPr>
                <w:rFonts w:ascii="Times New Roman" w:hAnsi="Times New Roman" w:cs="Times New Roman"/>
                <w:sz w:val="20"/>
                <w:szCs w:val="20"/>
                <w:lang w:eastAsia="zh-CN"/>
              </w:rPr>
            </w:pPr>
            <w:r>
              <w:rPr>
                <w:rFonts w:hint="eastAsia" w:ascii="Times New Roman" w:hAnsi="Times New Roman" w:cs="Times New Roman"/>
                <w:spacing w:val="3"/>
                <w:sz w:val="20"/>
                <w:szCs w:val="20"/>
                <w:lang w:eastAsia="zh-CN"/>
              </w:rPr>
              <w:t>保持稳定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1340" w:type="dxa"/>
            <w:vMerge w:val="continue"/>
            <w:textDirection w:val="tbRlV"/>
            <w:vAlign w:val="center"/>
          </w:tcPr>
          <w:p>
            <w:pPr>
              <w:jc w:val="center"/>
              <w:rPr>
                <w:sz w:val="20"/>
                <w:szCs w:val="20"/>
              </w:rPr>
            </w:pPr>
          </w:p>
        </w:tc>
        <w:tc>
          <w:tcPr>
            <w:tcW w:w="900" w:type="dxa"/>
            <w:vMerge w:val="continue"/>
            <w:textDirection w:val="tbRlV"/>
            <w:vAlign w:val="center"/>
          </w:tcPr>
          <w:p>
            <w:pPr>
              <w:jc w:val="center"/>
              <w:rPr>
                <w:sz w:val="20"/>
                <w:szCs w:val="20"/>
              </w:rPr>
            </w:pPr>
          </w:p>
        </w:tc>
        <w:tc>
          <w:tcPr>
            <w:tcW w:w="1915" w:type="dxa"/>
            <w:gridSpan w:val="2"/>
            <w:vMerge w:val="continue"/>
            <w:vAlign w:val="center"/>
          </w:tcPr>
          <w:p>
            <w:pPr>
              <w:pStyle w:val="16"/>
              <w:spacing w:before="226" w:line="212" w:lineRule="auto"/>
              <w:ind w:right="85"/>
              <w:jc w:val="center"/>
              <w:rPr>
                <w:rFonts w:ascii="Times New Roman" w:hAnsi="Times New Roman" w:cs="Times New Roman"/>
                <w:spacing w:val="-3"/>
                <w:sz w:val="20"/>
                <w:szCs w:val="20"/>
              </w:rPr>
            </w:pPr>
          </w:p>
        </w:tc>
        <w:tc>
          <w:tcPr>
            <w:tcW w:w="3176" w:type="dxa"/>
            <w:gridSpan w:val="2"/>
            <w:vAlign w:val="center"/>
          </w:tcPr>
          <w:p>
            <w:pPr>
              <w:pStyle w:val="16"/>
              <w:spacing w:before="62" w:line="219"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保证主要畜禽存栏稳定</w:t>
            </w:r>
          </w:p>
        </w:tc>
        <w:tc>
          <w:tcPr>
            <w:tcW w:w="2651" w:type="dxa"/>
            <w:vAlign w:val="center"/>
          </w:tcPr>
          <w:p>
            <w:pPr>
              <w:pStyle w:val="16"/>
              <w:spacing w:before="62" w:line="219" w:lineRule="auto"/>
              <w:jc w:val="center"/>
              <w:rPr>
                <w:rFonts w:ascii="Times New Roman" w:hAnsi="Times New Roman" w:cs="Times New Roman"/>
                <w:spacing w:val="3"/>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8" w:hRule="exact"/>
        </w:trPr>
        <w:tc>
          <w:tcPr>
            <w:tcW w:w="1340" w:type="dxa"/>
            <w:vMerge w:val="continue"/>
            <w:textDirection w:val="tbRlV"/>
            <w:vAlign w:val="center"/>
          </w:tcPr>
          <w:p>
            <w:pPr>
              <w:jc w:val="center"/>
              <w:rPr>
                <w:sz w:val="20"/>
                <w:szCs w:val="20"/>
              </w:rPr>
            </w:pPr>
          </w:p>
        </w:tc>
        <w:tc>
          <w:tcPr>
            <w:tcW w:w="900" w:type="dxa"/>
            <w:vAlign w:val="center"/>
          </w:tcPr>
          <w:p>
            <w:pPr>
              <w:pStyle w:val="16"/>
              <w:spacing w:before="207" w:line="217" w:lineRule="auto"/>
              <w:ind w:right="55"/>
              <w:jc w:val="center"/>
              <w:rPr>
                <w:rFonts w:ascii="Times New Roman" w:hAnsi="Times New Roman" w:cs="Times New Roman"/>
                <w:sz w:val="20"/>
                <w:szCs w:val="20"/>
              </w:rPr>
            </w:pPr>
            <w:r>
              <w:rPr>
                <w:rFonts w:ascii="Times New Roman" w:hAnsi="Times New Roman" w:cs="Times New Roman"/>
                <w:spacing w:val="3"/>
                <w:sz w:val="20"/>
                <w:szCs w:val="20"/>
              </w:rPr>
              <w:t>满意度指</w:t>
            </w:r>
            <w:r>
              <w:rPr>
                <w:rFonts w:ascii="Times New Roman" w:hAnsi="Times New Roman" w:cs="Times New Roman"/>
                <w:sz w:val="20"/>
                <w:szCs w:val="20"/>
              </w:rPr>
              <w:t>标</w:t>
            </w:r>
          </w:p>
        </w:tc>
        <w:tc>
          <w:tcPr>
            <w:tcW w:w="1915" w:type="dxa"/>
            <w:gridSpan w:val="2"/>
            <w:vAlign w:val="center"/>
          </w:tcPr>
          <w:p>
            <w:pPr>
              <w:pStyle w:val="16"/>
              <w:spacing w:before="85" w:line="223" w:lineRule="auto"/>
              <w:ind w:right="64"/>
              <w:jc w:val="center"/>
              <w:rPr>
                <w:rFonts w:ascii="Times New Roman" w:hAnsi="Times New Roman" w:cs="Times New Roman"/>
                <w:sz w:val="20"/>
                <w:szCs w:val="20"/>
                <w:lang w:eastAsia="zh-CN"/>
              </w:rPr>
            </w:pPr>
            <w:r>
              <w:rPr>
                <w:rFonts w:ascii="Times New Roman" w:hAnsi="Times New Roman" w:cs="Times New Roman"/>
                <w:spacing w:val="3"/>
                <w:sz w:val="20"/>
                <w:szCs w:val="20"/>
                <w:lang w:eastAsia="zh-CN"/>
              </w:rPr>
              <w:t>技术指导</w:t>
            </w:r>
            <w:r>
              <w:rPr>
                <w:rFonts w:ascii="Times New Roman" w:hAnsi="Times New Roman" w:cs="Times New Roman"/>
                <w:spacing w:val="-2"/>
                <w:sz w:val="20"/>
                <w:szCs w:val="20"/>
                <w:lang w:eastAsia="zh-CN"/>
              </w:rPr>
              <w:t>对象满意</w:t>
            </w:r>
            <w:r>
              <w:rPr>
                <w:rFonts w:hint="eastAsia" w:ascii="Times New Roman" w:hAnsi="Times New Roman" w:cs="Times New Roman"/>
                <w:spacing w:val="-2"/>
                <w:sz w:val="20"/>
                <w:szCs w:val="20"/>
                <w:lang w:eastAsia="zh-CN"/>
              </w:rPr>
              <w:t>指标</w:t>
            </w:r>
          </w:p>
        </w:tc>
        <w:tc>
          <w:tcPr>
            <w:tcW w:w="3176" w:type="dxa"/>
            <w:gridSpan w:val="2"/>
            <w:vAlign w:val="center"/>
          </w:tcPr>
          <w:p>
            <w:pPr>
              <w:pStyle w:val="16"/>
              <w:spacing w:before="62" w:line="219"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受灾农民或防治服务组织满意度</w:t>
            </w:r>
          </w:p>
        </w:tc>
        <w:tc>
          <w:tcPr>
            <w:tcW w:w="2651" w:type="dxa"/>
            <w:vAlign w:val="center"/>
          </w:tcPr>
          <w:p>
            <w:pPr>
              <w:pStyle w:val="16"/>
              <w:spacing w:before="62" w:line="237" w:lineRule="auto"/>
              <w:jc w:val="center"/>
              <w:rPr>
                <w:rFonts w:ascii="Times New Roman" w:hAnsi="Times New Roman" w:cs="Times New Roman"/>
                <w:sz w:val="20"/>
                <w:szCs w:val="20"/>
              </w:rPr>
            </w:pPr>
            <w:r>
              <w:rPr>
                <w:rFonts w:ascii="Times New Roman" w:hAnsi="Times New Roman" w:cs="Times New Roman"/>
                <w:spacing w:val="-6"/>
                <w:sz w:val="20"/>
                <w:szCs w:val="20"/>
              </w:rPr>
              <w:t>≥85%</w:t>
            </w:r>
          </w:p>
        </w:tc>
      </w:tr>
    </w:tbl>
    <w:p>
      <w:pPr>
        <w:keepNext w:val="0"/>
        <w:keepLines w:val="0"/>
        <w:pageBreakBefore w:val="0"/>
        <w:widowControl w:val="0"/>
        <w:kinsoku/>
        <w:wordWrap/>
        <w:overflowPunct/>
        <w:topLinePunct w:val="0"/>
        <w:autoSpaceDE/>
        <w:autoSpaceDN/>
        <w:bidi w:val="0"/>
        <w:adjustRightInd/>
        <w:snapToGrid/>
        <w:spacing w:line="520" w:lineRule="exact"/>
        <w:ind w:firstLine="429" w:firstLineChars="200"/>
        <w:jc w:val="center"/>
        <w:textAlignment w:val="auto"/>
        <w:outlineLvl w:val="0"/>
        <w:rPr>
          <w:rFonts w:eastAsia="宋体"/>
          <w:b/>
          <w:bCs/>
          <w:spacing w:val="-8"/>
          <w:sz w:val="23"/>
          <w:szCs w:val="23"/>
        </w:rPr>
      </w:pPr>
      <w:r>
        <w:rPr>
          <w:rFonts w:eastAsia="宋体"/>
          <w:b/>
          <w:bCs/>
          <w:spacing w:val="-8"/>
          <w:sz w:val="23"/>
          <w:szCs w:val="23"/>
        </w:rPr>
        <w:t>农业防灾减灾和水利救灾资金</w:t>
      </w:r>
      <w:r>
        <w:rPr>
          <w:rFonts w:hint="eastAsia" w:eastAsia="宋体"/>
          <w:b/>
          <w:bCs/>
          <w:spacing w:val="-8"/>
          <w:sz w:val="23"/>
          <w:szCs w:val="23"/>
        </w:rPr>
        <w:t>（动物防疫补助）</w:t>
      </w:r>
      <w:r>
        <w:rPr>
          <w:rFonts w:eastAsia="宋体"/>
          <w:b/>
          <w:bCs/>
          <w:spacing w:val="-8"/>
          <w:sz w:val="23"/>
          <w:szCs w:val="23"/>
        </w:rPr>
        <w:t>区域绩效目标表</w:t>
      </w:r>
    </w:p>
    <w:p>
      <w:pPr>
        <w:keepNext w:val="0"/>
        <w:keepLines w:val="0"/>
        <w:pageBreakBefore w:val="0"/>
        <w:widowControl w:val="0"/>
        <w:kinsoku/>
        <w:wordWrap/>
        <w:overflowPunct/>
        <w:topLinePunct w:val="0"/>
        <w:autoSpaceDE/>
        <w:autoSpaceDN/>
        <w:bidi w:val="0"/>
        <w:adjustRightInd/>
        <w:snapToGrid/>
        <w:spacing w:line="520" w:lineRule="exact"/>
        <w:ind w:firstLine="429" w:firstLineChars="200"/>
        <w:jc w:val="center"/>
        <w:textAlignment w:val="auto"/>
        <w:outlineLvl w:val="0"/>
        <w:rPr>
          <w:rFonts w:eastAsia="宋体"/>
          <w:b/>
          <w:bCs/>
          <w:spacing w:val="-8"/>
          <w:sz w:val="23"/>
          <w:szCs w:val="23"/>
        </w:rPr>
      </w:pPr>
      <w:r>
        <w:rPr>
          <w:rFonts w:hint="eastAsia" w:eastAsia="宋体"/>
          <w:b/>
          <w:bCs/>
          <w:spacing w:val="-8"/>
          <w:sz w:val="23"/>
          <w:szCs w:val="23"/>
        </w:rPr>
        <w:t>（2024年度）</w:t>
      </w:r>
    </w:p>
    <w:tbl>
      <w:tblPr>
        <w:tblStyle w:val="14"/>
        <w:tblW w:w="9995" w:type="dxa"/>
        <w:tblInd w:w="-437" w:type="dxa"/>
        <w:tblLayout w:type="fixed"/>
        <w:tblCellMar>
          <w:top w:w="0" w:type="dxa"/>
          <w:left w:w="108" w:type="dxa"/>
          <w:bottom w:w="0" w:type="dxa"/>
          <w:right w:w="108" w:type="dxa"/>
        </w:tblCellMar>
      </w:tblPr>
      <w:tblGrid>
        <w:gridCol w:w="1136"/>
        <w:gridCol w:w="994"/>
        <w:gridCol w:w="1683"/>
        <w:gridCol w:w="698"/>
        <w:gridCol w:w="2357"/>
        <w:gridCol w:w="3127"/>
      </w:tblGrid>
      <w:tr>
        <w:tblPrEx>
          <w:tblCellMar>
            <w:top w:w="0" w:type="dxa"/>
            <w:left w:w="108" w:type="dxa"/>
            <w:bottom w:w="0" w:type="dxa"/>
            <w:right w:w="108" w:type="dxa"/>
          </w:tblCellMar>
        </w:tblPrEx>
        <w:trPr>
          <w:trHeight w:val="560" w:hRule="atLeast"/>
        </w:trPr>
        <w:tc>
          <w:tcPr>
            <w:tcW w:w="38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资金名称</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农业防灾减灾和水利救灾资金</w:t>
            </w:r>
          </w:p>
        </w:tc>
      </w:tr>
      <w:tr>
        <w:tblPrEx>
          <w:tblCellMar>
            <w:top w:w="0" w:type="dxa"/>
            <w:left w:w="108" w:type="dxa"/>
            <w:bottom w:w="0" w:type="dxa"/>
            <w:right w:w="108" w:type="dxa"/>
          </w:tblCellMar>
        </w:tblPrEx>
        <w:trPr>
          <w:trHeight w:val="720" w:hRule="atLeast"/>
        </w:trPr>
        <w:tc>
          <w:tcPr>
            <w:tcW w:w="38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中央主管部门</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财政部、农业农村部</w:t>
            </w:r>
          </w:p>
        </w:tc>
      </w:tr>
      <w:tr>
        <w:tblPrEx>
          <w:tblCellMar>
            <w:top w:w="0" w:type="dxa"/>
            <w:left w:w="108" w:type="dxa"/>
            <w:bottom w:w="0" w:type="dxa"/>
            <w:right w:w="108" w:type="dxa"/>
          </w:tblCellMar>
        </w:tblPrEx>
        <w:trPr>
          <w:trHeight w:val="450" w:hRule="atLeast"/>
        </w:trPr>
        <w:tc>
          <w:tcPr>
            <w:tcW w:w="38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省级财政部门</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新疆维吾尔自治区财政厅</w:t>
            </w:r>
          </w:p>
        </w:tc>
      </w:tr>
      <w:tr>
        <w:trPr>
          <w:trHeight w:val="540" w:hRule="atLeast"/>
        </w:trPr>
        <w:tc>
          <w:tcPr>
            <w:tcW w:w="38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省级主管部门</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新疆维吾尔自治区畜牧兽医局</w:t>
            </w:r>
          </w:p>
        </w:tc>
      </w:tr>
      <w:tr>
        <w:tblPrEx>
          <w:tblCellMar>
            <w:top w:w="0" w:type="dxa"/>
            <w:left w:w="108" w:type="dxa"/>
            <w:bottom w:w="0" w:type="dxa"/>
            <w:right w:w="108"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6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年度金额：</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eastAsiaTheme="minorEastAsia"/>
                <w:color w:val="000000"/>
                <w:kern w:val="0"/>
                <w:sz w:val="20"/>
                <w:szCs w:val="20"/>
                <w:lang w:bidi="ar"/>
              </w:rPr>
              <w:t>29147</w:t>
            </w:r>
          </w:p>
        </w:tc>
      </w:tr>
      <w:tr>
        <w:tblPrEx>
          <w:tblCellMar>
            <w:top w:w="0" w:type="dxa"/>
            <w:left w:w="108" w:type="dxa"/>
            <w:bottom w:w="0" w:type="dxa"/>
            <w:right w:w="108"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资金情况</w:t>
            </w:r>
          </w:p>
        </w:tc>
        <w:tc>
          <w:tcPr>
            <w:tcW w:w="26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其中：中央补助</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eastAsiaTheme="minorEastAsia"/>
                <w:color w:val="000000"/>
                <w:kern w:val="0"/>
                <w:sz w:val="20"/>
                <w:szCs w:val="20"/>
                <w:lang w:bidi="ar"/>
              </w:rPr>
              <w:t>29147</w:t>
            </w:r>
          </w:p>
        </w:tc>
      </w:tr>
      <w:tr>
        <w:tblPrEx>
          <w:tblCellMar>
            <w:top w:w="0" w:type="dxa"/>
            <w:left w:w="108" w:type="dxa"/>
            <w:bottom w:w="0" w:type="dxa"/>
            <w:right w:w="108"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textAlignment w:val="center"/>
              <w:rPr>
                <w:rFonts w:eastAsiaTheme="minorEastAsia"/>
                <w:color w:val="000000"/>
                <w:kern w:val="0"/>
                <w:sz w:val="20"/>
                <w:szCs w:val="20"/>
                <w:lang w:bidi="ar"/>
              </w:rPr>
            </w:pPr>
          </w:p>
        </w:tc>
        <w:tc>
          <w:tcPr>
            <w:tcW w:w="26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地方资金</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r>
      <w:tr>
        <w:trPr>
          <w:trHeight w:val="42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年</w:t>
            </w:r>
            <w:r>
              <w:rPr>
                <w:rFonts w:eastAsiaTheme="minorEastAsia"/>
                <w:color w:val="000000"/>
                <w:kern w:val="0"/>
                <w:sz w:val="20"/>
                <w:szCs w:val="20"/>
                <w:lang w:bidi="ar"/>
              </w:rPr>
              <w:t xml:space="preserve"> </w:t>
            </w:r>
            <w:r>
              <w:rPr>
                <w:rFonts w:hint="eastAsia" w:eastAsiaTheme="minorEastAsia"/>
                <w:color w:val="000000"/>
                <w:kern w:val="0"/>
                <w:sz w:val="20"/>
                <w:szCs w:val="20"/>
                <w:lang w:bidi="ar"/>
              </w:rPr>
              <w:t>度</w:t>
            </w:r>
            <w:r>
              <w:rPr>
                <w:rFonts w:eastAsiaTheme="minorEastAsia"/>
                <w:color w:val="000000"/>
                <w:kern w:val="0"/>
                <w:sz w:val="20"/>
                <w:szCs w:val="20"/>
                <w:lang w:bidi="ar"/>
              </w:rPr>
              <w:t xml:space="preserve"> </w:t>
            </w:r>
            <w:r>
              <w:rPr>
                <w:rFonts w:hint="eastAsia" w:eastAsiaTheme="minorEastAsia"/>
                <w:color w:val="000000"/>
                <w:kern w:val="0"/>
                <w:sz w:val="20"/>
                <w:szCs w:val="20"/>
                <w:lang w:bidi="ar"/>
              </w:rPr>
              <w:t>目</w:t>
            </w:r>
            <w:r>
              <w:rPr>
                <w:rFonts w:eastAsiaTheme="minorEastAsia"/>
                <w:color w:val="000000"/>
                <w:kern w:val="0"/>
                <w:sz w:val="20"/>
                <w:szCs w:val="20"/>
                <w:lang w:bidi="ar"/>
              </w:rPr>
              <w:t xml:space="preserve"> </w:t>
            </w:r>
            <w:r>
              <w:rPr>
                <w:rFonts w:hint="eastAsia" w:eastAsiaTheme="minorEastAsia"/>
                <w:color w:val="000000"/>
                <w:kern w:val="0"/>
                <w:sz w:val="20"/>
                <w:szCs w:val="20"/>
                <w:lang w:bidi="ar"/>
              </w:rPr>
              <w:t>标</w:t>
            </w:r>
          </w:p>
        </w:tc>
        <w:tc>
          <w:tcPr>
            <w:tcW w:w="88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根据相关规划或实施方案，结合地方实际开展强制免疫、强制扑杀和销毁以及养殖无害化处理等方面工作</w:t>
            </w:r>
          </w:p>
        </w:tc>
      </w:tr>
      <w:tr>
        <w:tblPrEx>
          <w:tblCellMar>
            <w:top w:w="0" w:type="dxa"/>
            <w:left w:w="108" w:type="dxa"/>
            <w:bottom w:w="0" w:type="dxa"/>
            <w:right w:w="108" w:type="dxa"/>
          </w:tblCellMar>
        </w:tblPrEx>
        <w:trPr>
          <w:trHeight w:val="300" w:hRule="atLeast"/>
        </w:trPr>
        <w:tc>
          <w:tcPr>
            <w:tcW w:w="1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绩效指标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一级指标</w:t>
            </w:r>
          </w:p>
        </w:tc>
        <w:tc>
          <w:tcPr>
            <w:tcW w:w="23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二级指标</w:t>
            </w: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三级指标</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指标值</w:t>
            </w:r>
          </w:p>
        </w:tc>
      </w:tr>
      <w:tr>
        <w:tblPrEx>
          <w:tblCellMar>
            <w:top w:w="0" w:type="dxa"/>
            <w:left w:w="108" w:type="dxa"/>
            <w:bottom w:w="0" w:type="dxa"/>
            <w:right w:w="108" w:type="dxa"/>
          </w:tblCellMar>
        </w:tblPrEx>
        <w:trPr>
          <w:trHeight w:val="465"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产出指标</w:t>
            </w:r>
          </w:p>
        </w:tc>
        <w:tc>
          <w:tcPr>
            <w:tcW w:w="23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数量指标</w:t>
            </w: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强制扑杀补助数量(头、只)</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12382</w:t>
            </w:r>
          </w:p>
        </w:tc>
      </w:tr>
      <w:tr>
        <w:tblPrEx>
          <w:tblCellMar>
            <w:top w:w="0" w:type="dxa"/>
            <w:left w:w="108" w:type="dxa"/>
            <w:bottom w:w="0" w:type="dxa"/>
            <w:right w:w="108" w:type="dxa"/>
          </w:tblCellMar>
        </w:tblPrEx>
        <w:trPr>
          <w:trHeight w:val="45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强制扑杀补助数量(羽)</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w:t>
            </w:r>
          </w:p>
        </w:tc>
      </w:tr>
      <w:tr>
        <w:trPr>
          <w:trHeight w:val="45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养殖环节病死猪无害化处理补助数量(头)</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115867</w:t>
            </w:r>
          </w:p>
        </w:tc>
      </w:tr>
      <w:tr>
        <w:tblPrEx>
          <w:tblCellMar>
            <w:top w:w="0" w:type="dxa"/>
            <w:left w:w="108" w:type="dxa"/>
            <w:bottom w:w="0" w:type="dxa"/>
            <w:right w:w="108" w:type="dxa"/>
          </w:tblCellMar>
        </w:tblPrEx>
        <w:trPr>
          <w:trHeight w:val="45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重大动物疫情应扑杀动物扑杀率</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100%</w:t>
            </w:r>
          </w:p>
        </w:tc>
      </w:tr>
      <w:tr>
        <w:tblPrEx>
          <w:tblCellMar>
            <w:top w:w="0" w:type="dxa"/>
            <w:left w:w="108" w:type="dxa"/>
            <w:bottom w:w="0" w:type="dxa"/>
            <w:right w:w="108" w:type="dxa"/>
          </w:tblCellMar>
        </w:tblPrEx>
        <w:trPr>
          <w:trHeight w:val="42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质量指标</w:t>
            </w: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春秋防检查免疫抗体合格率(除布病和包虫病外)</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≥70%</w:t>
            </w:r>
          </w:p>
        </w:tc>
      </w:tr>
      <w:tr>
        <w:tblPrEx>
          <w:tblCellMar>
            <w:top w:w="0" w:type="dxa"/>
            <w:left w:w="108" w:type="dxa"/>
            <w:bottom w:w="0" w:type="dxa"/>
            <w:right w:w="108" w:type="dxa"/>
          </w:tblCellMar>
        </w:tblPrEx>
        <w:trPr>
          <w:trHeight w:val="38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春秋防检查养殖场户免疫密度合格率</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eastAsiaTheme="minorEastAsia"/>
                <w:color w:val="000000"/>
                <w:kern w:val="0"/>
                <w:sz w:val="20"/>
                <w:szCs w:val="20"/>
                <w:lang w:bidi="ar"/>
              </w:rPr>
              <w:t>≥90%</w:t>
            </w:r>
          </w:p>
        </w:tc>
      </w:tr>
      <w:tr>
        <w:trPr>
          <w:trHeight w:val="42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依法对重大动物疫情处置率</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100%</w:t>
            </w:r>
          </w:p>
        </w:tc>
      </w:tr>
      <w:tr>
        <w:tblPrEx>
          <w:tblCellMar>
            <w:top w:w="0" w:type="dxa"/>
            <w:left w:w="108" w:type="dxa"/>
            <w:bottom w:w="0" w:type="dxa"/>
            <w:right w:w="108" w:type="dxa"/>
          </w:tblCellMar>
        </w:tblPrEx>
        <w:trPr>
          <w:trHeight w:val="66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时效指标</w:t>
            </w: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重大动物疫情及时报告率</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100%</w:t>
            </w:r>
          </w:p>
        </w:tc>
      </w:tr>
      <w:tr>
        <w:tblPrEx>
          <w:tblCellMar>
            <w:top w:w="0" w:type="dxa"/>
            <w:left w:w="108" w:type="dxa"/>
            <w:bottom w:w="0" w:type="dxa"/>
            <w:right w:w="108" w:type="dxa"/>
          </w:tblCellMar>
        </w:tblPrEx>
        <w:trPr>
          <w:trHeight w:val="46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效益指标</w:t>
            </w:r>
          </w:p>
        </w:tc>
        <w:tc>
          <w:tcPr>
            <w:tcW w:w="23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社会效益指标</w:t>
            </w: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大规模随意抛弃病死猪事件</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不发生</w:t>
            </w:r>
          </w:p>
        </w:tc>
      </w:tr>
      <w:tr>
        <w:tblPrEx>
          <w:tblCellMar>
            <w:top w:w="0" w:type="dxa"/>
            <w:left w:w="108" w:type="dxa"/>
            <w:bottom w:w="0" w:type="dxa"/>
            <w:right w:w="108" w:type="dxa"/>
          </w:tblCellMar>
        </w:tblPrEx>
        <w:trPr>
          <w:trHeight w:val="45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资金使用重大违规违纪问题</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无</w:t>
            </w:r>
          </w:p>
        </w:tc>
      </w:tr>
      <w:tr>
        <w:trPr>
          <w:trHeight w:val="64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因扑杀不及时造成重大动物疫情扩散</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不发生</w:t>
            </w:r>
          </w:p>
        </w:tc>
      </w:tr>
      <w:tr>
        <w:tblPrEx>
          <w:tblCellMar>
            <w:top w:w="0" w:type="dxa"/>
            <w:left w:w="108" w:type="dxa"/>
            <w:bottom w:w="0" w:type="dxa"/>
            <w:right w:w="108" w:type="dxa"/>
          </w:tblCellMar>
        </w:tblPrEx>
        <w:trPr>
          <w:trHeight w:val="45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满意度指标</w:t>
            </w:r>
          </w:p>
        </w:tc>
        <w:tc>
          <w:tcPr>
            <w:tcW w:w="23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指导对象满意指标</w:t>
            </w:r>
          </w:p>
        </w:tc>
        <w:tc>
          <w:tcPr>
            <w:tcW w:w="2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hint="eastAsia" w:eastAsiaTheme="minorEastAsia"/>
                <w:color w:val="000000"/>
                <w:kern w:val="0"/>
                <w:sz w:val="20"/>
                <w:szCs w:val="20"/>
                <w:lang w:bidi="ar"/>
              </w:rPr>
              <w:t>补助对象对政策实施的满意度</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eastAsiaTheme="minorEastAsia"/>
                <w:color w:val="000000"/>
                <w:kern w:val="0"/>
                <w:sz w:val="20"/>
                <w:szCs w:val="20"/>
                <w:lang w:bidi="ar"/>
              </w:rPr>
            </w:pPr>
            <w:r>
              <w:rPr>
                <w:rFonts w:eastAsiaTheme="minorEastAsia"/>
                <w:color w:val="000000"/>
                <w:kern w:val="0"/>
                <w:sz w:val="20"/>
                <w:szCs w:val="20"/>
                <w:lang w:bidi="ar"/>
              </w:rPr>
              <w:t>≥90%</w:t>
            </w:r>
          </w:p>
        </w:tc>
      </w:tr>
    </w:tbl>
    <w:p>
      <w:pPr>
        <w:pStyle w:val="13"/>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6"/>
        </w:rPr>
        <w:t>（二）</w:t>
      </w:r>
      <w:r>
        <w:rPr>
          <w:rFonts w:ascii="Times New Roman" w:hAnsi="Times New Roman" w:eastAsia="楷体"/>
          <w:b/>
          <w:bCs/>
          <w:sz w:val="32"/>
          <w:szCs w:val="32"/>
        </w:rPr>
        <w:t>自治区</w:t>
      </w:r>
      <w:r>
        <w:rPr>
          <w:rFonts w:ascii="Times New Roman" w:hAnsi="Times New Roman" w:eastAsia="楷体"/>
          <w:b/>
          <w:bCs/>
          <w:sz w:val="32"/>
          <w:szCs w:val="36"/>
        </w:rPr>
        <w:t>分解下达预算和</w:t>
      </w:r>
      <w:r>
        <w:rPr>
          <w:rFonts w:ascii="Times New Roman" w:hAnsi="Times New Roman" w:eastAsia="楷体"/>
          <w:b/>
          <w:bCs/>
          <w:sz w:val="32"/>
          <w:szCs w:val="32"/>
        </w:rPr>
        <w:t>绩效目标情况</w:t>
      </w:r>
    </w:p>
    <w:p>
      <w:pPr>
        <w:pStyle w:val="13"/>
        <w:spacing w:after="0" w:line="560" w:lineRule="exact"/>
        <w:ind w:left="0" w:leftChars="0" w:firstLine="643"/>
        <w:rPr>
          <w:rFonts w:ascii="Times New Roman" w:hAnsi="Times New Roman"/>
        </w:rPr>
      </w:pPr>
      <w:r>
        <w:rPr>
          <w:rFonts w:ascii="Times New Roman" w:hAnsi="Times New Roman" w:eastAsia="楷体"/>
          <w:b/>
          <w:bCs/>
          <w:sz w:val="32"/>
          <w:szCs w:val="32"/>
        </w:rPr>
        <w:t>1.</w:t>
      </w:r>
      <w:r>
        <w:rPr>
          <w:rFonts w:hint="eastAsia" w:ascii="Times New Roman" w:hAnsi="Times New Roman" w:eastAsia="楷体"/>
          <w:b/>
          <w:bCs/>
          <w:sz w:val="32"/>
          <w:szCs w:val="32"/>
        </w:rPr>
        <w:t>自治区</w:t>
      </w:r>
      <w:r>
        <w:rPr>
          <w:rFonts w:ascii="Times New Roman" w:hAnsi="Times New Roman" w:eastAsia="楷体"/>
          <w:b/>
          <w:bCs/>
          <w:sz w:val="32"/>
          <w:szCs w:val="32"/>
        </w:rPr>
        <w:t>分解下达预算情况</w:t>
      </w:r>
    </w:p>
    <w:p>
      <w:pPr>
        <w:pStyle w:val="13"/>
        <w:spacing w:line="560" w:lineRule="exact"/>
        <w:ind w:left="0" w:leftChars="0" w:firstLine="640"/>
        <w:rPr>
          <w:rFonts w:ascii="Times New Roman" w:hAnsi="Times New Roman"/>
          <w:sz w:val="32"/>
          <w:szCs w:val="32"/>
        </w:rPr>
      </w:pPr>
      <w:r>
        <w:rPr>
          <w:rFonts w:hint="eastAsia" w:ascii="Times New Roman" w:hAnsi="Times New Roman"/>
          <w:sz w:val="32"/>
          <w:szCs w:val="32"/>
        </w:rPr>
        <w:t>2024年4月12日，自治区财政厅下发《关于下达2024年农业防灾减灾资金预算(防灾救灾第一批)的通知》（新财农〔2024〕17号）下达资金1630万元。</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cs="Times New Roman"/>
          <w:sz w:val="32"/>
          <w:lang w:val="en-US"/>
        </w:rPr>
        <w:t>2024年5月17日，</w:t>
      </w:r>
      <w:r>
        <w:rPr>
          <w:rFonts w:hint="eastAsia" w:ascii="Times New Roman" w:hAnsi="Times New Roman" w:eastAsia="仿宋_GB2312" w:cs="Times New Roman"/>
          <w:sz w:val="32"/>
          <w:lang w:val="en-US" w:bidi="ar-SA"/>
        </w:rPr>
        <w:t>自治区财政厅下发《关于下达2024年中央农业防灾减灾资金预算(防灾救灾第三批)的通知》（新财农〔2024〕31号）下达资金1750万元。</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2024年</w:t>
      </w:r>
      <w:r>
        <w:rPr>
          <w:rFonts w:ascii="Times New Roman" w:hAnsi="Times New Roman" w:eastAsia="仿宋_GB2312" w:cs="Times New Roman"/>
          <w:sz w:val="32"/>
          <w:lang w:val="en-US" w:bidi="ar-SA"/>
        </w:rPr>
        <w:t>12月29日，自治区财政厅下发《关于下达</w:t>
      </w:r>
      <w:r>
        <w:rPr>
          <w:rFonts w:hint="eastAsia" w:ascii="Times New Roman" w:hAnsi="Times New Roman" w:eastAsia="仿宋_GB2312" w:cs="Times New Roman"/>
          <w:sz w:val="32"/>
          <w:lang w:val="en-US" w:bidi="ar-SA"/>
        </w:rPr>
        <w:t>2024年</w:t>
      </w:r>
      <w:r>
        <w:rPr>
          <w:rFonts w:ascii="Times New Roman" w:hAnsi="Times New Roman" w:eastAsia="仿宋_GB2312" w:cs="Times New Roman"/>
          <w:sz w:val="32"/>
          <w:lang w:val="en-US" w:bidi="ar-SA"/>
        </w:rPr>
        <w:t>中央农业防灾减灾和水利救灾资金预算</w:t>
      </w:r>
      <w:r>
        <w:rPr>
          <w:rFonts w:hint="eastAsia" w:ascii="Times New Roman" w:hAnsi="Times New Roman" w:eastAsia="仿宋_GB2312" w:cs="Times New Roman"/>
          <w:sz w:val="32"/>
          <w:lang w:val="en-US" w:bidi="ar-SA"/>
        </w:rPr>
        <w:t>（</w:t>
      </w:r>
      <w:r>
        <w:rPr>
          <w:rFonts w:ascii="Times New Roman" w:hAnsi="Times New Roman" w:eastAsia="仿宋_GB2312" w:cs="Times New Roman"/>
          <w:sz w:val="32"/>
          <w:lang w:val="en-US" w:bidi="ar-SA"/>
        </w:rPr>
        <w:t>防灾</w:t>
      </w:r>
      <w:r>
        <w:rPr>
          <w:rFonts w:hint="eastAsia" w:ascii="Times New Roman" w:hAnsi="Times New Roman" w:eastAsia="仿宋_GB2312" w:cs="Times New Roman"/>
          <w:sz w:val="32"/>
          <w:lang w:val="en-US" w:bidi="ar-SA"/>
        </w:rPr>
        <w:t>减</w:t>
      </w:r>
      <w:r>
        <w:rPr>
          <w:rFonts w:ascii="Times New Roman" w:hAnsi="Times New Roman" w:eastAsia="仿宋_GB2312" w:cs="Times New Roman"/>
          <w:sz w:val="32"/>
          <w:lang w:val="en-US" w:bidi="ar-SA"/>
        </w:rPr>
        <w:t>灾第十</w:t>
      </w:r>
      <w:r>
        <w:rPr>
          <w:rFonts w:hint="eastAsia" w:ascii="Times New Roman" w:hAnsi="Times New Roman" w:eastAsia="仿宋_GB2312" w:cs="Times New Roman"/>
          <w:sz w:val="32"/>
          <w:lang w:val="en-US" w:bidi="ar-SA"/>
        </w:rPr>
        <w:t>四</w:t>
      </w:r>
      <w:r>
        <w:rPr>
          <w:rFonts w:ascii="Times New Roman" w:hAnsi="Times New Roman" w:eastAsia="仿宋_GB2312" w:cs="Times New Roman"/>
          <w:sz w:val="32"/>
          <w:lang w:val="en-US" w:bidi="ar-SA"/>
        </w:rPr>
        <w:t>批</w:t>
      </w:r>
      <w:r>
        <w:rPr>
          <w:rFonts w:hint="eastAsia" w:ascii="Times New Roman" w:hAnsi="Times New Roman" w:eastAsia="仿宋_GB2312" w:cs="Times New Roman"/>
          <w:sz w:val="32"/>
          <w:lang w:val="en-US" w:bidi="ar-SA"/>
        </w:rPr>
        <w:t>）</w:t>
      </w:r>
      <w:r>
        <w:rPr>
          <w:rFonts w:ascii="Times New Roman" w:hAnsi="Times New Roman" w:eastAsia="仿宋_GB2312" w:cs="Times New Roman"/>
          <w:sz w:val="32"/>
          <w:lang w:val="en-US" w:bidi="ar-SA"/>
        </w:rPr>
        <w:t>的通知》（新财农〔202</w:t>
      </w:r>
      <w:r>
        <w:rPr>
          <w:rFonts w:hint="eastAsia" w:ascii="Times New Roman" w:hAnsi="Times New Roman" w:eastAsia="仿宋_GB2312" w:cs="Times New Roman"/>
          <w:sz w:val="32"/>
          <w:lang w:val="en-US" w:bidi="ar-SA"/>
        </w:rPr>
        <w:t>4</w:t>
      </w:r>
      <w:r>
        <w:rPr>
          <w:rFonts w:ascii="Times New Roman" w:hAnsi="Times New Roman" w:eastAsia="仿宋_GB2312" w:cs="Times New Roman"/>
          <w:sz w:val="32"/>
          <w:lang w:val="en-US" w:bidi="ar-SA"/>
        </w:rPr>
        <w:t>〕</w:t>
      </w:r>
      <w:r>
        <w:rPr>
          <w:rFonts w:hint="eastAsia" w:ascii="Times New Roman" w:hAnsi="Times New Roman" w:eastAsia="仿宋_GB2312" w:cs="Times New Roman"/>
          <w:sz w:val="32"/>
          <w:lang w:val="en-US" w:bidi="ar-SA"/>
        </w:rPr>
        <w:t>121</w:t>
      </w:r>
      <w:r>
        <w:rPr>
          <w:rFonts w:ascii="Times New Roman" w:hAnsi="Times New Roman" w:eastAsia="仿宋_GB2312" w:cs="Times New Roman"/>
          <w:sz w:val="32"/>
          <w:lang w:val="en-US" w:bidi="ar-SA"/>
        </w:rPr>
        <w:t>号）下达资金9</w:t>
      </w:r>
      <w:r>
        <w:rPr>
          <w:rFonts w:hint="eastAsia" w:ascii="Times New Roman" w:hAnsi="Times New Roman" w:eastAsia="仿宋_GB2312" w:cs="Times New Roman"/>
          <w:sz w:val="32"/>
          <w:lang w:val="en-US" w:bidi="ar-SA"/>
        </w:rPr>
        <w:t>8</w:t>
      </w:r>
      <w:r>
        <w:rPr>
          <w:rFonts w:ascii="Times New Roman" w:hAnsi="Times New Roman" w:eastAsia="仿宋_GB2312" w:cs="Times New Roman"/>
          <w:sz w:val="32"/>
          <w:lang w:val="en-US" w:bidi="ar-SA"/>
        </w:rPr>
        <w:t>20万元</w:t>
      </w:r>
      <w:r>
        <w:rPr>
          <w:rFonts w:hint="eastAsia" w:ascii="Times New Roman" w:hAnsi="Times New Roman" w:eastAsia="仿宋_GB2312" w:cs="Times New Roman"/>
          <w:sz w:val="32"/>
          <w:lang w:val="en-US" w:bidi="ar-SA"/>
        </w:rPr>
        <w:t>。</w:t>
      </w:r>
    </w:p>
    <w:p>
      <w:pPr>
        <w:pStyle w:val="12"/>
        <w:ind w:firstLine="640" w:firstLineChars="200"/>
        <w:rPr>
          <w:rFonts w:ascii="Times New Roman" w:hAnsi="Times New Roman" w:cs="Times New Roman"/>
          <w:sz w:val="32"/>
        </w:rPr>
      </w:pPr>
      <w:r>
        <w:rPr>
          <w:rFonts w:ascii="Times New Roman" w:hAnsi="Times New Roman" w:eastAsia="仿宋_GB2312" w:cs="Times New Roman"/>
          <w:sz w:val="32"/>
        </w:rPr>
        <w:t>资金分解情况详见下表</w:t>
      </w:r>
      <w:r>
        <w:rPr>
          <w:rFonts w:ascii="Times New Roman" w:hAnsi="Times New Roman" w:cs="Times New Roman"/>
          <w:sz w:val="32"/>
        </w:rPr>
        <w:t>：</w:t>
      </w:r>
    </w:p>
    <w:p>
      <w:pPr>
        <w:rPr>
          <w:rFonts w:ascii="Times New Roman" w:hAnsi="Times New Roman"/>
          <w:b/>
          <w:bCs/>
          <w:sz w:val="22"/>
        </w:rPr>
      </w:pPr>
      <w:r>
        <w:rPr>
          <w:rFonts w:ascii="Times New Roman" w:hAnsi="Times New Roman"/>
          <w:b/>
          <w:bCs/>
          <w:sz w:val="22"/>
        </w:rPr>
        <w:br w:type="page"/>
      </w:r>
    </w:p>
    <w:p>
      <w:pPr>
        <w:pStyle w:val="18"/>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年农业防灾减灾资金</w:t>
      </w:r>
      <w:r>
        <w:rPr>
          <w:rFonts w:hint="eastAsia" w:ascii="Times New Roman" w:hAnsi="Times New Roman"/>
          <w:b/>
          <w:bCs/>
          <w:sz w:val="22"/>
        </w:rPr>
        <w:t>（防灾救灾第一批）</w:t>
      </w:r>
      <w:r>
        <w:rPr>
          <w:rFonts w:ascii="Times New Roman" w:hAnsi="Times New Roman"/>
          <w:b/>
          <w:bCs/>
          <w:sz w:val="22"/>
        </w:rPr>
        <w:t>分配表</w:t>
      </w:r>
    </w:p>
    <w:p>
      <w:pPr>
        <w:pStyle w:val="12"/>
        <w:ind w:firstLine="221"/>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单位：万元</w:t>
      </w:r>
    </w:p>
    <w:tbl>
      <w:tblPr>
        <w:tblStyle w:val="14"/>
        <w:tblW w:w="8865" w:type="dxa"/>
        <w:tblInd w:w="9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135"/>
        <w:gridCol w:w="3030"/>
        <w:gridCol w:w="27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75" w:hRule="atLeast"/>
        </w:trPr>
        <w:tc>
          <w:tcPr>
            <w:tcW w:w="3135"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b/>
                <w:bCs/>
                <w:color w:val="000000"/>
                <w:kern w:val="0"/>
                <w:sz w:val="20"/>
                <w:szCs w:val="20"/>
                <w:lang w:bidi="ar"/>
              </w:rPr>
              <w:t>序号</w:t>
            </w:r>
          </w:p>
        </w:tc>
        <w:tc>
          <w:tcPr>
            <w:tcW w:w="303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b/>
                <w:bCs/>
                <w:color w:val="000000"/>
                <w:kern w:val="0"/>
                <w:sz w:val="20"/>
                <w:szCs w:val="20"/>
                <w:lang w:bidi="ar"/>
              </w:rPr>
              <w:t>地州/县市</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b/>
                <w:bCs/>
                <w:color w:val="000000"/>
                <w:kern w:val="0"/>
                <w:sz w:val="20"/>
                <w:szCs w:val="20"/>
                <w:lang w:bidi="ar"/>
              </w:rPr>
              <w:t>分配金额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6165" w:type="dxa"/>
            <w:gridSpan w:val="2"/>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合计</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1630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rPr>
        <w:tc>
          <w:tcPr>
            <w:tcW w:w="3135"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w:t>
            </w:r>
          </w:p>
        </w:tc>
        <w:tc>
          <w:tcPr>
            <w:tcW w:w="303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吐鲁番市</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9.85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rPr>
        <w:tc>
          <w:tcPr>
            <w:tcW w:w="3135"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2</w:t>
            </w:r>
          </w:p>
        </w:tc>
        <w:tc>
          <w:tcPr>
            <w:tcW w:w="3030"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阿克苏地区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670.67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0" w:hRule="atLeast"/>
        </w:trPr>
        <w:tc>
          <w:tcPr>
            <w:tcW w:w="3135"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3</w:t>
            </w:r>
          </w:p>
        </w:tc>
        <w:tc>
          <w:tcPr>
            <w:tcW w:w="3030"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克州</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631.03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2" w:hRule="atLeast"/>
        </w:trPr>
        <w:tc>
          <w:tcPr>
            <w:tcW w:w="3135"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4</w:t>
            </w:r>
          </w:p>
        </w:tc>
        <w:tc>
          <w:tcPr>
            <w:tcW w:w="3030"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喀什地区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318.45</w:t>
            </w:r>
          </w:p>
        </w:tc>
      </w:tr>
    </w:tbl>
    <w:p>
      <w:pPr>
        <w:rPr>
          <w:rFonts w:ascii="Times New Roman" w:hAnsi="Times New Roman"/>
          <w:b/>
          <w:bCs/>
          <w:sz w:val="22"/>
        </w:rPr>
      </w:pPr>
      <w:r>
        <w:rPr>
          <w:rFonts w:ascii="Times New Roman" w:hAnsi="Times New Roman"/>
          <w:b/>
          <w:bCs/>
          <w:sz w:val="22"/>
        </w:rPr>
        <w:br w:type="page"/>
      </w:r>
    </w:p>
    <w:p>
      <w:pPr>
        <w:pStyle w:val="18"/>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年农业防灾减灾资金</w:t>
      </w:r>
      <w:r>
        <w:rPr>
          <w:rFonts w:hint="eastAsia" w:ascii="Times New Roman" w:hAnsi="Times New Roman"/>
          <w:b/>
          <w:bCs/>
          <w:sz w:val="22"/>
        </w:rPr>
        <w:t>（防灾救灾第三批）</w:t>
      </w:r>
      <w:r>
        <w:rPr>
          <w:rFonts w:ascii="Times New Roman" w:hAnsi="Times New Roman"/>
          <w:b/>
          <w:bCs/>
          <w:sz w:val="22"/>
        </w:rPr>
        <w:t>分配表</w:t>
      </w:r>
    </w:p>
    <w:p>
      <w:pPr>
        <w:pStyle w:val="12"/>
        <w:ind w:firstLine="221"/>
        <w:jc w:val="right"/>
        <w:rPr>
          <w:rFonts w:ascii="Times New Roman" w:hAnsi="Times New Roman" w:cs="Times New Roman"/>
          <w:b/>
          <w:bCs/>
          <w:sz w:val="18"/>
          <w:szCs w:val="16"/>
          <w:lang w:val="en-US"/>
        </w:rPr>
      </w:pPr>
      <w:r>
        <w:rPr>
          <w:rFonts w:ascii="Times New Roman" w:hAnsi="Times New Roman" w:cs="Times New Roman"/>
          <w:b/>
          <w:bCs/>
          <w:sz w:val="22"/>
          <w:szCs w:val="22"/>
          <w:lang w:val="en-US"/>
        </w:rPr>
        <w:t>单位：万元</w:t>
      </w:r>
    </w:p>
    <w:tbl>
      <w:tblPr>
        <w:tblStyle w:val="14"/>
        <w:tblW w:w="8865" w:type="dxa"/>
        <w:tblInd w:w="93" w:type="dxa"/>
        <w:tblLayout w:type="fixed"/>
        <w:tblCellMar>
          <w:top w:w="0" w:type="dxa"/>
          <w:left w:w="108" w:type="dxa"/>
          <w:bottom w:w="0" w:type="dxa"/>
          <w:right w:w="108" w:type="dxa"/>
        </w:tblCellMar>
      </w:tblPr>
      <w:tblGrid>
        <w:gridCol w:w="3135"/>
        <w:gridCol w:w="3030"/>
        <w:gridCol w:w="2700"/>
      </w:tblGrid>
      <w:tr>
        <w:tblPrEx>
          <w:tblCellMar>
            <w:top w:w="0" w:type="dxa"/>
            <w:left w:w="108" w:type="dxa"/>
            <w:bottom w:w="0" w:type="dxa"/>
            <w:right w:w="108" w:type="dxa"/>
          </w:tblCellMar>
        </w:tblPrEx>
        <w:trPr>
          <w:trHeight w:val="604"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序号</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地州/县市</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分配金额</w:t>
            </w:r>
          </w:p>
        </w:tc>
      </w:tr>
      <w:tr>
        <w:tblPrEx>
          <w:tblCellMar>
            <w:top w:w="0" w:type="dxa"/>
            <w:left w:w="108" w:type="dxa"/>
            <w:bottom w:w="0" w:type="dxa"/>
            <w:right w:w="108" w:type="dxa"/>
          </w:tblCellMar>
        </w:tblPrEx>
        <w:trPr>
          <w:trHeight w:val="270" w:hRule="atLeast"/>
        </w:trPr>
        <w:tc>
          <w:tcPr>
            <w:tcW w:w="61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kern w:val="0"/>
                <w:sz w:val="20"/>
                <w:szCs w:val="20"/>
                <w:lang w:bidi="ar"/>
              </w:rPr>
              <w:t>合计</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1750</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乌鲁木齐市</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5</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2</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伊犁州</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328</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3</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kern w:val="0"/>
                <w:sz w:val="20"/>
                <w:szCs w:val="20"/>
                <w:lang w:eastAsia="zh-CN" w:bidi="ar"/>
              </w:rPr>
              <w:t>塔城地区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256</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4</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阿勒泰地区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93</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5</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克拉玛依市</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2</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6</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博州</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53</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7</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昌吉州</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151</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8</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哈密市</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15</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9</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吐鲁番市</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5</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10</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巴音郭楞蒙古自治州</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57</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11</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阿克苏地区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250</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12</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克州</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39</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13</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喀什地区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364</w:t>
            </w:r>
          </w:p>
        </w:tc>
      </w:tr>
      <w:tr>
        <w:tblPrEx>
          <w:tblCellMar>
            <w:top w:w="0" w:type="dxa"/>
            <w:left w:w="108" w:type="dxa"/>
            <w:bottom w:w="0" w:type="dxa"/>
            <w:right w:w="108" w:type="dxa"/>
          </w:tblCellMar>
        </w:tblPrEx>
        <w:trPr>
          <w:trHeight w:val="270" w:hRule="atLeast"/>
        </w:trPr>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14</w:t>
            </w:r>
          </w:p>
        </w:tc>
        <w:tc>
          <w:tcPr>
            <w:tcW w:w="3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和田地区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132</w:t>
            </w:r>
          </w:p>
        </w:tc>
      </w:tr>
    </w:tbl>
    <w:p>
      <w:pPr>
        <w:pStyle w:val="12"/>
        <w:ind w:firstLine="441" w:firstLineChars="200"/>
        <w:jc w:val="center"/>
        <w:rPr>
          <w:rFonts w:ascii="Times New Roman" w:hAnsi="Times New Roman"/>
          <w:b/>
          <w:bCs/>
          <w:sz w:val="22"/>
        </w:rPr>
      </w:pPr>
    </w:p>
    <w:p>
      <w:pPr>
        <w:rPr>
          <w:rFonts w:ascii="Times New Roman" w:hAnsi="Times New Roman"/>
          <w:b/>
          <w:bCs/>
          <w:sz w:val="22"/>
        </w:rPr>
      </w:pPr>
      <w:r>
        <w:rPr>
          <w:rFonts w:ascii="Times New Roman" w:hAnsi="Times New Roman"/>
          <w:b/>
          <w:bCs/>
          <w:sz w:val="22"/>
        </w:rPr>
        <w:br w:type="page"/>
      </w:r>
    </w:p>
    <w:p>
      <w:pPr>
        <w:pStyle w:val="12"/>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年农业防灾减灾资金</w:t>
      </w:r>
      <w:r>
        <w:rPr>
          <w:rFonts w:hint="eastAsia" w:ascii="Times New Roman" w:hAnsi="Times New Roman"/>
          <w:b/>
          <w:bCs/>
          <w:sz w:val="22"/>
        </w:rPr>
        <w:t>（防灾救灾第</w:t>
      </w:r>
      <w:r>
        <w:rPr>
          <w:rFonts w:hint="eastAsia" w:ascii="Times New Roman" w:hAnsi="Times New Roman"/>
          <w:b/>
          <w:bCs/>
          <w:sz w:val="22"/>
          <w:lang w:val="en-US"/>
        </w:rPr>
        <w:t>十四</w:t>
      </w:r>
      <w:r>
        <w:rPr>
          <w:rFonts w:hint="eastAsia" w:ascii="Times New Roman" w:hAnsi="Times New Roman"/>
          <w:b/>
          <w:bCs/>
          <w:sz w:val="22"/>
        </w:rPr>
        <w:t>批）</w:t>
      </w:r>
      <w:r>
        <w:rPr>
          <w:rFonts w:ascii="Times New Roman" w:hAnsi="Times New Roman"/>
          <w:b/>
          <w:bCs/>
          <w:sz w:val="22"/>
        </w:rPr>
        <w:t>分配表</w:t>
      </w:r>
    </w:p>
    <w:p>
      <w:pPr>
        <w:pStyle w:val="12"/>
        <w:ind w:firstLine="441" w:firstLineChars="200"/>
        <w:jc w:val="right"/>
        <w:rPr>
          <w:rFonts w:ascii="Times New Roman" w:hAnsi="Times New Roman"/>
          <w:b/>
          <w:bCs/>
          <w:sz w:val="22"/>
        </w:rPr>
      </w:pPr>
      <w:r>
        <w:rPr>
          <w:rFonts w:ascii="Times New Roman" w:hAnsi="Times New Roman" w:cs="Times New Roman"/>
          <w:b/>
          <w:bCs/>
          <w:sz w:val="22"/>
          <w:szCs w:val="22"/>
          <w:lang w:val="en-US"/>
        </w:rPr>
        <w:t>单位：万元</w:t>
      </w:r>
    </w:p>
    <w:tbl>
      <w:tblPr>
        <w:tblStyle w:val="14"/>
        <w:tblpPr w:leftFromText="180" w:rightFromText="180" w:vertAnchor="text" w:horzAnchor="page" w:tblpX="1792" w:tblpY="291"/>
        <w:tblOverlap w:val="never"/>
        <w:tblW w:w="897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213"/>
        <w:gridCol w:w="3066"/>
        <w:gridCol w:w="27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b/>
                <w:bCs/>
                <w:color w:val="000000"/>
                <w:kern w:val="0"/>
                <w:sz w:val="20"/>
                <w:szCs w:val="20"/>
                <w:lang w:bidi="ar"/>
              </w:rPr>
              <w:t>序号</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b/>
                <w:bCs/>
                <w:color w:val="000000"/>
                <w:kern w:val="0"/>
                <w:sz w:val="20"/>
                <w:szCs w:val="20"/>
                <w:lang w:bidi="ar"/>
              </w:rPr>
              <w:t>地州/县市</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kern w:val="0"/>
                <w:sz w:val="20"/>
                <w:szCs w:val="20"/>
                <w:lang w:bidi="ar"/>
              </w:rPr>
            </w:pPr>
            <w:r>
              <w:rPr>
                <w:rFonts w:hint="eastAsia" w:asciiTheme="minorEastAsia" w:hAnsiTheme="minorEastAsia" w:eastAsiaTheme="minorEastAsia" w:cstheme="minorEastAsia"/>
                <w:b/>
                <w:bCs/>
                <w:color w:val="000000"/>
                <w:kern w:val="0"/>
                <w:sz w:val="20"/>
                <w:szCs w:val="20"/>
                <w:lang w:bidi="ar"/>
              </w:rPr>
              <w:t>分配资金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0" w:hRule="atLeast"/>
        </w:trPr>
        <w:tc>
          <w:tcPr>
            <w:tcW w:w="6279" w:type="dxa"/>
            <w:gridSpan w:val="2"/>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合计</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9820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1"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乌鲁木齐市</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2</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伊犁州</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1462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3</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塔城地区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4</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阿勒泰地区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942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5</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克拉玛依市</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43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6</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博州</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348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7</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昌吉州</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445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8</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哈密</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215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9</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吐鲁番</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10</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巴州</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677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11</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阿克苏地区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979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12</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克 州</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845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13</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喀什地区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1698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14</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和田地区</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785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15</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新疆畜牧科学院</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3213" w:type="dxa"/>
            <w:tcBorders>
              <w:tl2br w:val="nil"/>
              <w:tr2bl w:val="nil"/>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16</w:t>
            </w:r>
          </w:p>
        </w:tc>
        <w:tc>
          <w:tcPr>
            <w:tcW w:w="3066"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自治区动物疾病预防控制中心</w:t>
            </w:r>
          </w:p>
        </w:tc>
        <w:tc>
          <w:tcPr>
            <w:tcW w:w="2700" w:type="dxa"/>
            <w:tcBorders>
              <w:tl2br w:val="nil"/>
              <w:tr2bl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200</w:t>
            </w:r>
          </w:p>
        </w:tc>
      </w:tr>
    </w:tbl>
    <w:p>
      <w:pPr>
        <w:pStyle w:val="12"/>
        <w:ind w:firstLine="441" w:firstLineChars="200"/>
        <w:jc w:val="center"/>
        <w:rPr>
          <w:rFonts w:ascii="Times New Roman" w:hAnsi="Times New Roman"/>
          <w:b/>
          <w:bCs/>
          <w:sz w:val="22"/>
        </w:rPr>
      </w:pPr>
    </w:p>
    <w:p>
      <w:pPr>
        <w:rPr>
          <w:rFonts w:ascii="Times New Roman" w:hAnsi="Times New Roman"/>
          <w:b/>
          <w:bCs/>
          <w:sz w:val="22"/>
        </w:rPr>
      </w:pPr>
      <w:r>
        <w:rPr>
          <w:rFonts w:ascii="Times New Roman" w:hAnsi="Times New Roman"/>
          <w:b/>
          <w:bCs/>
          <w:sz w:val="22"/>
        </w:rPr>
        <w:br w:type="page"/>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2023年12月8日，自治区财政厅下发《关于提前下达2024年中央农业防灾减灾和水利救灾资金预算(动物防疫补助)预算的通知》（新财农〔2023〕90号）</w:t>
      </w:r>
      <w:r>
        <w:rPr>
          <w:rFonts w:ascii="Times New Roman" w:hAnsi="Times New Roman" w:eastAsia="仿宋_GB2312" w:cs="Times New Roman"/>
          <w:sz w:val="32"/>
          <w:lang w:val="en-US" w:bidi="ar-SA"/>
        </w:rPr>
        <w:t>下达资金</w:t>
      </w:r>
      <w:r>
        <w:rPr>
          <w:rFonts w:hint="eastAsia" w:ascii="Times New Roman" w:hAnsi="Times New Roman" w:eastAsia="仿宋_GB2312" w:cs="Times New Roman"/>
          <w:sz w:val="32"/>
          <w:lang w:val="en-US" w:bidi="ar-SA"/>
        </w:rPr>
        <w:t>22479</w:t>
      </w:r>
      <w:r>
        <w:rPr>
          <w:rFonts w:ascii="Times New Roman" w:hAnsi="Times New Roman" w:eastAsia="仿宋_GB2312" w:cs="Times New Roman"/>
          <w:sz w:val="32"/>
          <w:lang w:val="en-US" w:bidi="ar-SA"/>
        </w:rPr>
        <w:t>万元</w:t>
      </w:r>
      <w:r>
        <w:rPr>
          <w:rFonts w:ascii="Times New Roman" w:hAnsi="Times New Roman" w:cs="Times New Roman"/>
          <w:sz w:val="32"/>
          <w:lang w:val="en-US"/>
        </w:rPr>
        <w:t>。</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2024年5月17日，自治区财政厅下发《关于下达2024年中央农业防灾减灾和水利救灾资金预算(动物防疫补助)预算的通知》（新财农〔2024〕32号）下达资金6668万元。</w:t>
      </w:r>
    </w:p>
    <w:p>
      <w:pPr>
        <w:pStyle w:val="13"/>
        <w:spacing w:line="560" w:lineRule="exact"/>
        <w:ind w:left="0" w:leftChars="0" w:firstLine="640"/>
        <w:rPr>
          <w:rFonts w:hint="eastAsia" w:ascii="Times New Roman" w:hAnsi="Times New Roman"/>
          <w:sz w:val="32"/>
          <w:szCs w:val="32"/>
          <w:lang w:eastAsia="zh-CN"/>
        </w:rPr>
      </w:pPr>
      <w:r>
        <w:rPr>
          <w:rFonts w:hint="eastAsia" w:ascii="Times New Roman" w:hAnsi="Times New Roman"/>
          <w:sz w:val="32"/>
          <w:szCs w:val="32"/>
        </w:rPr>
        <w:t>2024年5月30日，自治区财政厅印发《关于下达2024年自治区动物防疫等补助经费（2023年3月-2024年2月强制扑杀）的通知》（新财农〔2024〕41号），下达强制扑杀补助资金335.735万元</w:t>
      </w:r>
      <w:r>
        <w:rPr>
          <w:rFonts w:hint="eastAsia" w:ascii="Times New Roman" w:hAnsi="Times New Roman"/>
          <w:sz w:val="32"/>
          <w:szCs w:val="32"/>
          <w:lang w:eastAsia="zh-CN"/>
        </w:rPr>
        <w:t>。</w:t>
      </w:r>
    </w:p>
    <w:p>
      <w:pPr>
        <w:pStyle w:val="13"/>
        <w:spacing w:line="560" w:lineRule="exact"/>
        <w:ind w:left="0" w:leftChars="0" w:firstLine="640"/>
        <w:rPr>
          <w:rFonts w:ascii="Times New Roman" w:hAnsi="Times New Roman"/>
          <w:sz w:val="32"/>
          <w:szCs w:val="32"/>
        </w:rPr>
      </w:pPr>
      <w:r>
        <w:rPr>
          <w:rFonts w:ascii="Times New Roman" w:hAnsi="Times New Roman"/>
          <w:sz w:val="32"/>
          <w:szCs w:val="32"/>
        </w:rPr>
        <w:t>农业防灾减灾资金</w:t>
      </w:r>
      <w:r>
        <w:rPr>
          <w:rFonts w:hint="eastAsia" w:ascii="Times New Roman" w:hAnsi="Times New Roman"/>
          <w:sz w:val="32"/>
          <w:szCs w:val="32"/>
        </w:rPr>
        <w:t>（动物防疫补助）</w:t>
      </w:r>
      <w:r>
        <w:rPr>
          <w:rFonts w:ascii="Times New Roman" w:hAnsi="Times New Roman"/>
          <w:sz w:val="32"/>
          <w:szCs w:val="32"/>
        </w:rPr>
        <w:t>资金分解情况详见下表：</w:t>
      </w:r>
    </w:p>
    <w:p>
      <w:pPr>
        <w:pStyle w:val="18"/>
        <w:ind w:firstLine="441" w:firstLineChars="200"/>
        <w:jc w:val="center"/>
        <w:rPr>
          <w:rFonts w:ascii="Times New Roman" w:hAnsi="Times New Roman"/>
          <w:b/>
          <w:bCs/>
          <w:sz w:val="22"/>
        </w:rPr>
      </w:pPr>
    </w:p>
    <w:p>
      <w:pPr>
        <w:rPr>
          <w:rFonts w:ascii="Times New Roman" w:hAnsi="Times New Roman"/>
          <w:b/>
          <w:bCs/>
          <w:sz w:val="22"/>
        </w:rPr>
      </w:pPr>
      <w:r>
        <w:rPr>
          <w:rFonts w:ascii="Times New Roman" w:hAnsi="Times New Roman"/>
          <w:b/>
          <w:bCs/>
          <w:sz w:val="22"/>
        </w:rPr>
        <w:br w:type="page"/>
      </w:r>
    </w:p>
    <w:p>
      <w:pPr>
        <w:pStyle w:val="18"/>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w:t>
      </w:r>
      <w:r>
        <w:rPr>
          <w:rFonts w:hint="eastAsia" w:ascii="Times New Roman" w:hAnsi="Times New Roman"/>
          <w:b/>
          <w:bCs/>
          <w:sz w:val="22"/>
        </w:rPr>
        <w:t>提前下达</w:t>
      </w:r>
      <w:r>
        <w:rPr>
          <w:rFonts w:ascii="Times New Roman" w:hAnsi="Times New Roman"/>
          <w:b/>
          <w:bCs/>
          <w:sz w:val="22"/>
        </w:rPr>
        <w:t>农业防灾减灾资金</w:t>
      </w:r>
      <w:r>
        <w:rPr>
          <w:rFonts w:hint="eastAsia" w:ascii="Times New Roman" w:hAnsi="Times New Roman"/>
          <w:b/>
          <w:bCs/>
          <w:sz w:val="22"/>
        </w:rPr>
        <w:t>（动物防疫补助）</w:t>
      </w:r>
      <w:r>
        <w:rPr>
          <w:rFonts w:ascii="Times New Roman" w:hAnsi="Times New Roman"/>
          <w:b/>
          <w:bCs/>
          <w:sz w:val="22"/>
        </w:rPr>
        <w:t>分配表</w:t>
      </w:r>
    </w:p>
    <w:p>
      <w:pPr>
        <w:pStyle w:val="18"/>
        <w:ind w:firstLine="441" w:firstLineChars="200"/>
        <w:jc w:val="right"/>
        <w:rPr>
          <w:rFonts w:ascii="Times New Roman" w:hAnsi="Times New Roman"/>
          <w:b/>
          <w:bCs/>
          <w:sz w:val="18"/>
          <w:szCs w:val="16"/>
        </w:rPr>
      </w:pPr>
      <w:r>
        <w:rPr>
          <w:rFonts w:ascii="Times New Roman" w:hAnsi="Times New Roman"/>
          <w:b/>
          <w:bCs/>
          <w:sz w:val="22"/>
        </w:rPr>
        <w:t xml:space="preserve">  单位：万元</w:t>
      </w:r>
    </w:p>
    <w:tbl>
      <w:tblPr>
        <w:tblStyle w:val="14"/>
        <w:tblW w:w="8519" w:type="dxa"/>
        <w:tblInd w:w="0" w:type="dxa"/>
        <w:tblLayout w:type="fixed"/>
        <w:tblCellMar>
          <w:top w:w="0" w:type="dxa"/>
          <w:left w:w="108" w:type="dxa"/>
          <w:bottom w:w="0" w:type="dxa"/>
          <w:right w:w="108" w:type="dxa"/>
        </w:tblCellMar>
      </w:tblPr>
      <w:tblGrid>
        <w:gridCol w:w="1906"/>
        <w:gridCol w:w="4157"/>
        <w:gridCol w:w="2456"/>
      </w:tblGrid>
      <w:tr>
        <w:tblPrEx>
          <w:tblCellMar>
            <w:top w:w="0" w:type="dxa"/>
            <w:left w:w="108" w:type="dxa"/>
            <w:bottom w:w="0" w:type="dxa"/>
            <w:right w:w="108" w:type="dxa"/>
          </w:tblCellMar>
        </w:tblPrEx>
        <w:trPr>
          <w:trHeight w:val="980"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序号</w:t>
            </w:r>
          </w:p>
        </w:tc>
        <w:tc>
          <w:tcPr>
            <w:tcW w:w="41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地州/单位</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highlight w:val="yellow"/>
              </w:rPr>
            </w:pPr>
            <w:r>
              <w:rPr>
                <w:rFonts w:hint="eastAsia" w:asciiTheme="minorEastAsia" w:hAnsiTheme="minorEastAsia" w:eastAsiaTheme="minorEastAsia" w:cstheme="minorEastAsia"/>
                <w:b/>
                <w:bCs/>
                <w:color w:val="000000"/>
                <w:sz w:val="20"/>
                <w:szCs w:val="20"/>
              </w:rPr>
              <w:t>分配金额</w:t>
            </w:r>
          </w:p>
        </w:tc>
      </w:tr>
      <w:tr>
        <w:tblPrEx>
          <w:tblCellMar>
            <w:top w:w="0" w:type="dxa"/>
            <w:left w:w="108" w:type="dxa"/>
            <w:bottom w:w="0" w:type="dxa"/>
            <w:right w:w="108" w:type="dxa"/>
          </w:tblCellMar>
        </w:tblPrEx>
        <w:trPr>
          <w:trHeight w:val="499" w:hRule="atLeast"/>
        </w:trPr>
        <w:tc>
          <w:tcPr>
            <w:tcW w:w="6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合计</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22479</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乌鲁木齐市</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416</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2</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伊犁州直</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3581</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3</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塔城地区</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1645</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4</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阿勒泰地区</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1258</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5</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克拉玛依市</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104</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6</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博州</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682</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7</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昌吉州</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2096</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8</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哈密市</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428</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9</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吐鲁番市</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323</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10</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巴州</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1993</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11</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阿克苏地区</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3424</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12</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克州</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885</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13</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喀什地区</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2840</w:t>
            </w:r>
          </w:p>
        </w:tc>
      </w:tr>
      <w:tr>
        <w:tblPrEx>
          <w:tblCellMar>
            <w:top w:w="0" w:type="dxa"/>
            <w:left w:w="108" w:type="dxa"/>
            <w:bottom w:w="0" w:type="dxa"/>
            <w:right w:w="108" w:type="dxa"/>
          </w:tblCellMar>
        </w:tblPrEx>
        <w:trPr>
          <w:trHeight w:val="499"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14</w:t>
            </w:r>
          </w:p>
        </w:tc>
        <w:tc>
          <w:tcPr>
            <w:tcW w:w="4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和田地区</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2734</w:t>
            </w:r>
          </w:p>
        </w:tc>
      </w:tr>
      <w:tr>
        <w:tblPrEx>
          <w:tblCellMar>
            <w:top w:w="0" w:type="dxa"/>
            <w:left w:w="108" w:type="dxa"/>
            <w:bottom w:w="0" w:type="dxa"/>
            <w:right w:w="108" w:type="dxa"/>
          </w:tblCellMar>
        </w:tblPrEx>
        <w:trPr>
          <w:trHeight w:val="600" w:hRule="atLeast"/>
        </w:trPr>
        <w:tc>
          <w:tcPr>
            <w:tcW w:w="1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15</w:t>
            </w:r>
          </w:p>
        </w:tc>
        <w:tc>
          <w:tcPr>
            <w:tcW w:w="41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自治区动物疾病预防 控制中心</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70</w:t>
            </w:r>
          </w:p>
        </w:tc>
      </w:tr>
    </w:tbl>
    <w:p>
      <w:pPr>
        <w:pStyle w:val="18"/>
        <w:ind w:firstLine="441" w:firstLineChars="200"/>
        <w:jc w:val="center"/>
        <w:rPr>
          <w:rFonts w:ascii="Times New Roman" w:hAnsi="Times New Roman"/>
          <w:b/>
          <w:bCs/>
          <w:sz w:val="22"/>
        </w:rPr>
      </w:pPr>
    </w:p>
    <w:p>
      <w:pPr>
        <w:rPr>
          <w:rFonts w:ascii="Times New Roman" w:hAnsi="Times New Roman"/>
          <w:b/>
          <w:bCs/>
          <w:sz w:val="22"/>
        </w:rPr>
      </w:pPr>
      <w:r>
        <w:rPr>
          <w:rFonts w:ascii="Times New Roman" w:hAnsi="Times New Roman"/>
          <w:b/>
          <w:bCs/>
          <w:sz w:val="22"/>
        </w:rPr>
        <w:br w:type="page"/>
      </w:r>
    </w:p>
    <w:p>
      <w:pPr>
        <w:pStyle w:val="18"/>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年农业防灾减灾资金</w:t>
      </w:r>
      <w:r>
        <w:rPr>
          <w:rFonts w:hint="eastAsia" w:ascii="Times New Roman" w:hAnsi="Times New Roman"/>
          <w:b/>
          <w:bCs/>
          <w:sz w:val="22"/>
        </w:rPr>
        <w:t>（动物防疫补助）</w:t>
      </w:r>
      <w:r>
        <w:rPr>
          <w:rFonts w:ascii="Times New Roman" w:hAnsi="Times New Roman"/>
          <w:b/>
          <w:bCs/>
          <w:sz w:val="22"/>
        </w:rPr>
        <w:t>分配表</w:t>
      </w:r>
    </w:p>
    <w:p>
      <w:pPr>
        <w:pStyle w:val="18"/>
        <w:ind w:firstLine="441" w:firstLineChars="200"/>
        <w:jc w:val="right"/>
        <w:rPr>
          <w:rFonts w:ascii="Times New Roman" w:hAnsi="Times New Roman"/>
          <w:b/>
          <w:bCs/>
          <w:sz w:val="18"/>
          <w:szCs w:val="16"/>
        </w:rPr>
      </w:pPr>
      <w:r>
        <w:rPr>
          <w:rFonts w:ascii="Times New Roman" w:hAnsi="Times New Roman"/>
          <w:b/>
          <w:bCs/>
          <w:sz w:val="22"/>
        </w:rPr>
        <w:t>单位：万元</w:t>
      </w:r>
    </w:p>
    <w:tbl>
      <w:tblPr>
        <w:tblStyle w:val="14"/>
        <w:tblW w:w="8558" w:type="dxa"/>
        <w:tblInd w:w="0" w:type="dxa"/>
        <w:tblLayout w:type="fixed"/>
        <w:tblCellMar>
          <w:top w:w="0" w:type="dxa"/>
          <w:left w:w="108" w:type="dxa"/>
          <w:bottom w:w="0" w:type="dxa"/>
          <w:right w:w="108" w:type="dxa"/>
        </w:tblCellMar>
      </w:tblPr>
      <w:tblGrid>
        <w:gridCol w:w="1764"/>
        <w:gridCol w:w="4516"/>
        <w:gridCol w:w="2278"/>
      </w:tblGrid>
      <w:tr>
        <w:tblPrEx>
          <w:tblCellMar>
            <w:top w:w="0" w:type="dxa"/>
            <w:left w:w="108" w:type="dxa"/>
            <w:bottom w:w="0" w:type="dxa"/>
            <w:right w:w="108" w:type="dxa"/>
          </w:tblCellMar>
        </w:tblPrEx>
        <w:trPr>
          <w:trHeight w:val="490"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序号</w:t>
            </w:r>
          </w:p>
        </w:tc>
        <w:tc>
          <w:tcPr>
            <w:tcW w:w="4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地州/单位</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highlight w:val="yellow"/>
              </w:rPr>
            </w:pPr>
            <w:r>
              <w:rPr>
                <w:rFonts w:hint="eastAsia" w:asciiTheme="minorEastAsia" w:hAnsiTheme="minorEastAsia" w:eastAsiaTheme="minorEastAsia" w:cstheme="minorEastAsia"/>
                <w:b/>
                <w:bCs/>
                <w:color w:val="000000"/>
                <w:sz w:val="20"/>
                <w:szCs w:val="20"/>
              </w:rPr>
              <w:t>分配金额</w:t>
            </w:r>
          </w:p>
        </w:tc>
      </w:tr>
      <w:tr>
        <w:tblPrEx>
          <w:tblCellMar>
            <w:top w:w="0" w:type="dxa"/>
            <w:left w:w="108" w:type="dxa"/>
            <w:bottom w:w="0" w:type="dxa"/>
            <w:right w:w="108" w:type="dxa"/>
          </w:tblCellMar>
        </w:tblPrEx>
        <w:trPr>
          <w:trHeight w:val="499" w:hRule="atLeast"/>
        </w:trPr>
        <w:tc>
          <w:tcPr>
            <w:tcW w:w="62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合计</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6668</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乌鲁木齐市</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108</w:t>
            </w:r>
          </w:p>
        </w:tc>
      </w:tr>
      <w:tr>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2</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伊犁州直</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968.84</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3</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塔城地区</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302</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4</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阿勒泰地区</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802.92</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5</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克拉玛依市</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76.44</w:t>
            </w:r>
          </w:p>
        </w:tc>
      </w:tr>
      <w:tr>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6</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博州</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129</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7</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昌吉州</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217.36</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8</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哈密市</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1068.24</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9</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吐鲁番市</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97.52</w:t>
            </w:r>
          </w:p>
        </w:tc>
      </w:tr>
      <w:tr>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10</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巴州</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722.48</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11</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阿克苏地区</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739.24</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12</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克州</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117.36</w:t>
            </w:r>
          </w:p>
        </w:tc>
      </w:tr>
      <w:tr>
        <w:tblPrEx>
          <w:tblCellMar>
            <w:top w:w="0" w:type="dxa"/>
            <w:left w:w="108" w:type="dxa"/>
            <w:bottom w:w="0" w:type="dxa"/>
            <w:right w:w="108" w:type="dxa"/>
          </w:tblCellMar>
        </w:tblPrEx>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13</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喀什地区</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694.8</w:t>
            </w:r>
          </w:p>
        </w:tc>
      </w:tr>
      <w:tr>
        <w:trPr>
          <w:trHeight w:val="499"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14</w:t>
            </w:r>
          </w:p>
        </w:tc>
        <w:tc>
          <w:tcPr>
            <w:tcW w:w="4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和田地区</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493.8</w:t>
            </w:r>
          </w:p>
        </w:tc>
      </w:tr>
      <w:tr>
        <w:tblPrEx>
          <w:tblCellMar>
            <w:top w:w="0" w:type="dxa"/>
            <w:left w:w="108" w:type="dxa"/>
            <w:bottom w:w="0" w:type="dxa"/>
            <w:right w:w="108" w:type="dxa"/>
          </w:tblCellMar>
        </w:tblPrEx>
        <w:trPr>
          <w:trHeight w:val="600"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15</w:t>
            </w:r>
          </w:p>
        </w:tc>
        <w:tc>
          <w:tcPr>
            <w:tcW w:w="4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自治区动物疾病预防 控制中心</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95</w:t>
            </w:r>
          </w:p>
        </w:tc>
      </w:tr>
      <w:tr>
        <w:tblPrEx>
          <w:tblCellMar>
            <w:top w:w="0" w:type="dxa"/>
            <w:left w:w="108" w:type="dxa"/>
            <w:bottom w:w="0" w:type="dxa"/>
            <w:right w:w="108" w:type="dxa"/>
          </w:tblCellMar>
        </w:tblPrEx>
        <w:trPr>
          <w:trHeight w:val="600"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16</w:t>
            </w:r>
          </w:p>
        </w:tc>
        <w:tc>
          <w:tcPr>
            <w:tcW w:w="4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新疆畜牧科学院兽医研究所</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kern w:val="0"/>
                <w:sz w:val="20"/>
                <w:szCs w:val="20"/>
                <w:lang w:bidi="ar"/>
              </w:rPr>
              <w:t>35</w:t>
            </w:r>
          </w:p>
        </w:tc>
      </w:tr>
    </w:tbl>
    <w:p>
      <w:pPr>
        <w:widowControl/>
        <w:jc w:val="center"/>
        <w:textAlignment w:val="center"/>
        <w:rPr>
          <w:rFonts w:hint="eastAsia" w:eastAsia="宋体"/>
          <w:b/>
          <w:bCs/>
          <w:sz w:val="22"/>
          <w:szCs w:val="22"/>
        </w:rPr>
      </w:pPr>
      <w:r>
        <w:rPr>
          <w:rFonts w:hint="eastAsia" w:eastAsia="宋体"/>
          <w:b/>
          <w:bCs/>
          <w:sz w:val="22"/>
          <w:szCs w:val="22"/>
        </w:rPr>
        <w:br w:type="page"/>
      </w:r>
    </w:p>
    <w:tbl>
      <w:tblPr>
        <w:tblStyle w:val="14"/>
        <w:tblW w:w="90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13"/>
        <w:gridCol w:w="1019"/>
        <w:gridCol w:w="837"/>
        <w:gridCol w:w="663"/>
        <w:gridCol w:w="648"/>
        <w:gridCol w:w="574"/>
        <w:gridCol w:w="685"/>
        <w:gridCol w:w="1352"/>
        <w:gridCol w:w="1611"/>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75" w:hRule="atLeast"/>
        </w:trPr>
        <w:tc>
          <w:tcPr>
            <w:tcW w:w="9092" w:type="dxa"/>
            <w:gridSpan w:val="10"/>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新疆维吾尔自治区中央财政及自治区财政强制扑杀补助经费申请汇总表</w:t>
            </w:r>
            <w:r>
              <w:rPr>
                <w:rFonts w:hint="eastAsia" w:ascii="宋体" w:hAnsi="宋体" w:eastAsia="宋体" w:cs="宋体"/>
                <w:b/>
                <w:bCs/>
                <w:i w:val="0"/>
                <w:color w:val="000000"/>
                <w:kern w:val="0"/>
                <w:sz w:val="20"/>
                <w:szCs w:val="20"/>
                <w:u w:val="none"/>
                <w:lang w:val="en-US" w:eastAsia="zh-CN" w:bidi="ar"/>
              </w:rPr>
              <w:br w:type="textWrapping"/>
            </w:r>
            <w:r>
              <w:rPr>
                <w:rFonts w:hint="eastAsia" w:ascii="宋体" w:hAnsi="宋体" w:eastAsia="宋体" w:cs="宋体"/>
                <w:b/>
                <w:bCs/>
                <w:i w:val="0"/>
                <w:color w:val="000000"/>
                <w:kern w:val="0"/>
                <w:sz w:val="20"/>
                <w:szCs w:val="20"/>
                <w:u w:val="none"/>
                <w:lang w:val="en-US" w:eastAsia="zh-CN" w:bidi="ar"/>
              </w:rPr>
              <w:t>（2023年3月1日-2024年2月29日）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4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序号</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地州（市）</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动物疫病</w:t>
            </w:r>
            <w:r>
              <w:rPr>
                <w:rFonts w:hint="eastAsia" w:ascii="宋体" w:hAnsi="宋体" w:eastAsia="宋体" w:cs="宋体"/>
                <w:b/>
                <w:bCs/>
                <w:i w:val="0"/>
                <w:color w:val="000000"/>
                <w:kern w:val="0"/>
                <w:sz w:val="20"/>
                <w:szCs w:val="20"/>
                <w:u w:val="none"/>
                <w:lang w:val="en-US" w:eastAsia="zh-CN" w:bidi="ar"/>
              </w:rPr>
              <w:br w:type="textWrapping"/>
            </w:r>
            <w:r>
              <w:rPr>
                <w:rFonts w:hint="eastAsia" w:ascii="宋体" w:hAnsi="宋体" w:eastAsia="宋体" w:cs="宋体"/>
                <w:b/>
                <w:bCs/>
                <w:i w:val="0"/>
                <w:color w:val="000000"/>
                <w:kern w:val="0"/>
                <w:sz w:val="20"/>
                <w:szCs w:val="20"/>
                <w:u w:val="none"/>
                <w:lang w:val="en-US" w:eastAsia="zh-CN" w:bidi="ar"/>
              </w:rPr>
              <w:t>种类</w:t>
            </w:r>
          </w:p>
        </w:tc>
        <w:tc>
          <w:tcPr>
            <w:tcW w:w="257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扑杀品种数量（单位：头/只）</w:t>
            </w: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所需资金合计(万元）</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自治区财政承担(万元）</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奶牛</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肉牛</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羊</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骆驼</w:t>
            </w: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乌鲁木齐市</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伊犁州</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546</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329.8</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32.98</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阿勒泰地区</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676.15</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128.635</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克拉玛依市</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64.3</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昌吉州</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结核病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哈密市</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1376</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6833</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1124.05</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133.35</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结核病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吐鲁番市</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46.9</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4.69</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巴州</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0.6</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0.12</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阿克苏地区</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34.05</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6.81</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结核病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克州</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524</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59.2</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11.84</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喀什地区</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27.25</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5.45</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结核病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和田地区</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布病</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26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2546</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1546</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8287</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w:t>
            </w:r>
          </w:p>
        </w:tc>
        <w:tc>
          <w:tcPr>
            <w:tcW w:w="13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2409.35</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335.735</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r>
    </w:tbl>
    <w:p>
      <w:pPr>
        <w:rPr>
          <w:rFonts w:ascii="Times New Roman" w:hAnsi="Times New Roman" w:eastAsia="楷体"/>
          <w:b/>
          <w:bCs/>
          <w:sz w:val="32"/>
          <w:szCs w:val="32"/>
        </w:rPr>
      </w:pPr>
      <w:r>
        <w:rPr>
          <w:rFonts w:ascii="Times New Roman" w:hAnsi="Times New Roman" w:eastAsia="楷体"/>
          <w:b/>
          <w:bCs/>
          <w:sz w:val="32"/>
          <w:szCs w:val="32"/>
        </w:rPr>
        <w:br w:type="page"/>
      </w:r>
    </w:p>
    <w:p>
      <w:pPr>
        <w:pStyle w:val="13"/>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2.自治区分解下达绩效目标情况如下</w:t>
      </w:r>
    </w:p>
    <w:p>
      <w:pPr>
        <w:pStyle w:val="12"/>
        <w:ind w:firstLine="320"/>
        <w:rPr>
          <w:rFonts w:ascii="Times New Roman" w:hAnsi="Times New Roman" w:eastAsia="仿宋_GB2312" w:cs="Times New Roman"/>
          <w:sz w:val="32"/>
        </w:rPr>
      </w:pPr>
      <w:r>
        <w:rPr>
          <w:rFonts w:ascii="Times New Roman" w:hAnsi="Times New Roman" w:eastAsia="仿宋_GB2312" w:cs="Times New Roman"/>
          <w:sz w:val="32"/>
        </w:rPr>
        <w:t>根据自治区财政厅下达的资金文件确定的绩效目标，结合脱贫县涉农资金整合情况，对县（市）资金的分配主要根据任务的特点进行合理的安排，根据</w:t>
      </w:r>
      <w:r>
        <w:rPr>
          <w:rFonts w:hint="eastAsia" w:ascii="Times New Roman" w:hAnsi="Times New Roman" w:cs="Times New Roman"/>
          <w:sz w:val="32"/>
          <w:lang w:val="en-US"/>
        </w:rPr>
        <w:t>《</w:t>
      </w:r>
      <w:r>
        <w:rPr>
          <w:rFonts w:hint="eastAsia" w:ascii="Times New Roman" w:hAnsi="Times New Roman" w:eastAsia="仿宋_GB2312" w:cs="Times New Roman"/>
          <w:sz w:val="32"/>
          <w:lang w:val="en-US"/>
        </w:rPr>
        <w:t>关于下达2024年农业防灾减灾资金预算(防灾救灾第一批)的通知》（新财农〔2024〕17号）、《关于下达2024年中央农业防灾减灾资金预算(防</w:t>
      </w:r>
      <w:r>
        <w:rPr>
          <w:rFonts w:hint="eastAsia" w:ascii="Times New Roman" w:hAnsi="Times New Roman" w:eastAsia="仿宋_GB2312" w:cs="Times New Roman"/>
          <w:sz w:val="32"/>
          <w:lang w:val="en-US" w:bidi="ar-SA"/>
        </w:rPr>
        <w:t>灾救灾第三批)的通知》（新财农〔2024〕31号）</w:t>
      </w:r>
      <w:r>
        <w:rPr>
          <w:rFonts w:hint="eastAsia" w:ascii="Times New Roman" w:hAnsi="Times New Roman" w:cs="Times New Roman"/>
          <w:sz w:val="32"/>
          <w:lang w:val="en-US" w:bidi="ar-SA"/>
        </w:rPr>
        <w:t>、</w:t>
      </w:r>
      <w:r>
        <w:rPr>
          <w:rFonts w:hint="eastAsia" w:ascii="Times New Roman" w:hAnsi="Times New Roman" w:cs="Times New Roman"/>
          <w:sz w:val="32"/>
          <w:lang w:val="en-US" w:eastAsia="zh-CN" w:bidi="ar-SA"/>
        </w:rPr>
        <w:t>《</w:t>
      </w:r>
      <w:r>
        <w:rPr>
          <w:rFonts w:hint="eastAsia" w:ascii="Times New Roman" w:hAnsi="Times New Roman" w:eastAsia="仿宋_GB2312" w:cs="Times New Roman"/>
          <w:sz w:val="32"/>
          <w:lang w:val="en-US"/>
        </w:rPr>
        <w:t>关于下达2024年中央农业防灾减灾和水利救灾资金（防灾减灾第十四批）预算的通知</w:t>
      </w:r>
      <w:r>
        <w:rPr>
          <w:rFonts w:hint="eastAsia" w:ascii="Times New Roman" w:hAnsi="Times New Roman" w:eastAsia="仿宋_GB2312" w:cs="Times New Roman"/>
          <w:sz w:val="32"/>
          <w:lang w:val="en-US" w:eastAsia="zh-CN"/>
        </w:rPr>
        <w:t>》</w:t>
      </w:r>
      <w:r>
        <w:rPr>
          <w:rFonts w:hint="eastAsia" w:ascii="Times New Roman" w:hAnsi="Times New Roman" w:eastAsia="仿宋_GB2312" w:cs="Times New Roman"/>
          <w:sz w:val="32"/>
          <w:lang w:val="en-US" w:bidi="ar-SA"/>
        </w:rPr>
        <w:t>（新财农〔2024〕</w:t>
      </w:r>
      <w:r>
        <w:rPr>
          <w:rFonts w:hint="eastAsia" w:ascii="Times New Roman" w:hAnsi="Times New Roman" w:eastAsia="仿宋_GB2312" w:cs="Times New Roman"/>
          <w:sz w:val="32"/>
          <w:lang w:val="en-US" w:eastAsia="zh-CN" w:bidi="ar-SA"/>
        </w:rPr>
        <w:t>121</w:t>
      </w:r>
      <w:r>
        <w:rPr>
          <w:rFonts w:hint="eastAsia" w:ascii="Times New Roman" w:hAnsi="Times New Roman" w:eastAsia="仿宋_GB2312" w:cs="Times New Roman"/>
          <w:sz w:val="32"/>
          <w:lang w:val="en-US" w:bidi="ar-SA"/>
        </w:rPr>
        <w:t>号）</w:t>
      </w:r>
      <w:r>
        <w:rPr>
          <w:rFonts w:hint="eastAsia" w:ascii="Times New Roman" w:hAnsi="Times New Roman" w:eastAsia="仿宋_GB2312" w:cs="Times New Roman"/>
          <w:sz w:val="32"/>
          <w:lang w:val="en-US" w:eastAsia="zh-CN" w:bidi="ar-SA"/>
        </w:rPr>
        <w:t>、</w:t>
      </w:r>
      <w:r>
        <w:rPr>
          <w:rFonts w:hint="eastAsia" w:ascii="Times New Roman" w:hAnsi="Times New Roman" w:eastAsia="仿宋_GB2312" w:cs="Times New Roman"/>
          <w:sz w:val="32"/>
          <w:lang w:val="en-US" w:bidi="ar-SA"/>
        </w:rPr>
        <w:t>《关于提前下达2024年中央农业防灾减灾和水利救灾资金预算(动物防疫补助)预算的通知》（新财农〔2023〕90号）、《关于下达2024年中央农业防灾减灾和水利救灾资金预算(动物防疫补助)预算的通知》（新财农〔2024〕32号），</w:t>
      </w:r>
      <w:r>
        <w:rPr>
          <w:rFonts w:ascii="Times New Roman" w:hAnsi="Times New Roman" w:eastAsia="仿宋_GB2312" w:cs="Times New Roman"/>
          <w:sz w:val="32"/>
        </w:rPr>
        <w:t>绩效目标详见下表：</w:t>
      </w:r>
    </w:p>
    <w:p>
      <w:pPr>
        <w:rPr>
          <w:sz w:val="32"/>
          <w:szCs w:val="32"/>
        </w:rPr>
        <w:sectPr>
          <w:pgSz w:w="11906" w:h="16838"/>
          <w:pgMar w:top="1440" w:right="1800" w:bottom="1440" w:left="1800" w:header="851" w:footer="992" w:gutter="0"/>
          <w:cols w:space="425" w:num="1"/>
          <w:docGrid w:type="lines" w:linePitch="312" w:charSpace="0"/>
        </w:sectPr>
      </w:pPr>
      <w:r>
        <w:rPr>
          <w:sz w:val="32"/>
          <w:szCs w:val="32"/>
        </w:rPr>
        <w:br w:type="page"/>
      </w:r>
    </w:p>
    <w:p>
      <w:pPr>
        <w:pStyle w:val="18"/>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w:t>
      </w:r>
      <w:r>
        <w:rPr>
          <w:rFonts w:hint="eastAsia" w:ascii="Times New Roman" w:hAnsi="Times New Roman" w:eastAsia="仿宋_GB2312"/>
          <w:b/>
          <w:bCs/>
          <w:sz w:val="22"/>
        </w:rPr>
        <w:t>中央农业防灾减灾和水利救灾资金(第一批）</w:t>
      </w:r>
      <w:r>
        <w:rPr>
          <w:rFonts w:hint="eastAsia" w:ascii="Times New Roman" w:hAnsi="Times New Roman" w:eastAsia="仿宋_GB2312"/>
          <w:b/>
          <w:bCs/>
          <w:sz w:val="22"/>
          <w:lang w:val="en-US" w:eastAsia="zh-CN"/>
        </w:rPr>
        <w:t>项目</w:t>
      </w:r>
      <w:r>
        <w:rPr>
          <w:rFonts w:hint="eastAsia" w:ascii="Times New Roman" w:hAnsi="Times New Roman" w:eastAsia="仿宋_GB2312"/>
          <w:b/>
          <w:bCs/>
          <w:sz w:val="22"/>
        </w:rPr>
        <w:t>绩效目标表</w:t>
      </w:r>
    </w:p>
    <w:tbl>
      <w:tblPr>
        <w:tblStyle w:val="17"/>
        <w:tblW w:w="15265"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29"/>
        <w:gridCol w:w="1768"/>
        <w:gridCol w:w="1573"/>
        <w:gridCol w:w="1066"/>
        <w:gridCol w:w="1918"/>
        <w:gridCol w:w="1719"/>
        <w:gridCol w:w="1023"/>
        <w:gridCol w:w="1023"/>
        <w:gridCol w:w="1023"/>
        <w:gridCol w:w="1038"/>
        <w:gridCol w:w="11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3697" w:type="dxa"/>
            <w:gridSpan w:val="2"/>
          </w:tcPr>
          <w:p>
            <w:pPr>
              <w:pStyle w:val="16"/>
              <w:spacing w:before="172" w:line="220" w:lineRule="auto"/>
              <w:ind w:left="1304"/>
              <w:rPr>
                <w:rFonts w:hint="eastAsia"/>
                <w:sz w:val="13"/>
                <w:szCs w:val="13"/>
              </w:rPr>
            </w:pPr>
            <w:r>
              <w:rPr>
                <w:spacing w:val="-2"/>
                <w:sz w:val="13"/>
                <w:szCs w:val="13"/>
              </w:rPr>
              <w:t>专项名称</w:t>
            </w:r>
          </w:p>
        </w:tc>
        <w:tc>
          <w:tcPr>
            <w:tcW w:w="6276" w:type="dxa"/>
            <w:gridSpan w:val="4"/>
          </w:tcPr>
          <w:p>
            <w:pPr>
              <w:pStyle w:val="16"/>
              <w:spacing w:before="172" w:line="219" w:lineRule="auto"/>
              <w:ind w:left="742"/>
              <w:rPr>
                <w:rFonts w:hint="eastAsia"/>
                <w:sz w:val="13"/>
                <w:szCs w:val="13"/>
                <w:lang w:eastAsia="zh-CN"/>
              </w:rPr>
            </w:pPr>
            <w:r>
              <w:rPr>
                <w:spacing w:val="1"/>
                <w:sz w:val="13"/>
                <w:szCs w:val="13"/>
                <w:lang w:eastAsia="zh-CN"/>
              </w:rPr>
              <w:t>中央农业防灾救灾和水利救灾资金(防灾救灾第一批)</w:t>
            </w:r>
          </w:p>
        </w:tc>
        <w:tc>
          <w:tcPr>
            <w:tcW w:w="1023" w:type="dxa"/>
          </w:tcPr>
          <w:p>
            <w:pPr>
              <w:pStyle w:val="16"/>
              <w:spacing w:before="82" w:line="216" w:lineRule="auto"/>
              <w:ind w:left="95" w:right="110"/>
              <w:rPr>
                <w:rFonts w:hint="eastAsia"/>
                <w:sz w:val="13"/>
                <w:szCs w:val="13"/>
              </w:rPr>
            </w:pPr>
            <w:r>
              <w:rPr>
                <w:spacing w:val="-2"/>
                <w:sz w:val="13"/>
                <w:szCs w:val="13"/>
              </w:rPr>
              <w:t>全区总体</w:t>
            </w:r>
            <w:r>
              <w:rPr>
                <w:sz w:val="13"/>
                <w:szCs w:val="13"/>
              </w:rPr>
              <w:t xml:space="preserve"> </w:t>
            </w:r>
            <w:r>
              <w:rPr>
                <w:spacing w:val="-2"/>
                <w:sz w:val="13"/>
                <w:szCs w:val="13"/>
              </w:rPr>
              <w:t>绩效目标</w:t>
            </w:r>
          </w:p>
        </w:tc>
        <w:tc>
          <w:tcPr>
            <w:tcW w:w="4269" w:type="dxa"/>
            <w:gridSpan w:val="4"/>
          </w:tcPr>
          <w:p>
            <w:pPr>
              <w:pStyle w:val="16"/>
              <w:spacing w:before="172" w:line="220" w:lineRule="auto"/>
              <w:ind w:left="1217"/>
              <w:rPr>
                <w:rFonts w:hint="eastAsia"/>
                <w:sz w:val="13"/>
                <w:szCs w:val="13"/>
              </w:rPr>
            </w:pPr>
            <w:r>
              <w:rPr>
                <w:spacing w:val="-2"/>
                <w:sz w:val="13"/>
                <w:szCs w:val="13"/>
              </w:rPr>
              <w:t>分区域绩效目标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3697" w:type="dxa"/>
            <w:gridSpan w:val="2"/>
          </w:tcPr>
          <w:p>
            <w:pPr>
              <w:pStyle w:val="16"/>
              <w:spacing w:before="138" w:line="219" w:lineRule="auto"/>
              <w:ind w:left="1124"/>
              <w:rPr>
                <w:rFonts w:hint="eastAsia"/>
                <w:sz w:val="13"/>
                <w:szCs w:val="13"/>
              </w:rPr>
            </w:pPr>
            <w:r>
              <w:rPr>
                <w:spacing w:val="3"/>
                <w:sz w:val="13"/>
                <w:szCs w:val="13"/>
              </w:rPr>
              <w:t>中央主管部门</w:t>
            </w:r>
          </w:p>
        </w:tc>
        <w:tc>
          <w:tcPr>
            <w:tcW w:w="2639" w:type="dxa"/>
            <w:gridSpan w:val="2"/>
          </w:tcPr>
          <w:p>
            <w:pPr>
              <w:pStyle w:val="16"/>
              <w:spacing w:before="137" w:line="219" w:lineRule="auto"/>
              <w:ind w:left="731"/>
              <w:rPr>
                <w:rFonts w:hint="eastAsia"/>
                <w:sz w:val="13"/>
                <w:szCs w:val="13"/>
              </w:rPr>
            </w:pPr>
            <w:r>
              <w:rPr>
                <w:spacing w:val="-2"/>
                <w:sz w:val="13"/>
                <w:szCs w:val="13"/>
              </w:rPr>
              <w:t>农业农村部</w:t>
            </w:r>
          </w:p>
        </w:tc>
        <w:tc>
          <w:tcPr>
            <w:tcW w:w="1918" w:type="dxa"/>
          </w:tcPr>
          <w:p>
            <w:pPr>
              <w:pStyle w:val="16"/>
              <w:spacing w:before="138" w:line="220" w:lineRule="auto"/>
              <w:ind w:left="403"/>
              <w:rPr>
                <w:rFonts w:hint="eastAsia"/>
                <w:sz w:val="13"/>
                <w:szCs w:val="13"/>
              </w:rPr>
            </w:pPr>
            <w:r>
              <w:rPr>
                <w:spacing w:val="-2"/>
                <w:sz w:val="13"/>
                <w:szCs w:val="13"/>
              </w:rPr>
              <w:t>专项实施期</w:t>
            </w:r>
          </w:p>
        </w:tc>
        <w:tc>
          <w:tcPr>
            <w:tcW w:w="1719" w:type="dxa"/>
          </w:tcPr>
          <w:p>
            <w:pPr>
              <w:pStyle w:val="16"/>
              <w:spacing w:before="138" w:line="220" w:lineRule="auto"/>
              <w:ind w:left="574"/>
              <w:rPr>
                <w:rFonts w:hint="eastAsia"/>
                <w:sz w:val="13"/>
                <w:szCs w:val="13"/>
              </w:rPr>
            </w:pPr>
            <w:r>
              <w:rPr>
                <w:spacing w:val="-2"/>
                <w:sz w:val="13"/>
                <w:szCs w:val="13"/>
              </w:rPr>
              <w:t>长期</w:t>
            </w:r>
          </w:p>
        </w:tc>
        <w:tc>
          <w:tcPr>
            <w:tcW w:w="1023" w:type="dxa"/>
          </w:tcPr>
          <w:p>
            <w:pPr>
              <w:rPr>
                <w:rFonts w:ascii="Arial"/>
                <w:sz w:val="13"/>
                <w:szCs w:val="13"/>
              </w:rPr>
            </w:pPr>
          </w:p>
        </w:tc>
        <w:tc>
          <w:tcPr>
            <w:tcW w:w="4269" w:type="dxa"/>
            <w:gridSpan w:val="4"/>
          </w:tcPr>
          <w:p>
            <w:pPr>
              <w:pStyle w:val="16"/>
              <w:spacing w:before="137" w:line="219" w:lineRule="auto"/>
              <w:ind w:left="676"/>
              <w:rPr>
                <w:rFonts w:hint="eastAsia"/>
                <w:sz w:val="13"/>
                <w:szCs w:val="13"/>
                <w:lang w:eastAsia="zh-CN"/>
              </w:rPr>
            </w:pPr>
            <w:r>
              <w:rPr>
                <w:spacing w:val="1"/>
                <w:sz w:val="13"/>
                <w:szCs w:val="13"/>
                <w:lang w:eastAsia="zh-CN"/>
              </w:rPr>
              <w:t>各地州市财政局、农业农村局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3697" w:type="dxa"/>
            <w:gridSpan w:val="2"/>
          </w:tcPr>
          <w:p>
            <w:pPr>
              <w:pStyle w:val="16"/>
              <w:spacing w:before="128" w:line="219" w:lineRule="auto"/>
              <w:ind w:left="1124"/>
              <w:rPr>
                <w:rFonts w:hint="eastAsia"/>
                <w:sz w:val="13"/>
                <w:szCs w:val="13"/>
              </w:rPr>
            </w:pPr>
            <w:r>
              <w:rPr>
                <w:spacing w:val="3"/>
                <w:sz w:val="13"/>
                <w:szCs w:val="13"/>
              </w:rPr>
              <w:t>省级财政部门</w:t>
            </w:r>
          </w:p>
        </w:tc>
        <w:tc>
          <w:tcPr>
            <w:tcW w:w="2639" w:type="dxa"/>
            <w:gridSpan w:val="2"/>
          </w:tcPr>
          <w:p>
            <w:pPr>
              <w:pStyle w:val="16"/>
              <w:spacing w:before="128" w:line="220" w:lineRule="auto"/>
              <w:ind w:left="192"/>
              <w:rPr>
                <w:rFonts w:hint="eastAsia"/>
                <w:sz w:val="13"/>
                <w:szCs w:val="13"/>
                <w:lang w:eastAsia="zh-CN"/>
              </w:rPr>
            </w:pPr>
            <w:r>
              <w:rPr>
                <w:spacing w:val="-1"/>
                <w:sz w:val="13"/>
                <w:szCs w:val="13"/>
                <w:lang w:eastAsia="zh-CN"/>
              </w:rPr>
              <w:t>新疆维吾尔自治区财政厅</w:t>
            </w:r>
          </w:p>
        </w:tc>
        <w:tc>
          <w:tcPr>
            <w:tcW w:w="1918" w:type="dxa"/>
          </w:tcPr>
          <w:p>
            <w:pPr>
              <w:pStyle w:val="16"/>
              <w:spacing w:before="128" w:line="219" w:lineRule="auto"/>
              <w:ind w:left="313"/>
              <w:rPr>
                <w:rFonts w:hint="eastAsia"/>
                <w:sz w:val="13"/>
                <w:szCs w:val="13"/>
              </w:rPr>
            </w:pPr>
            <w:r>
              <w:rPr>
                <w:spacing w:val="3"/>
                <w:sz w:val="13"/>
                <w:szCs w:val="13"/>
              </w:rPr>
              <w:t>省级主管部门</w:t>
            </w:r>
          </w:p>
        </w:tc>
        <w:tc>
          <w:tcPr>
            <w:tcW w:w="1719" w:type="dxa"/>
          </w:tcPr>
          <w:p>
            <w:pPr>
              <w:pStyle w:val="16"/>
              <w:spacing w:before="48" w:line="190" w:lineRule="auto"/>
              <w:ind w:left="304" w:right="28" w:hanging="269"/>
              <w:rPr>
                <w:rFonts w:hint="eastAsia"/>
                <w:sz w:val="13"/>
                <w:szCs w:val="13"/>
                <w:lang w:eastAsia="zh-CN"/>
              </w:rPr>
            </w:pPr>
            <w:r>
              <w:rPr>
                <w:spacing w:val="1"/>
                <w:sz w:val="13"/>
                <w:szCs w:val="13"/>
                <w:lang w:eastAsia="zh-CN"/>
              </w:rPr>
              <w:t>新疆维吾尔自治区</w:t>
            </w:r>
            <w:r>
              <w:rPr>
                <w:spacing w:val="6"/>
                <w:sz w:val="13"/>
                <w:szCs w:val="13"/>
                <w:lang w:eastAsia="zh-CN"/>
              </w:rPr>
              <w:t xml:space="preserve"> </w:t>
            </w:r>
            <w:r>
              <w:rPr>
                <w:spacing w:val="-2"/>
                <w:sz w:val="13"/>
                <w:szCs w:val="13"/>
                <w:lang w:eastAsia="zh-CN"/>
              </w:rPr>
              <w:t>农业农村厅</w:t>
            </w:r>
          </w:p>
        </w:tc>
        <w:tc>
          <w:tcPr>
            <w:tcW w:w="1023" w:type="dxa"/>
          </w:tcPr>
          <w:p>
            <w:pPr>
              <w:pStyle w:val="16"/>
              <w:spacing w:before="129" w:line="221" w:lineRule="auto"/>
              <w:ind w:left="276"/>
              <w:rPr>
                <w:rFonts w:hint="eastAsia"/>
                <w:sz w:val="13"/>
                <w:szCs w:val="13"/>
              </w:rPr>
            </w:pPr>
            <w:r>
              <w:rPr>
                <w:spacing w:val="-2"/>
                <w:sz w:val="13"/>
                <w:szCs w:val="13"/>
              </w:rPr>
              <w:t>合计</w:t>
            </w:r>
          </w:p>
        </w:tc>
        <w:tc>
          <w:tcPr>
            <w:tcW w:w="1023" w:type="dxa"/>
          </w:tcPr>
          <w:p>
            <w:pPr>
              <w:pStyle w:val="16"/>
              <w:spacing w:before="128" w:line="219" w:lineRule="auto"/>
              <w:ind w:left="96"/>
              <w:rPr>
                <w:rFonts w:hint="eastAsia"/>
                <w:sz w:val="13"/>
                <w:szCs w:val="13"/>
              </w:rPr>
            </w:pPr>
            <w:r>
              <w:rPr>
                <w:spacing w:val="2"/>
                <w:sz w:val="13"/>
                <w:szCs w:val="13"/>
              </w:rPr>
              <w:t>吐鲁番市</w:t>
            </w:r>
          </w:p>
        </w:tc>
        <w:tc>
          <w:tcPr>
            <w:tcW w:w="1023" w:type="dxa"/>
          </w:tcPr>
          <w:p>
            <w:pPr>
              <w:pStyle w:val="16"/>
              <w:spacing w:before="128" w:line="219" w:lineRule="auto"/>
              <w:jc w:val="right"/>
              <w:rPr>
                <w:rFonts w:hint="eastAsia"/>
                <w:sz w:val="13"/>
                <w:szCs w:val="13"/>
              </w:rPr>
            </w:pPr>
            <w:r>
              <w:rPr>
                <w:spacing w:val="2"/>
                <w:sz w:val="13"/>
                <w:szCs w:val="13"/>
              </w:rPr>
              <w:t>阿克苏地区</w:t>
            </w:r>
          </w:p>
        </w:tc>
        <w:tc>
          <w:tcPr>
            <w:tcW w:w="1038" w:type="dxa"/>
          </w:tcPr>
          <w:p>
            <w:pPr>
              <w:pStyle w:val="16"/>
              <w:spacing w:before="127" w:line="219" w:lineRule="auto"/>
              <w:ind w:left="288"/>
              <w:rPr>
                <w:rFonts w:hint="eastAsia"/>
                <w:sz w:val="13"/>
                <w:szCs w:val="13"/>
              </w:rPr>
            </w:pPr>
            <w:r>
              <w:rPr>
                <w:spacing w:val="10"/>
                <w:sz w:val="13"/>
                <w:szCs w:val="13"/>
              </w:rPr>
              <w:t>克州</w:t>
            </w:r>
          </w:p>
        </w:tc>
        <w:tc>
          <w:tcPr>
            <w:tcW w:w="1185" w:type="dxa"/>
          </w:tcPr>
          <w:p>
            <w:pPr>
              <w:pStyle w:val="16"/>
              <w:spacing w:before="128" w:line="219" w:lineRule="auto"/>
              <w:ind w:left="88"/>
              <w:rPr>
                <w:rFonts w:hint="eastAsia"/>
                <w:sz w:val="13"/>
                <w:szCs w:val="13"/>
              </w:rPr>
            </w:pPr>
            <w:r>
              <w:rPr>
                <w:spacing w:val="3"/>
                <w:sz w:val="13"/>
                <w:szCs w:val="13"/>
              </w:rPr>
              <w:t>喀什地区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1929" w:type="dxa"/>
            <w:vMerge w:val="restart"/>
            <w:tcBorders>
              <w:bottom w:val="nil"/>
            </w:tcBorders>
          </w:tcPr>
          <w:p>
            <w:pPr>
              <w:spacing w:line="259" w:lineRule="auto"/>
              <w:rPr>
                <w:rFonts w:ascii="Arial"/>
                <w:sz w:val="13"/>
                <w:szCs w:val="13"/>
              </w:rPr>
            </w:pPr>
          </w:p>
          <w:p>
            <w:pPr>
              <w:spacing w:line="259" w:lineRule="auto"/>
              <w:rPr>
                <w:rFonts w:ascii="Arial"/>
                <w:sz w:val="13"/>
                <w:szCs w:val="13"/>
              </w:rPr>
            </w:pPr>
          </w:p>
          <w:p>
            <w:pPr>
              <w:pStyle w:val="16"/>
              <w:spacing w:before="58" w:line="220" w:lineRule="auto"/>
              <w:ind w:left="234"/>
              <w:rPr>
                <w:rFonts w:hint="eastAsia"/>
                <w:sz w:val="13"/>
                <w:szCs w:val="13"/>
              </w:rPr>
            </w:pPr>
            <w:r>
              <w:rPr>
                <w:spacing w:val="4"/>
                <w:sz w:val="13"/>
                <w:szCs w:val="13"/>
              </w:rPr>
              <w:t>资金情况(万元)</w:t>
            </w:r>
          </w:p>
        </w:tc>
        <w:tc>
          <w:tcPr>
            <w:tcW w:w="1768" w:type="dxa"/>
          </w:tcPr>
          <w:p>
            <w:pPr>
              <w:pStyle w:val="16"/>
              <w:spacing w:before="119" w:line="219" w:lineRule="auto"/>
              <w:ind w:left="420"/>
              <w:rPr>
                <w:rFonts w:hint="eastAsia"/>
                <w:sz w:val="13"/>
                <w:szCs w:val="13"/>
              </w:rPr>
            </w:pPr>
            <w:r>
              <w:rPr>
                <w:spacing w:val="-2"/>
                <w:sz w:val="13"/>
                <w:szCs w:val="13"/>
              </w:rPr>
              <w:t>年度金额</w:t>
            </w:r>
          </w:p>
        </w:tc>
        <w:tc>
          <w:tcPr>
            <w:tcW w:w="6276" w:type="dxa"/>
            <w:gridSpan w:val="4"/>
          </w:tcPr>
          <w:p>
            <w:pPr>
              <w:pStyle w:val="16"/>
              <w:spacing w:before="164" w:line="184" w:lineRule="auto"/>
              <w:ind w:left="2632"/>
              <w:rPr>
                <w:rFonts w:hint="eastAsia"/>
                <w:sz w:val="13"/>
                <w:szCs w:val="13"/>
              </w:rPr>
            </w:pPr>
            <w:r>
              <w:rPr>
                <w:spacing w:val="-4"/>
                <w:sz w:val="13"/>
                <w:szCs w:val="13"/>
              </w:rPr>
              <w:t>1630</w:t>
            </w:r>
          </w:p>
        </w:tc>
        <w:tc>
          <w:tcPr>
            <w:tcW w:w="1023" w:type="dxa"/>
          </w:tcPr>
          <w:p>
            <w:pPr>
              <w:pStyle w:val="16"/>
              <w:spacing w:before="164" w:line="184" w:lineRule="auto"/>
              <w:ind w:left="276"/>
              <w:rPr>
                <w:rFonts w:hint="eastAsia"/>
                <w:sz w:val="13"/>
                <w:szCs w:val="13"/>
              </w:rPr>
            </w:pPr>
            <w:r>
              <w:rPr>
                <w:spacing w:val="-4"/>
                <w:sz w:val="13"/>
                <w:szCs w:val="13"/>
              </w:rPr>
              <w:t>1630</w:t>
            </w:r>
          </w:p>
        </w:tc>
        <w:tc>
          <w:tcPr>
            <w:tcW w:w="1023" w:type="dxa"/>
          </w:tcPr>
          <w:p>
            <w:pPr>
              <w:pStyle w:val="16"/>
              <w:spacing w:before="165" w:line="183" w:lineRule="auto"/>
              <w:ind w:left="276"/>
              <w:rPr>
                <w:rFonts w:hint="eastAsia"/>
                <w:sz w:val="13"/>
                <w:szCs w:val="13"/>
              </w:rPr>
            </w:pPr>
            <w:r>
              <w:rPr>
                <w:spacing w:val="-2"/>
                <w:sz w:val="13"/>
                <w:szCs w:val="13"/>
              </w:rPr>
              <w:t>9.85</w:t>
            </w:r>
          </w:p>
        </w:tc>
        <w:tc>
          <w:tcPr>
            <w:tcW w:w="1023" w:type="dxa"/>
          </w:tcPr>
          <w:p>
            <w:pPr>
              <w:pStyle w:val="16"/>
              <w:spacing w:before="165" w:line="183" w:lineRule="auto"/>
              <w:ind w:left="187"/>
              <w:rPr>
                <w:rFonts w:hint="eastAsia"/>
                <w:sz w:val="13"/>
                <w:szCs w:val="13"/>
              </w:rPr>
            </w:pPr>
            <w:r>
              <w:rPr>
                <w:spacing w:val="-2"/>
                <w:sz w:val="13"/>
                <w:szCs w:val="13"/>
              </w:rPr>
              <w:t>670.67</w:t>
            </w:r>
          </w:p>
        </w:tc>
        <w:tc>
          <w:tcPr>
            <w:tcW w:w="1038" w:type="dxa"/>
          </w:tcPr>
          <w:p>
            <w:pPr>
              <w:pStyle w:val="16"/>
              <w:spacing w:before="164" w:line="184" w:lineRule="auto"/>
              <w:ind w:left="198"/>
              <w:rPr>
                <w:rFonts w:hint="eastAsia"/>
                <w:sz w:val="13"/>
                <w:szCs w:val="13"/>
              </w:rPr>
            </w:pPr>
            <w:r>
              <w:rPr>
                <w:spacing w:val="-2"/>
                <w:sz w:val="13"/>
                <w:szCs w:val="13"/>
              </w:rPr>
              <w:t>631.03</w:t>
            </w:r>
          </w:p>
        </w:tc>
        <w:tc>
          <w:tcPr>
            <w:tcW w:w="1185" w:type="dxa"/>
          </w:tcPr>
          <w:p>
            <w:pPr>
              <w:pStyle w:val="16"/>
              <w:spacing w:before="164" w:line="184" w:lineRule="auto"/>
              <w:ind w:left="178"/>
              <w:rPr>
                <w:rFonts w:hint="eastAsia"/>
                <w:sz w:val="13"/>
                <w:szCs w:val="13"/>
              </w:rPr>
            </w:pPr>
            <w:r>
              <w:rPr>
                <w:spacing w:val="-2"/>
                <w:sz w:val="13"/>
                <w:szCs w:val="13"/>
              </w:rPr>
              <w:t>318.45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929" w:type="dxa"/>
            <w:vMerge w:val="continue"/>
            <w:tcBorders>
              <w:top w:val="nil"/>
              <w:bottom w:val="nil"/>
            </w:tcBorders>
          </w:tcPr>
          <w:p>
            <w:pPr>
              <w:rPr>
                <w:rFonts w:ascii="Arial"/>
                <w:sz w:val="13"/>
                <w:szCs w:val="13"/>
              </w:rPr>
            </w:pPr>
          </w:p>
        </w:tc>
        <w:tc>
          <w:tcPr>
            <w:tcW w:w="1768" w:type="dxa"/>
          </w:tcPr>
          <w:p>
            <w:pPr>
              <w:pStyle w:val="16"/>
              <w:spacing w:before="139" w:line="220" w:lineRule="auto"/>
              <w:ind w:left="20"/>
              <w:rPr>
                <w:rFonts w:hint="eastAsia"/>
                <w:sz w:val="13"/>
                <w:szCs w:val="13"/>
              </w:rPr>
            </w:pPr>
            <w:r>
              <w:rPr>
                <w:spacing w:val="-1"/>
                <w:sz w:val="13"/>
                <w:szCs w:val="13"/>
              </w:rPr>
              <w:t>其中：中央补助</w:t>
            </w:r>
          </w:p>
        </w:tc>
        <w:tc>
          <w:tcPr>
            <w:tcW w:w="6276" w:type="dxa"/>
            <w:gridSpan w:val="4"/>
          </w:tcPr>
          <w:p>
            <w:pPr>
              <w:pStyle w:val="16"/>
              <w:spacing w:before="184" w:line="184" w:lineRule="auto"/>
              <w:ind w:left="2632"/>
              <w:rPr>
                <w:rFonts w:hint="eastAsia"/>
                <w:sz w:val="13"/>
                <w:szCs w:val="13"/>
              </w:rPr>
            </w:pPr>
            <w:r>
              <w:rPr>
                <w:spacing w:val="-4"/>
                <w:sz w:val="13"/>
                <w:szCs w:val="13"/>
              </w:rPr>
              <w:t>1630</w:t>
            </w:r>
          </w:p>
        </w:tc>
        <w:tc>
          <w:tcPr>
            <w:tcW w:w="1023" w:type="dxa"/>
          </w:tcPr>
          <w:p>
            <w:pPr>
              <w:pStyle w:val="16"/>
              <w:spacing w:before="184" w:line="184" w:lineRule="auto"/>
              <w:ind w:left="276"/>
              <w:rPr>
                <w:rFonts w:hint="eastAsia"/>
                <w:sz w:val="13"/>
                <w:szCs w:val="13"/>
              </w:rPr>
            </w:pPr>
            <w:r>
              <w:rPr>
                <w:spacing w:val="-4"/>
                <w:sz w:val="13"/>
                <w:szCs w:val="13"/>
              </w:rPr>
              <w:t>1630</w:t>
            </w:r>
          </w:p>
        </w:tc>
        <w:tc>
          <w:tcPr>
            <w:tcW w:w="1023" w:type="dxa"/>
          </w:tcPr>
          <w:p>
            <w:pPr>
              <w:pStyle w:val="16"/>
              <w:spacing w:before="185" w:line="183" w:lineRule="auto"/>
              <w:ind w:left="276"/>
              <w:rPr>
                <w:rFonts w:hint="eastAsia"/>
                <w:sz w:val="13"/>
                <w:szCs w:val="13"/>
              </w:rPr>
            </w:pPr>
            <w:r>
              <w:rPr>
                <w:spacing w:val="-2"/>
                <w:sz w:val="13"/>
                <w:szCs w:val="13"/>
              </w:rPr>
              <w:t>9.85</w:t>
            </w:r>
          </w:p>
        </w:tc>
        <w:tc>
          <w:tcPr>
            <w:tcW w:w="1023" w:type="dxa"/>
          </w:tcPr>
          <w:p>
            <w:pPr>
              <w:pStyle w:val="16"/>
              <w:spacing w:before="185" w:line="183" w:lineRule="auto"/>
              <w:ind w:left="187"/>
              <w:rPr>
                <w:rFonts w:hint="eastAsia"/>
                <w:sz w:val="13"/>
                <w:szCs w:val="13"/>
              </w:rPr>
            </w:pPr>
            <w:r>
              <w:rPr>
                <w:spacing w:val="-2"/>
                <w:sz w:val="13"/>
                <w:szCs w:val="13"/>
              </w:rPr>
              <w:t>670.67</w:t>
            </w:r>
          </w:p>
        </w:tc>
        <w:tc>
          <w:tcPr>
            <w:tcW w:w="1038" w:type="dxa"/>
          </w:tcPr>
          <w:p>
            <w:pPr>
              <w:pStyle w:val="16"/>
              <w:spacing w:before="184" w:line="184" w:lineRule="auto"/>
              <w:ind w:left="198"/>
              <w:rPr>
                <w:rFonts w:hint="eastAsia"/>
                <w:sz w:val="13"/>
                <w:szCs w:val="13"/>
              </w:rPr>
            </w:pPr>
            <w:r>
              <w:rPr>
                <w:spacing w:val="-2"/>
                <w:sz w:val="13"/>
                <w:szCs w:val="13"/>
              </w:rPr>
              <w:t>631.03</w:t>
            </w:r>
          </w:p>
        </w:tc>
        <w:tc>
          <w:tcPr>
            <w:tcW w:w="1185" w:type="dxa"/>
          </w:tcPr>
          <w:p>
            <w:pPr>
              <w:pStyle w:val="16"/>
              <w:spacing w:before="184" w:line="184" w:lineRule="auto"/>
              <w:ind w:left="178"/>
              <w:rPr>
                <w:rFonts w:hint="eastAsia"/>
                <w:sz w:val="13"/>
                <w:szCs w:val="13"/>
              </w:rPr>
            </w:pPr>
            <w:r>
              <w:rPr>
                <w:spacing w:val="-2"/>
                <w:sz w:val="13"/>
                <w:szCs w:val="13"/>
              </w:rPr>
              <w:t>318.45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1929" w:type="dxa"/>
            <w:vMerge w:val="continue"/>
            <w:tcBorders>
              <w:top w:val="nil"/>
            </w:tcBorders>
          </w:tcPr>
          <w:p>
            <w:pPr>
              <w:rPr>
                <w:rFonts w:ascii="Arial"/>
                <w:sz w:val="13"/>
                <w:szCs w:val="13"/>
              </w:rPr>
            </w:pPr>
          </w:p>
        </w:tc>
        <w:tc>
          <w:tcPr>
            <w:tcW w:w="1768" w:type="dxa"/>
          </w:tcPr>
          <w:p>
            <w:pPr>
              <w:pStyle w:val="16"/>
              <w:spacing w:before="131" w:line="221" w:lineRule="auto"/>
              <w:ind w:left="420"/>
              <w:rPr>
                <w:rFonts w:hint="eastAsia"/>
                <w:sz w:val="13"/>
                <w:szCs w:val="13"/>
              </w:rPr>
            </w:pPr>
            <w:r>
              <w:rPr>
                <w:spacing w:val="-2"/>
                <w:sz w:val="13"/>
                <w:szCs w:val="13"/>
              </w:rPr>
              <w:t>地方资金</w:t>
            </w:r>
          </w:p>
        </w:tc>
        <w:tc>
          <w:tcPr>
            <w:tcW w:w="6276" w:type="dxa"/>
            <w:gridSpan w:val="4"/>
          </w:tcPr>
          <w:p>
            <w:pPr>
              <w:rPr>
                <w:rFonts w:ascii="Arial"/>
                <w:sz w:val="13"/>
                <w:szCs w:val="13"/>
              </w:rPr>
            </w:pPr>
          </w:p>
        </w:tc>
        <w:tc>
          <w:tcPr>
            <w:tcW w:w="1023" w:type="dxa"/>
          </w:tcPr>
          <w:p>
            <w:pPr>
              <w:rPr>
                <w:rFonts w:ascii="Arial"/>
                <w:sz w:val="13"/>
                <w:szCs w:val="13"/>
              </w:rPr>
            </w:pPr>
          </w:p>
        </w:tc>
        <w:tc>
          <w:tcPr>
            <w:tcW w:w="1023" w:type="dxa"/>
          </w:tcPr>
          <w:p>
            <w:pPr>
              <w:rPr>
                <w:rFonts w:ascii="Arial"/>
                <w:sz w:val="13"/>
                <w:szCs w:val="13"/>
              </w:rPr>
            </w:pPr>
          </w:p>
        </w:tc>
        <w:tc>
          <w:tcPr>
            <w:tcW w:w="1023" w:type="dxa"/>
          </w:tcPr>
          <w:p>
            <w:pPr>
              <w:rPr>
                <w:rFonts w:ascii="Arial"/>
                <w:sz w:val="13"/>
                <w:szCs w:val="13"/>
              </w:rPr>
            </w:pPr>
          </w:p>
        </w:tc>
        <w:tc>
          <w:tcPr>
            <w:tcW w:w="1038" w:type="dxa"/>
          </w:tcPr>
          <w:p>
            <w:pPr>
              <w:rPr>
                <w:rFonts w:ascii="Arial"/>
                <w:sz w:val="13"/>
                <w:szCs w:val="13"/>
              </w:rPr>
            </w:pPr>
          </w:p>
        </w:tc>
        <w:tc>
          <w:tcPr>
            <w:tcW w:w="1185" w:type="dxa"/>
          </w:tcPr>
          <w:p>
            <w:pPr>
              <w:rPr>
                <w:rFonts w:ascii="Arial"/>
                <w:sz w:val="13"/>
                <w:szCs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929" w:type="dxa"/>
          </w:tcPr>
          <w:p>
            <w:pPr>
              <w:pStyle w:val="16"/>
              <w:spacing w:before="61" w:line="219" w:lineRule="auto"/>
              <w:ind w:left="504"/>
              <w:rPr>
                <w:rFonts w:hint="eastAsia"/>
                <w:sz w:val="13"/>
                <w:szCs w:val="13"/>
              </w:rPr>
            </w:pPr>
            <w:r>
              <w:rPr>
                <w:spacing w:val="-2"/>
                <w:sz w:val="13"/>
                <w:szCs w:val="13"/>
              </w:rPr>
              <w:t>年度目标</w:t>
            </w:r>
          </w:p>
        </w:tc>
        <w:tc>
          <w:tcPr>
            <w:tcW w:w="13336" w:type="dxa"/>
            <w:gridSpan w:val="10"/>
          </w:tcPr>
          <w:p>
            <w:pPr>
              <w:pStyle w:val="16"/>
              <w:spacing w:before="61" w:line="219" w:lineRule="auto"/>
              <w:ind w:left="3791"/>
              <w:rPr>
                <w:rFonts w:hint="eastAsia"/>
                <w:sz w:val="13"/>
                <w:szCs w:val="13"/>
                <w:lang w:eastAsia="zh-CN"/>
              </w:rPr>
            </w:pPr>
            <w:r>
              <w:rPr>
                <w:sz w:val="13"/>
                <w:szCs w:val="13"/>
                <w:lang w:eastAsia="zh-CN"/>
              </w:rPr>
              <w:t>通过使用救灾资金，减少灾害损失，确保农业生产稳定。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929" w:type="dxa"/>
            <w:vMerge w:val="restart"/>
            <w:tcBorders>
              <w:top w:val="single" w:color="auto" w:sz="4" w:space="0"/>
              <w:left w:val="single" w:color="auto" w:sz="4" w:space="0"/>
              <w:bottom w:val="single" w:color="auto" w:sz="4" w:space="0"/>
              <w:right w:val="single" w:color="auto" w:sz="4" w:space="0"/>
            </w:tcBorders>
          </w:tcPr>
          <w:p>
            <w:pPr>
              <w:spacing w:line="248" w:lineRule="auto"/>
              <w:rPr>
                <w:rFonts w:ascii="Arial"/>
                <w:sz w:val="13"/>
                <w:szCs w:val="13"/>
              </w:rPr>
            </w:pPr>
          </w:p>
          <w:p>
            <w:pPr>
              <w:spacing w:line="248" w:lineRule="auto"/>
              <w:rPr>
                <w:rFonts w:ascii="Arial"/>
                <w:sz w:val="13"/>
                <w:szCs w:val="13"/>
              </w:rPr>
            </w:pPr>
          </w:p>
          <w:p>
            <w:pPr>
              <w:spacing w:line="249" w:lineRule="auto"/>
              <w:rPr>
                <w:rFonts w:ascii="Arial"/>
                <w:sz w:val="13"/>
                <w:szCs w:val="13"/>
              </w:rPr>
            </w:pPr>
          </w:p>
          <w:p>
            <w:pPr>
              <w:spacing w:line="249" w:lineRule="auto"/>
              <w:rPr>
                <w:rFonts w:ascii="Arial"/>
                <w:sz w:val="13"/>
                <w:szCs w:val="13"/>
              </w:rPr>
            </w:pPr>
          </w:p>
          <w:p>
            <w:pPr>
              <w:spacing w:line="249" w:lineRule="auto"/>
              <w:rPr>
                <w:rFonts w:ascii="Arial"/>
                <w:sz w:val="13"/>
                <w:szCs w:val="13"/>
              </w:rPr>
            </w:pPr>
          </w:p>
          <w:p>
            <w:pPr>
              <w:spacing w:line="249" w:lineRule="auto"/>
              <w:rPr>
                <w:rFonts w:ascii="Arial"/>
                <w:sz w:val="13"/>
                <w:szCs w:val="13"/>
              </w:rPr>
            </w:pPr>
          </w:p>
          <w:p>
            <w:pPr>
              <w:spacing w:line="249" w:lineRule="auto"/>
              <w:rPr>
                <w:rFonts w:ascii="Arial"/>
                <w:sz w:val="13"/>
                <w:szCs w:val="13"/>
              </w:rPr>
            </w:pPr>
          </w:p>
          <w:p>
            <w:pPr>
              <w:spacing w:line="249" w:lineRule="auto"/>
              <w:rPr>
                <w:rFonts w:ascii="Arial"/>
                <w:sz w:val="13"/>
                <w:szCs w:val="13"/>
              </w:rPr>
            </w:pPr>
          </w:p>
          <w:p>
            <w:pPr>
              <w:spacing w:line="249" w:lineRule="auto"/>
              <w:rPr>
                <w:rFonts w:ascii="Arial"/>
                <w:sz w:val="13"/>
                <w:szCs w:val="13"/>
              </w:rPr>
            </w:pPr>
          </w:p>
          <w:p>
            <w:pPr>
              <w:pStyle w:val="16"/>
              <w:spacing w:before="59" w:line="220" w:lineRule="auto"/>
              <w:ind w:left="504"/>
              <w:rPr>
                <w:rFonts w:hint="eastAsia"/>
                <w:sz w:val="13"/>
                <w:szCs w:val="13"/>
              </w:rPr>
            </w:pPr>
            <w:r>
              <w:rPr>
                <w:spacing w:val="-2"/>
                <w:sz w:val="13"/>
                <w:szCs w:val="13"/>
              </w:rPr>
              <w:t>绩效指标</w:t>
            </w:r>
          </w:p>
        </w:tc>
        <w:tc>
          <w:tcPr>
            <w:tcW w:w="1768" w:type="dxa"/>
            <w:tcBorders>
              <w:top w:val="single" w:color="auto" w:sz="4" w:space="0"/>
              <w:left w:val="single" w:color="auto" w:sz="4" w:space="0"/>
              <w:bottom w:val="single" w:color="auto" w:sz="4" w:space="0"/>
              <w:right w:val="single" w:color="auto" w:sz="4" w:space="0"/>
            </w:tcBorders>
          </w:tcPr>
          <w:p>
            <w:pPr>
              <w:pStyle w:val="16"/>
              <w:spacing w:before="51" w:line="220" w:lineRule="auto"/>
              <w:ind w:left="420"/>
              <w:rPr>
                <w:rFonts w:hint="eastAsia"/>
                <w:sz w:val="13"/>
                <w:szCs w:val="13"/>
              </w:rPr>
            </w:pPr>
            <w:r>
              <w:rPr>
                <w:spacing w:val="-3"/>
                <w:sz w:val="13"/>
                <w:szCs w:val="13"/>
              </w:rPr>
              <w:t>一级指标</w:t>
            </w:r>
          </w:p>
        </w:tc>
        <w:tc>
          <w:tcPr>
            <w:tcW w:w="1573" w:type="dxa"/>
            <w:tcBorders>
              <w:top w:val="single" w:color="auto" w:sz="4" w:space="0"/>
              <w:left w:val="single" w:color="auto" w:sz="4" w:space="0"/>
              <w:bottom w:val="single" w:color="auto" w:sz="4" w:space="0"/>
              <w:right w:val="single" w:color="auto" w:sz="4" w:space="0"/>
            </w:tcBorders>
          </w:tcPr>
          <w:p>
            <w:pPr>
              <w:pStyle w:val="16"/>
              <w:spacing w:before="51" w:line="220" w:lineRule="auto"/>
              <w:ind w:left="341"/>
              <w:rPr>
                <w:rFonts w:hint="eastAsia"/>
                <w:sz w:val="13"/>
                <w:szCs w:val="13"/>
              </w:rPr>
            </w:pPr>
            <w:r>
              <w:rPr>
                <w:spacing w:val="-2"/>
                <w:sz w:val="13"/>
                <w:szCs w:val="13"/>
              </w:rPr>
              <w:t>二级指标</w:t>
            </w:r>
          </w:p>
        </w:tc>
        <w:tc>
          <w:tcPr>
            <w:tcW w:w="4703" w:type="dxa"/>
            <w:gridSpan w:val="3"/>
            <w:tcBorders>
              <w:left w:val="single" w:color="auto" w:sz="4" w:space="0"/>
            </w:tcBorders>
          </w:tcPr>
          <w:p>
            <w:pPr>
              <w:pStyle w:val="16"/>
              <w:spacing w:before="51" w:line="220" w:lineRule="auto"/>
              <w:ind w:left="1792"/>
              <w:rPr>
                <w:rFonts w:hint="eastAsia"/>
                <w:sz w:val="13"/>
                <w:szCs w:val="13"/>
              </w:rPr>
            </w:pPr>
            <w:r>
              <w:rPr>
                <w:spacing w:val="-2"/>
                <w:sz w:val="13"/>
                <w:szCs w:val="13"/>
              </w:rPr>
              <w:t>三级指标</w:t>
            </w:r>
          </w:p>
        </w:tc>
        <w:tc>
          <w:tcPr>
            <w:tcW w:w="5292" w:type="dxa"/>
            <w:gridSpan w:val="5"/>
          </w:tcPr>
          <w:p>
            <w:pPr>
              <w:pStyle w:val="16"/>
              <w:spacing w:before="51" w:line="219" w:lineRule="auto"/>
              <w:ind w:left="2085"/>
              <w:rPr>
                <w:rFonts w:hint="eastAsia"/>
                <w:sz w:val="13"/>
                <w:szCs w:val="13"/>
              </w:rPr>
            </w:pPr>
            <w:r>
              <w:rPr>
                <w:spacing w:val="-3"/>
                <w:sz w:val="13"/>
                <w:szCs w:val="13"/>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restart"/>
            <w:tcBorders>
              <w:top w:val="single" w:color="auto" w:sz="4" w:space="0"/>
              <w:left w:val="single" w:color="auto" w:sz="4" w:space="0"/>
              <w:bottom w:val="single" w:color="auto" w:sz="4" w:space="0"/>
              <w:right w:val="single" w:color="auto" w:sz="4" w:space="0"/>
            </w:tcBorders>
            <w:vAlign w:val="center"/>
          </w:tcPr>
          <w:p>
            <w:pPr>
              <w:pStyle w:val="16"/>
              <w:spacing w:before="59" w:line="219" w:lineRule="auto"/>
              <w:ind w:firstLine="504" w:firstLineChars="400"/>
              <w:jc w:val="center"/>
              <w:rPr>
                <w:rFonts w:hint="eastAsia"/>
                <w:sz w:val="13"/>
                <w:szCs w:val="13"/>
              </w:rPr>
            </w:pPr>
            <w:r>
              <w:rPr>
                <w:spacing w:val="-2"/>
                <w:sz w:val="13"/>
                <w:szCs w:val="13"/>
              </w:rPr>
              <w:t>产出指标</w:t>
            </w:r>
          </w:p>
        </w:tc>
        <w:tc>
          <w:tcPr>
            <w:tcW w:w="1573" w:type="dxa"/>
            <w:vMerge w:val="restart"/>
            <w:tcBorders>
              <w:top w:val="single" w:color="auto" w:sz="4" w:space="0"/>
              <w:left w:val="single" w:color="auto" w:sz="4" w:space="0"/>
              <w:bottom w:val="single" w:color="auto" w:sz="4" w:space="0"/>
              <w:right w:val="single" w:color="auto" w:sz="4" w:space="0"/>
            </w:tcBorders>
          </w:tcPr>
          <w:p>
            <w:pPr>
              <w:pStyle w:val="16"/>
              <w:spacing w:before="281" w:line="219" w:lineRule="auto"/>
              <w:ind w:left="341"/>
              <w:rPr>
                <w:rFonts w:hint="eastAsia"/>
                <w:sz w:val="13"/>
                <w:szCs w:val="13"/>
              </w:rPr>
            </w:pPr>
            <w:r>
              <w:rPr>
                <w:spacing w:val="-2"/>
                <w:sz w:val="13"/>
                <w:szCs w:val="13"/>
              </w:rPr>
              <w:t>数量指标</w:t>
            </w:r>
          </w:p>
        </w:tc>
        <w:tc>
          <w:tcPr>
            <w:tcW w:w="4703" w:type="dxa"/>
            <w:gridSpan w:val="3"/>
            <w:tcBorders>
              <w:left w:val="single" w:color="auto" w:sz="4" w:space="0"/>
            </w:tcBorders>
          </w:tcPr>
          <w:p>
            <w:pPr>
              <w:pStyle w:val="16"/>
              <w:spacing w:before="131" w:line="219" w:lineRule="auto"/>
              <w:ind w:left="12"/>
              <w:rPr>
                <w:rFonts w:hint="eastAsia"/>
                <w:sz w:val="13"/>
                <w:szCs w:val="13"/>
                <w:lang w:eastAsia="zh-CN"/>
              </w:rPr>
            </w:pPr>
            <w:r>
              <w:rPr>
                <w:spacing w:val="1"/>
                <w:sz w:val="13"/>
                <w:szCs w:val="13"/>
                <w:lang w:eastAsia="zh-CN"/>
              </w:rPr>
              <w:t>支持灾后设施恢复和农作物恢复生长(万亩)</w:t>
            </w:r>
          </w:p>
        </w:tc>
        <w:tc>
          <w:tcPr>
            <w:tcW w:w="1023" w:type="dxa"/>
          </w:tcPr>
          <w:p>
            <w:pPr>
              <w:pStyle w:val="16"/>
              <w:spacing w:before="149" w:line="239" w:lineRule="auto"/>
              <w:ind w:left="235"/>
              <w:rPr>
                <w:rFonts w:hint="eastAsia"/>
                <w:sz w:val="13"/>
                <w:szCs w:val="13"/>
              </w:rPr>
            </w:pPr>
            <w:r>
              <w:rPr>
                <w:spacing w:val="-3"/>
                <w:sz w:val="13"/>
                <w:szCs w:val="13"/>
              </w:rPr>
              <w:t>&gt;0.52</w:t>
            </w:r>
          </w:p>
        </w:tc>
        <w:tc>
          <w:tcPr>
            <w:tcW w:w="1023" w:type="dxa"/>
          </w:tcPr>
          <w:p>
            <w:pPr>
              <w:pStyle w:val="16"/>
              <w:spacing w:before="149" w:line="239" w:lineRule="auto"/>
              <w:ind w:left="237"/>
              <w:rPr>
                <w:rFonts w:hint="eastAsia"/>
                <w:sz w:val="13"/>
                <w:szCs w:val="13"/>
              </w:rPr>
            </w:pPr>
            <w:r>
              <w:rPr>
                <w:spacing w:val="-3"/>
                <w:sz w:val="13"/>
                <w:szCs w:val="13"/>
              </w:rPr>
              <w:t>&gt;0.02</w:t>
            </w:r>
          </w:p>
        </w:tc>
        <w:tc>
          <w:tcPr>
            <w:tcW w:w="1023" w:type="dxa"/>
          </w:tcPr>
          <w:p>
            <w:pPr>
              <w:pStyle w:val="16"/>
              <w:spacing w:before="149" w:line="239" w:lineRule="auto"/>
              <w:ind w:left="238"/>
              <w:rPr>
                <w:rFonts w:hint="eastAsia"/>
                <w:sz w:val="13"/>
                <w:szCs w:val="13"/>
              </w:rPr>
            </w:pPr>
            <w:r>
              <w:rPr>
                <w:spacing w:val="-3"/>
                <w:sz w:val="13"/>
                <w:szCs w:val="13"/>
              </w:rPr>
              <w:t>&gt;0.18</w:t>
            </w:r>
          </w:p>
        </w:tc>
        <w:tc>
          <w:tcPr>
            <w:tcW w:w="1038" w:type="dxa"/>
          </w:tcPr>
          <w:p>
            <w:pPr>
              <w:pStyle w:val="16"/>
              <w:spacing w:before="149" w:line="239" w:lineRule="auto"/>
              <w:ind w:left="238"/>
              <w:rPr>
                <w:rFonts w:hint="eastAsia"/>
                <w:sz w:val="13"/>
                <w:szCs w:val="13"/>
              </w:rPr>
            </w:pPr>
            <w:r>
              <w:rPr>
                <w:spacing w:val="-3"/>
                <w:sz w:val="13"/>
                <w:szCs w:val="13"/>
              </w:rPr>
              <w:t>&gt;0.08</w:t>
            </w:r>
          </w:p>
        </w:tc>
        <w:tc>
          <w:tcPr>
            <w:tcW w:w="1185" w:type="dxa"/>
          </w:tcPr>
          <w:p>
            <w:pPr>
              <w:pStyle w:val="16"/>
              <w:spacing w:before="149" w:line="239" w:lineRule="auto"/>
              <w:ind w:left="228"/>
              <w:rPr>
                <w:rFonts w:hint="eastAsia"/>
                <w:sz w:val="13"/>
                <w:szCs w:val="13"/>
              </w:rPr>
            </w:pPr>
            <w:r>
              <w:rPr>
                <w:spacing w:val="-3"/>
                <w:sz w:val="13"/>
                <w:szCs w:val="13"/>
              </w:rPr>
              <w:t>&gt;0.24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4703" w:type="dxa"/>
            <w:gridSpan w:val="3"/>
            <w:tcBorders>
              <w:left w:val="single" w:color="auto" w:sz="4" w:space="0"/>
            </w:tcBorders>
          </w:tcPr>
          <w:p>
            <w:pPr>
              <w:pStyle w:val="16"/>
              <w:spacing w:before="61" w:line="219" w:lineRule="auto"/>
              <w:ind w:left="12"/>
              <w:rPr>
                <w:rFonts w:hint="eastAsia"/>
                <w:sz w:val="13"/>
                <w:szCs w:val="13"/>
                <w:lang w:eastAsia="zh-CN"/>
              </w:rPr>
            </w:pPr>
            <w:r>
              <w:rPr>
                <w:spacing w:val="3"/>
                <w:sz w:val="13"/>
                <w:szCs w:val="13"/>
                <w:lang w:eastAsia="zh-CN"/>
              </w:rPr>
              <w:t>修复畜禽养殖圈舍(平方米)</w:t>
            </w:r>
          </w:p>
        </w:tc>
        <w:tc>
          <w:tcPr>
            <w:tcW w:w="1023" w:type="dxa"/>
          </w:tcPr>
          <w:p>
            <w:pPr>
              <w:pStyle w:val="16"/>
              <w:spacing w:before="79" w:line="206" w:lineRule="auto"/>
              <w:ind w:left="185"/>
              <w:rPr>
                <w:rFonts w:hint="eastAsia"/>
                <w:sz w:val="13"/>
                <w:szCs w:val="13"/>
              </w:rPr>
            </w:pPr>
            <w:r>
              <w:rPr>
                <w:spacing w:val="-2"/>
                <w:sz w:val="13"/>
                <w:szCs w:val="13"/>
              </w:rPr>
              <w:t>&gt;24870</w:t>
            </w:r>
          </w:p>
        </w:tc>
        <w:tc>
          <w:tcPr>
            <w:tcW w:w="1023" w:type="dxa"/>
          </w:tcPr>
          <w:p>
            <w:pPr>
              <w:rPr>
                <w:rFonts w:ascii="Arial"/>
                <w:sz w:val="13"/>
                <w:szCs w:val="13"/>
              </w:rPr>
            </w:pPr>
          </w:p>
        </w:tc>
        <w:tc>
          <w:tcPr>
            <w:tcW w:w="1023" w:type="dxa"/>
          </w:tcPr>
          <w:p>
            <w:pPr>
              <w:pStyle w:val="16"/>
              <w:spacing w:before="79" w:line="206" w:lineRule="auto"/>
              <w:ind w:left="187"/>
              <w:rPr>
                <w:rFonts w:hint="eastAsia"/>
                <w:sz w:val="13"/>
                <w:szCs w:val="13"/>
              </w:rPr>
            </w:pPr>
            <w:r>
              <w:rPr>
                <w:spacing w:val="-2"/>
                <w:sz w:val="13"/>
                <w:szCs w:val="13"/>
              </w:rPr>
              <w:t>&gt;14100</w:t>
            </w:r>
          </w:p>
        </w:tc>
        <w:tc>
          <w:tcPr>
            <w:tcW w:w="1038" w:type="dxa"/>
          </w:tcPr>
          <w:p>
            <w:pPr>
              <w:pStyle w:val="16"/>
              <w:spacing w:before="79" w:line="206" w:lineRule="auto"/>
              <w:ind w:left="198"/>
              <w:rPr>
                <w:rFonts w:hint="eastAsia"/>
                <w:sz w:val="13"/>
                <w:szCs w:val="13"/>
              </w:rPr>
            </w:pPr>
            <w:r>
              <w:rPr>
                <w:spacing w:val="-2"/>
                <w:sz w:val="13"/>
                <w:szCs w:val="13"/>
              </w:rPr>
              <w:t>&gt;10770</w:t>
            </w:r>
          </w:p>
        </w:tc>
        <w:tc>
          <w:tcPr>
            <w:tcW w:w="1185" w:type="dxa"/>
          </w:tcPr>
          <w:p>
            <w:pPr>
              <w:rPr>
                <w:rFonts w:ascii="Arial"/>
                <w:sz w:val="13"/>
                <w:szCs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tcBorders>
              <w:top w:val="single" w:color="auto" w:sz="4" w:space="0"/>
              <w:left w:val="single" w:color="auto" w:sz="4" w:space="0"/>
              <w:bottom w:val="single" w:color="auto" w:sz="4" w:space="0"/>
              <w:right w:val="single" w:color="auto" w:sz="4" w:space="0"/>
            </w:tcBorders>
          </w:tcPr>
          <w:p>
            <w:pPr>
              <w:pStyle w:val="16"/>
              <w:spacing w:before="131" w:line="220" w:lineRule="auto"/>
              <w:ind w:left="341"/>
              <w:rPr>
                <w:rFonts w:hint="eastAsia"/>
                <w:sz w:val="13"/>
                <w:szCs w:val="13"/>
              </w:rPr>
            </w:pPr>
            <w:r>
              <w:rPr>
                <w:spacing w:val="-2"/>
                <w:sz w:val="13"/>
                <w:szCs w:val="13"/>
              </w:rPr>
              <w:t>质量指标</w:t>
            </w:r>
          </w:p>
        </w:tc>
        <w:tc>
          <w:tcPr>
            <w:tcW w:w="4703" w:type="dxa"/>
            <w:gridSpan w:val="3"/>
            <w:tcBorders>
              <w:left w:val="single" w:color="auto" w:sz="4" w:space="0"/>
            </w:tcBorders>
          </w:tcPr>
          <w:p>
            <w:pPr>
              <w:pStyle w:val="16"/>
              <w:spacing w:before="131" w:line="219" w:lineRule="auto"/>
              <w:ind w:left="12"/>
              <w:rPr>
                <w:rFonts w:hint="eastAsia"/>
                <w:sz w:val="13"/>
                <w:szCs w:val="13"/>
                <w:lang w:eastAsia="zh-CN"/>
              </w:rPr>
            </w:pPr>
            <w:r>
              <w:rPr>
                <w:spacing w:val="1"/>
                <w:sz w:val="13"/>
                <w:szCs w:val="13"/>
                <w:lang w:eastAsia="zh-CN"/>
              </w:rPr>
              <w:t>用于农业生产防灾减灾救灾相关支出的比例(%)</w:t>
            </w:r>
          </w:p>
        </w:tc>
        <w:tc>
          <w:tcPr>
            <w:tcW w:w="1023" w:type="dxa"/>
          </w:tcPr>
          <w:p>
            <w:pPr>
              <w:pStyle w:val="16"/>
              <w:spacing w:before="176" w:line="184" w:lineRule="auto"/>
              <w:ind w:left="276"/>
              <w:rPr>
                <w:rFonts w:hint="eastAsia"/>
                <w:sz w:val="13"/>
                <w:szCs w:val="13"/>
              </w:rPr>
            </w:pPr>
            <w:r>
              <w:rPr>
                <w:spacing w:val="-4"/>
                <w:sz w:val="13"/>
                <w:szCs w:val="13"/>
              </w:rPr>
              <w:t>100%</w:t>
            </w:r>
          </w:p>
        </w:tc>
        <w:tc>
          <w:tcPr>
            <w:tcW w:w="1023" w:type="dxa"/>
          </w:tcPr>
          <w:p>
            <w:pPr>
              <w:pStyle w:val="16"/>
              <w:spacing w:before="176" w:line="184" w:lineRule="auto"/>
              <w:ind w:left="276"/>
              <w:rPr>
                <w:rFonts w:hint="eastAsia"/>
                <w:sz w:val="13"/>
                <w:szCs w:val="13"/>
              </w:rPr>
            </w:pPr>
            <w:r>
              <w:rPr>
                <w:spacing w:val="-4"/>
                <w:sz w:val="13"/>
                <w:szCs w:val="13"/>
              </w:rPr>
              <w:t>100%</w:t>
            </w:r>
          </w:p>
        </w:tc>
        <w:tc>
          <w:tcPr>
            <w:tcW w:w="1023" w:type="dxa"/>
          </w:tcPr>
          <w:p>
            <w:pPr>
              <w:pStyle w:val="16"/>
              <w:spacing w:before="176" w:line="184" w:lineRule="auto"/>
              <w:ind w:left="277"/>
              <w:rPr>
                <w:rFonts w:hint="eastAsia"/>
                <w:sz w:val="13"/>
                <w:szCs w:val="13"/>
              </w:rPr>
            </w:pPr>
            <w:r>
              <w:rPr>
                <w:spacing w:val="-4"/>
                <w:sz w:val="13"/>
                <w:szCs w:val="13"/>
              </w:rPr>
              <w:t>100%</w:t>
            </w:r>
          </w:p>
        </w:tc>
        <w:tc>
          <w:tcPr>
            <w:tcW w:w="1038" w:type="dxa"/>
          </w:tcPr>
          <w:p>
            <w:pPr>
              <w:pStyle w:val="16"/>
              <w:spacing w:before="176" w:line="184" w:lineRule="auto"/>
              <w:ind w:left="288"/>
              <w:rPr>
                <w:rFonts w:hint="eastAsia"/>
                <w:sz w:val="13"/>
                <w:szCs w:val="13"/>
              </w:rPr>
            </w:pPr>
            <w:r>
              <w:rPr>
                <w:spacing w:val="-4"/>
                <w:sz w:val="13"/>
                <w:szCs w:val="13"/>
              </w:rPr>
              <w:t>100%</w:t>
            </w:r>
          </w:p>
        </w:tc>
        <w:tc>
          <w:tcPr>
            <w:tcW w:w="1185" w:type="dxa"/>
          </w:tcPr>
          <w:p>
            <w:pPr>
              <w:pStyle w:val="16"/>
              <w:spacing w:before="176" w:line="184" w:lineRule="auto"/>
              <w:ind w:left="268"/>
              <w:rPr>
                <w:rFonts w:hint="eastAsia"/>
                <w:sz w:val="13"/>
                <w:szCs w:val="13"/>
              </w:rPr>
            </w:pPr>
            <w:r>
              <w:rPr>
                <w:spacing w:val="-4"/>
                <w:sz w:val="13"/>
                <w:szCs w:val="13"/>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tcBorders>
              <w:top w:val="single" w:color="auto" w:sz="4" w:space="0"/>
              <w:left w:val="single" w:color="auto" w:sz="4" w:space="0"/>
              <w:bottom w:val="single" w:color="auto" w:sz="4" w:space="0"/>
              <w:right w:val="single" w:color="auto" w:sz="4" w:space="0"/>
            </w:tcBorders>
          </w:tcPr>
          <w:p>
            <w:pPr>
              <w:pStyle w:val="16"/>
              <w:spacing w:before="132" w:line="220" w:lineRule="auto"/>
              <w:ind w:left="341"/>
              <w:rPr>
                <w:rFonts w:hint="eastAsia"/>
                <w:sz w:val="13"/>
                <w:szCs w:val="13"/>
              </w:rPr>
            </w:pPr>
            <w:r>
              <w:rPr>
                <w:spacing w:val="1"/>
                <w:sz w:val="13"/>
                <w:szCs w:val="13"/>
              </w:rPr>
              <w:t>时效指标</w:t>
            </w:r>
          </w:p>
        </w:tc>
        <w:tc>
          <w:tcPr>
            <w:tcW w:w="4703" w:type="dxa"/>
            <w:gridSpan w:val="3"/>
            <w:tcBorders>
              <w:left w:val="single" w:color="auto" w:sz="4" w:space="0"/>
            </w:tcBorders>
          </w:tcPr>
          <w:p>
            <w:pPr>
              <w:pStyle w:val="16"/>
              <w:spacing w:before="132" w:line="219" w:lineRule="auto"/>
              <w:ind w:left="12"/>
              <w:rPr>
                <w:rFonts w:hint="eastAsia"/>
                <w:sz w:val="13"/>
                <w:szCs w:val="13"/>
                <w:lang w:eastAsia="zh-CN"/>
              </w:rPr>
            </w:pPr>
            <w:r>
              <w:rPr>
                <w:spacing w:val="1"/>
                <w:sz w:val="13"/>
                <w:szCs w:val="13"/>
                <w:lang w:eastAsia="zh-CN"/>
              </w:rPr>
              <w:t>救灾资金下达到省6个月内预算执行率(%)</w:t>
            </w:r>
          </w:p>
        </w:tc>
        <w:tc>
          <w:tcPr>
            <w:tcW w:w="1023" w:type="dxa"/>
          </w:tcPr>
          <w:p>
            <w:pPr>
              <w:pStyle w:val="16"/>
              <w:spacing w:before="149"/>
              <w:ind w:left="276"/>
              <w:rPr>
                <w:rFonts w:hint="eastAsia"/>
                <w:sz w:val="13"/>
                <w:szCs w:val="13"/>
              </w:rPr>
            </w:pPr>
            <w:r>
              <w:rPr>
                <w:spacing w:val="-3"/>
                <w:sz w:val="13"/>
                <w:szCs w:val="13"/>
              </w:rPr>
              <w:t>&gt;80%</w:t>
            </w:r>
          </w:p>
        </w:tc>
        <w:tc>
          <w:tcPr>
            <w:tcW w:w="1023" w:type="dxa"/>
          </w:tcPr>
          <w:p>
            <w:pPr>
              <w:pStyle w:val="16"/>
              <w:spacing w:before="149"/>
              <w:ind w:left="276"/>
              <w:rPr>
                <w:rFonts w:hint="eastAsia"/>
                <w:sz w:val="13"/>
                <w:szCs w:val="13"/>
              </w:rPr>
            </w:pPr>
            <w:r>
              <w:rPr>
                <w:spacing w:val="-3"/>
                <w:sz w:val="13"/>
                <w:szCs w:val="13"/>
              </w:rPr>
              <w:t>&gt;80%</w:t>
            </w:r>
          </w:p>
        </w:tc>
        <w:tc>
          <w:tcPr>
            <w:tcW w:w="1023" w:type="dxa"/>
          </w:tcPr>
          <w:p>
            <w:pPr>
              <w:pStyle w:val="16"/>
              <w:spacing w:before="149"/>
              <w:ind w:left="277"/>
              <w:rPr>
                <w:rFonts w:hint="eastAsia"/>
                <w:sz w:val="13"/>
                <w:szCs w:val="13"/>
              </w:rPr>
            </w:pPr>
            <w:r>
              <w:rPr>
                <w:spacing w:val="-3"/>
                <w:sz w:val="13"/>
                <w:szCs w:val="13"/>
              </w:rPr>
              <w:t>&gt;80%</w:t>
            </w:r>
          </w:p>
        </w:tc>
        <w:tc>
          <w:tcPr>
            <w:tcW w:w="1038" w:type="dxa"/>
          </w:tcPr>
          <w:p>
            <w:pPr>
              <w:pStyle w:val="16"/>
              <w:spacing w:before="149"/>
              <w:ind w:left="288"/>
              <w:rPr>
                <w:rFonts w:hint="eastAsia"/>
                <w:sz w:val="13"/>
                <w:szCs w:val="13"/>
              </w:rPr>
            </w:pPr>
            <w:r>
              <w:rPr>
                <w:spacing w:val="-3"/>
                <w:sz w:val="13"/>
                <w:szCs w:val="13"/>
              </w:rPr>
              <w:t>&gt;80%</w:t>
            </w:r>
          </w:p>
        </w:tc>
        <w:tc>
          <w:tcPr>
            <w:tcW w:w="1185" w:type="dxa"/>
          </w:tcPr>
          <w:p>
            <w:pPr>
              <w:pStyle w:val="16"/>
              <w:spacing w:before="149"/>
              <w:ind w:left="268"/>
              <w:rPr>
                <w:rFonts w:hint="eastAsia"/>
                <w:sz w:val="13"/>
                <w:szCs w:val="13"/>
              </w:rPr>
            </w:pPr>
            <w:r>
              <w:rPr>
                <w:spacing w:val="-3"/>
                <w:sz w:val="13"/>
                <w:szCs w:val="13"/>
              </w:rPr>
              <w:t>&gt;80%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tcBorders>
              <w:top w:val="single" w:color="auto" w:sz="4" w:space="0"/>
              <w:left w:val="single" w:color="auto" w:sz="4" w:space="0"/>
              <w:bottom w:val="single" w:color="auto" w:sz="4" w:space="0"/>
              <w:right w:val="single" w:color="auto" w:sz="4" w:space="0"/>
            </w:tcBorders>
          </w:tcPr>
          <w:p>
            <w:pPr>
              <w:pStyle w:val="16"/>
              <w:spacing w:before="132" w:line="219" w:lineRule="auto"/>
              <w:ind w:left="341"/>
              <w:rPr>
                <w:rFonts w:hint="eastAsia"/>
                <w:sz w:val="13"/>
                <w:szCs w:val="13"/>
              </w:rPr>
            </w:pPr>
            <w:r>
              <w:rPr>
                <w:spacing w:val="-2"/>
                <w:sz w:val="13"/>
                <w:szCs w:val="13"/>
              </w:rPr>
              <w:t>成本指标</w:t>
            </w:r>
          </w:p>
        </w:tc>
        <w:tc>
          <w:tcPr>
            <w:tcW w:w="4703" w:type="dxa"/>
            <w:gridSpan w:val="3"/>
            <w:tcBorders>
              <w:left w:val="single" w:color="auto" w:sz="4" w:space="0"/>
            </w:tcBorders>
          </w:tcPr>
          <w:p>
            <w:pPr>
              <w:pStyle w:val="16"/>
              <w:spacing w:before="131" w:line="218" w:lineRule="auto"/>
              <w:ind w:left="12"/>
              <w:rPr>
                <w:rFonts w:hint="eastAsia"/>
                <w:sz w:val="13"/>
                <w:szCs w:val="13"/>
              </w:rPr>
            </w:pPr>
            <w:r>
              <w:rPr>
                <w:spacing w:val="-1"/>
                <w:sz w:val="13"/>
                <w:szCs w:val="13"/>
              </w:rPr>
              <w:t>采购物资或服务价格</w:t>
            </w:r>
          </w:p>
        </w:tc>
        <w:tc>
          <w:tcPr>
            <w:tcW w:w="1023" w:type="dxa"/>
          </w:tcPr>
          <w:p>
            <w:pPr>
              <w:pStyle w:val="16"/>
              <w:spacing w:before="52" w:line="193" w:lineRule="auto"/>
              <w:ind w:left="275" w:right="1" w:hanging="270"/>
              <w:rPr>
                <w:rFonts w:hint="eastAsia"/>
                <w:sz w:val="13"/>
                <w:szCs w:val="13"/>
              </w:rPr>
            </w:pPr>
            <w:r>
              <w:rPr>
                <w:spacing w:val="2"/>
                <w:sz w:val="13"/>
                <w:szCs w:val="13"/>
              </w:rPr>
              <w:t>不超过市场</w:t>
            </w:r>
            <w:r>
              <w:rPr>
                <w:spacing w:val="-2"/>
                <w:sz w:val="13"/>
                <w:szCs w:val="13"/>
              </w:rPr>
              <w:t>价格</w:t>
            </w:r>
          </w:p>
        </w:tc>
        <w:tc>
          <w:tcPr>
            <w:tcW w:w="1023" w:type="dxa"/>
          </w:tcPr>
          <w:p>
            <w:pPr>
              <w:pStyle w:val="16"/>
              <w:spacing w:before="52" w:line="193" w:lineRule="auto"/>
              <w:ind w:left="275" w:hanging="269"/>
              <w:rPr>
                <w:rFonts w:hint="eastAsia"/>
                <w:sz w:val="13"/>
                <w:szCs w:val="13"/>
              </w:rPr>
            </w:pPr>
            <w:r>
              <w:rPr>
                <w:spacing w:val="2"/>
                <w:sz w:val="13"/>
                <w:szCs w:val="13"/>
              </w:rPr>
              <w:t>不超过市场</w:t>
            </w:r>
            <w:r>
              <w:rPr>
                <w:spacing w:val="-2"/>
                <w:sz w:val="13"/>
                <w:szCs w:val="13"/>
              </w:rPr>
              <w:t>价格</w:t>
            </w:r>
          </w:p>
        </w:tc>
        <w:tc>
          <w:tcPr>
            <w:tcW w:w="1023" w:type="dxa"/>
          </w:tcPr>
          <w:p>
            <w:pPr>
              <w:pStyle w:val="16"/>
              <w:spacing w:before="52" w:line="193" w:lineRule="auto"/>
              <w:ind w:left="276" w:hanging="269"/>
              <w:rPr>
                <w:rFonts w:hint="eastAsia"/>
                <w:sz w:val="13"/>
                <w:szCs w:val="13"/>
              </w:rPr>
            </w:pPr>
            <w:r>
              <w:rPr>
                <w:spacing w:val="2"/>
                <w:sz w:val="13"/>
                <w:szCs w:val="13"/>
              </w:rPr>
              <w:t>不超过市场</w:t>
            </w:r>
            <w:r>
              <w:rPr>
                <w:spacing w:val="-2"/>
                <w:sz w:val="13"/>
                <w:szCs w:val="13"/>
              </w:rPr>
              <w:t>价格</w:t>
            </w:r>
          </w:p>
        </w:tc>
        <w:tc>
          <w:tcPr>
            <w:tcW w:w="1038" w:type="dxa"/>
          </w:tcPr>
          <w:p>
            <w:pPr>
              <w:pStyle w:val="16"/>
              <w:spacing w:before="52" w:line="193" w:lineRule="auto"/>
              <w:ind w:left="287" w:hanging="269"/>
              <w:rPr>
                <w:rFonts w:hint="eastAsia"/>
                <w:sz w:val="13"/>
                <w:szCs w:val="13"/>
              </w:rPr>
            </w:pPr>
            <w:r>
              <w:rPr>
                <w:spacing w:val="2"/>
                <w:sz w:val="13"/>
                <w:szCs w:val="13"/>
              </w:rPr>
              <w:t>不超过市场</w:t>
            </w:r>
            <w:r>
              <w:rPr>
                <w:spacing w:val="-2"/>
                <w:sz w:val="13"/>
                <w:szCs w:val="13"/>
              </w:rPr>
              <w:t>价格</w:t>
            </w:r>
          </w:p>
        </w:tc>
        <w:tc>
          <w:tcPr>
            <w:tcW w:w="1185" w:type="dxa"/>
          </w:tcPr>
          <w:p>
            <w:pPr>
              <w:pStyle w:val="16"/>
              <w:spacing w:before="52" w:line="193" w:lineRule="auto"/>
              <w:ind w:left="266" w:hanging="248"/>
              <w:rPr>
                <w:rFonts w:hint="eastAsia"/>
                <w:sz w:val="13"/>
                <w:szCs w:val="13"/>
              </w:rPr>
            </w:pPr>
            <w:r>
              <w:rPr>
                <w:spacing w:val="-3"/>
                <w:sz w:val="13"/>
                <w:szCs w:val="13"/>
              </w:rPr>
              <w:t>不超过市场价格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restart"/>
            <w:tcBorders>
              <w:top w:val="single" w:color="auto" w:sz="4" w:space="0"/>
              <w:left w:val="single" w:color="auto" w:sz="4" w:space="0"/>
              <w:bottom w:val="single" w:color="auto" w:sz="4" w:space="0"/>
              <w:right w:val="single" w:color="auto" w:sz="4" w:space="0"/>
            </w:tcBorders>
            <w:vAlign w:val="center"/>
          </w:tcPr>
          <w:p>
            <w:pPr>
              <w:pStyle w:val="16"/>
              <w:spacing w:before="59" w:line="220" w:lineRule="auto"/>
              <w:ind w:left="420"/>
              <w:jc w:val="center"/>
              <w:rPr>
                <w:rFonts w:hint="eastAsia"/>
                <w:sz w:val="13"/>
                <w:szCs w:val="13"/>
              </w:rPr>
            </w:pPr>
            <w:r>
              <w:rPr>
                <w:spacing w:val="-3"/>
                <w:sz w:val="13"/>
                <w:szCs w:val="13"/>
              </w:rPr>
              <w:t>效益指标</w:t>
            </w:r>
          </w:p>
        </w:tc>
        <w:tc>
          <w:tcPr>
            <w:tcW w:w="1573" w:type="dxa"/>
            <w:tcBorders>
              <w:top w:val="single" w:color="auto" w:sz="4" w:space="0"/>
              <w:left w:val="single" w:color="auto" w:sz="4" w:space="0"/>
              <w:bottom w:val="single" w:color="auto" w:sz="4" w:space="0"/>
              <w:right w:val="single" w:color="auto" w:sz="4" w:space="0"/>
            </w:tcBorders>
          </w:tcPr>
          <w:p>
            <w:pPr>
              <w:pStyle w:val="16"/>
              <w:spacing w:before="134" w:line="220" w:lineRule="auto"/>
              <w:ind w:left="161"/>
              <w:rPr>
                <w:rFonts w:hint="eastAsia"/>
                <w:sz w:val="13"/>
                <w:szCs w:val="13"/>
              </w:rPr>
            </w:pPr>
            <w:r>
              <w:rPr>
                <w:spacing w:val="-2"/>
                <w:sz w:val="13"/>
                <w:szCs w:val="13"/>
              </w:rPr>
              <w:t>经济效益指标</w:t>
            </w:r>
          </w:p>
        </w:tc>
        <w:tc>
          <w:tcPr>
            <w:tcW w:w="4703" w:type="dxa"/>
            <w:gridSpan w:val="3"/>
            <w:tcBorders>
              <w:left w:val="single" w:color="auto" w:sz="4" w:space="0"/>
            </w:tcBorders>
          </w:tcPr>
          <w:p>
            <w:pPr>
              <w:pStyle w:val="16"/>
              <w:spacing w:before="134" w:line="219" w:lineRule="auto"/>
              <w:ind w:left="12"/>
              <w:rPr>
                <w:rFonts w:hint="eastAsia"/>
                <w:sz w:val="13"/>
                <w:szCs w:val="13"/>
                <w:lang w:eastAsia="zh-CN"/>
              </w:rPr>
            </w:pPr>
            <w:r>
              <w:rPr>
                <w:spacing w:val="-1"/>
                <w:sz w:val="13"/>
                <w:szCs w:val="13"/>
                <w:lang w:eastAsia="zh-CN"/>
              </w:rPr>
              <w:t>受灾地区设施农业、畜牧业、渔业因灾损失</w:t>
            </w:r>
          </w:p>
        </w:tc>
        <w:tc>
          <w:tcPr>
            <w:tcW w:w="1023" w:type="dxa"/>
          </w:tcPr>
          <w:p>
            <w:pPr>
              <w:pStyle w:val="16"/>
              <w:spacing w:before="135" w:line="221" w:lineRule="auto"/>
              <w:ind w:left="276"/>
              <w:rPr>
                <w:rFonts w:hint="eastAsia"/>
                <w:sz w:val="13"/>
                <w:szCs w:val="13"/>
              </w:rPr>
            </w:pPr>
            <w:r>
              <w:rPr>
                <w:spacing w:val="7"/>
                <w:sz w:val="13"/>
                <w:szCs w:val="13"/>
              </w:rPr>
              <w:t>减少</w:t>
            </w:r>
          </w:p>
        </w:tc>
        <w:tc>
          <w:tcPr>
            <w:tcW w:w="1023" w:type="dxa"/>
          </w:tcPr>
          <w:p>
            <w:pPr>
              <w:pStyle w:val="16"/>
              <w:spacing w:before="135" w:line="221" w:lineRule="auto"/>
              <w:ind w:left="276"/>
              <w:rPr>
                <w:rFonts w:hint="eastAsia"/>
                <w:sz w:val="13"/>
                <w:szCs w:val="13"/>
              </w:rPr>
            </w:pPr>
            <w:r>
              <w:rPr>
                <w:spacing w:val="7"/>
                <w:sz w:val="13"/>
                <w:szCs w:val="13"/>
              </w:rPr>
              <w:t>减少</w:t>
            </w:r>
          </w:p>
        </w:tc>
        <w:tc>
          <w:tcPr>
            <w:tcW w:w="1023" w:type="dxa"/>
          </w:tcPr>
          <w:p>
            <w:pPr>
              <w:pStyle w:val="16"/>
              <w:spacing w:before="135" w:line="221" w:lineRule="auto"/>
              <w:ind w:left="277"/>
              <w:rPr>
                <w:rFonts w:hint="eastAsia"/>
                <w:sz w:val="13"/>
                <w:szCs w:val="13"/>
              </w:rPr>
            </w:pPr>
            <w:r>
              <w:rPr>
                <w:spacing w:val="7"/>
                <w:sz w:val="13"/>
                <w:szCs w:val="13"/>
              </w:rPr>
              <w:t>减少</w:t>
            </w:r>
          </w:p>
        </w:tc>
        <w:tc>
          <w:tcPr>
            <w:tcW w:w="1038" w:type="dxa"/>
          </w:tcPr>
          <w:p>
            <w:pPr>
              <w:pStyle w:val="16"/>
              <w:spacing w:before="135" w:line="221" w:lineRule="auto"/>
              <w:ind w:left="288"/>
              <w:rPr>
                <w:rFonts w:hint="eastAsia"/>
                <w:sz w:val="13"/>
                <w:szCs w:val="13"/>
              </w:rPr>
            </w:pPr>
            <w:r>
              <w:rPr>
                <w:spacing w:val="7"/>
                <w:sz w:val="13"/>
                <w:szCs w:val="13"/>
              </w:rPr>
              <w:t>减少</w:t>
            </w:r>
          </w:p>
        </w:tc>
        <w:tc>
          <w:tcPr>
            <w:tcW w:w="1185" w:type="dxa"/>
          </w:tcPr>
          <w:p>
            <w:pPr>
              <w:pStyle w:val="16"/>
              <w:spacing w:before="135" w:line="221" w:lineRule="auto"/>
              <w:ind w:left="268"/>
              <w:rPr>
                <w:rFonts w:hint="eastAsia"/>
                <w:sz w:val="13"/>
                <w:szCs w:val="13"/>
              </w:rPr>
            </w:pPr>
            <w:r>
              <w:rPr>
                <w:spacing w:val="7"/>
                <w:sz w:val="13"/>
                <w:szCs w:val="13"/>
              </w:rPr>
              <w:t>减少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tcBorders>
              <w:top w:val="single" w:color="auto" w:sz="4" w:space="0"/>
              <w:left w:val="single" w:color="auto" w:sz="4" w:space="0"/>
              <w:bottom w:val="single" w:color="auto" w:sz="4" w:space="0"/>
              <w:right w:val="single" w:color="auto" w:sz="4" w:space="0"/>
            </w:tcBorders>
          </w:tcPr>
          <w:p>
            <w:pPr>
              <w:pStyle w:val="16"/>
              <w:spacing w:before="134" w:line="219" w:lineRule="auto"/>
              <w:ind w:left="161"/>
              <w:rPr>
                <w:rFonts w:hint="eastAsia"/>
                <w:sz w:val="13"/>
                <w:szCs w:val="13"/>
              </w:rPr>
            </w:pPr>
            <w:r>
              <w:rPr>
                <w:spacing w:val="-2"/>
                <w:sz w:val="13"/>
                <w:szCs w:val="13"/>
              </w:rPr>
              <w:t>社会效益指标</w:t>
            </w:r>
          </w:p>
        </w:tc>
        <w:tc>
          <w:tcPr>
            <w:tcW w:w="4703" w:type="dxa"/>
            <w:gridSpan w:val="3"/>
            <w:tcBorders>
              <w:left w:val="single" w:color="auto" w:sz="4" w:space="0"/>
            </w:tcBorders>
          </w:tcPr>
          <w:p>
            <w:pPr>
              <w:pStyle w:val="16"/>
              <w:spacing w:before="135" w:line="219" w:lineRule="auto"/>
              <w:ind w:left="12"/>
              <w:rPr>
                <w:rFonts w:hint="eastAsia"/>
                <w:sz w:val="13"/>
                <w:szCs w:val="13"/>
                <w:lang w:eastAsia="zh-CN"/>
              </w:rPr>
            </w:pPr>
            <w:r>
              <w:rPr>
                <w:spacing w:val="-1"/>
                <w:sz w:val="13"/>
                <w:szCs w:val="13"/>
                <w:lang w:eastAsia="zh-CN"/>
              </w:rPr>
              <w:t>灾区农牧渔业生产秩序恢复</w:t>
            </w:r>
          </w:p>
        </w:tc>
        <w:tc>
          <w:tcPr>
            <w:tcW w:w="1023" w:type="dxa"/>
          </w:tcPr>
          <w:p>
            <w:pPr>
              <w:pStyle w:val="16"/>
              <w:spacing w:before="134" w:line="219" w:lineRule="auto"/>
              <w:ind w:left="95"/>
              <w:rPr>
                <w:rFonts w:hint="eastAsia"/>
                <w:sz w:val="13"/>
                <w:szCs w:val="13"/>
              </w:rPr>
            </w:pPr>
            <w:r>
              <w:rPr>
                <w:spacing w:val="-2"/>
                <w:sz w:val="13"/>
                <w:szCs w:val="13"/>
              </w:rPr>
              <w:t>基本恢复</w:t>
            </w:r>
          </w:p>
        </w:tc>
        <w:tc>
          <w:tcPr>
            <w:tcW w:w="1023" w:type="dxa"/>
          </w:tcPr>
          <w:p>
            <w:pPr>
              <w:pStyle w:val="16"/>
              <w:spacing w:before="134" w:line="219" w:lineRule="auto"/>
              <w:ind w:left="96"/>
              <w:rPr>
                <w:rFonts w:hint="eastAsia"/>
                <w:sz w:val="13"/>
                <w:szCs w:val="13"/>
              </w:rPr>
            </w:pPr>
            <w:r>
              <w:rPr>
                <w:spacing w:val="-2"/>
                <w:sz w:val="13"/>
                <w:szCs w:val="13"/>
              </w:rPr>
              <w:t>基本恢复</w:t>
            </w:r>
          </w:p>
        </w:tc>
        <w:tc>
          <w:tcPr>
            <w:tcW w:w="1023" w:type="dxa"/>
          </w:tcPr>
          <w:p>
            <w:pPr>
              <w:pStyle w:val="16"/>
              <w:spacing w:before="134" w:line="219" w:lineRule="auto"/>
              <w:ind w:left="98"/>
              <w:rPr>
                <w:rFonts w:hint="eastAsia"/>
                <w:sz w:val="13"/>
                <w:szCs w:val="13"/>
              </w:rPr>
            </w:pPr>
            <w:r>
              <w:rPr>
                <w:spacing w:val="-2"/>
                <w:sz w:val="13"/>
                <w:szCs w:val="13"/>
              </w:rPr>
              <w:t>基本恢复</w:t>
            </w:r>
          </w:p>
        </w:tc>
        <w:tc>
          <w:tcPr>
            <w:tcW w:w="1038" w:type="dxa"/>
          </w:tcPr>
          <w:p>
            <w:pPr>
              <w:pStyle w:val="16"/>
              <w:spacing w:before="134" w:line="219" w:lineRule="auto"/>
              <w:ind w:left="108"/>
              <w:rPr>
                <w:rFonts w:hint="eastAsia"/>
                <w:sz w:val="13"/>
                <w:szCs w:val="13"/>
              </w:rPr>
            </w:pPr>
            <w:r>
              <w:rPr>
                <w:spacing w:val="-2"/>
                <w:sz w:val="13"/>
                <w:szCs w:val="13"/>
              </w:rPr>
              <w:t>基本恢复</w:t>
            </w:r>
          </w:p>
        </w:tc>
        <w:tc>
          <w:tcPr>
            <w:tcW w:w="1185" w:type="dxa"/>
          </w:tcPr>
          <w:p>
            <w:pPr>
              <w:pStyle w:val="16"/>
              <w:spacing w:before="134" w:line="219" w:lineRule="auto"/>
              <w:ind w:left="88"/>
              <w:rPr>
                <w:rFonts w:hint="eastAsia"/>
                <w:sz w:val="13"/>
                <w:szCs w:val="13"/>
              </w:rPr>
            </w:pPr>
            <w:r>
              <w:rPr>
                <w:spacing w:val="-2"/>
                <w:sz w:val="13"/>
                <w:szCs w:val="13"/>
              </w:rPr>
              <w:t>基本恢复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tcBorders>
              <w:top w:val="single" w:color="auto" w:sz="4" w:space="0"/>
              <w:left w:val="single" w:color="auto" w:sz="4" w:space="0"/>
              <w:bottom w:val="single" w:color="auto" w:sz="4" w:space="0"/>
              <w:right w:val="single" w:color="auto" w:sz="4" w:space="0"/>
            </w:tcBorders>
          </w:tcPr>
          <w:p>
            <w:pPr>
              <w:pStyle w:val="16"/>
              <w:spacing w:before="135" w:line="220" w:lineRule="auto"/>
              <w:ind w:left="161"/>
              <w:rPr>
                <w:rFonts w:hint="eastAsia"/>
                <w:sz w:val="13"/>
                <w:szCs w:val="13"/>
              </w:rPr>
            </w:pPr>
            <w:r>
              <w:rPr>
                <w:spacing w:val="-2"/>
                <w:sz w:val="13"/>
                <w:szCs w:val="13"/>
              </w:rPr>
              <w:t>生态效益指标</w:t>
            </w:r>
          </w:p>
        </w:tc>
        <w:tc>
          <w:tcPr>
            <w:tcW w:w="4703" w:type="dxa"/>
            <w:gridSpan w:val="3"/>
            <w:tcBorders>
              <w:left w:val="single" w:color="auto" w:sz="4" w:space="0"/>
            </w:tcBorders>
          </w:tcPr>
          <w:p>
            <w:pPr>
              <w:pStyle w:val="16"/>
              <w:spacing w:before="135" w:line="219" w:lineRule="auto"/>
              <w:ind w:left="12"/>
              <w:rPr>
                <w:rFonts w:hint="eastAsia"/>
                <w:sz w:val="13"/>
                <w:szCs w:val="13"/>
                <w:lang w:eastAsia="zh-CN"/>
              </w:rPr>
            </w:pPr>
            <w:r>
              <w:rPr>
                <w:spacing w:val="-1"/>
                <w:sz w:val="13"/>
                <w:szCs w:val="13"/>
                <w:lang w:eastAsia="zh-CN"/>
              </w:rPr>
              <w:t>灾区农牧渔业生产能力恢复</w:t>
            </w:r>
          </w:p>
        </w:tc>
        <w:tc>
          <w:tcPr>
            <w:tcW w:w="1023" w:type="dxa"/>
          </w:tcPr>
          <w:p>
            <w:pPr>
              <w:pStyle w:val="16"/>
              <w:spacing w:before="134" w:line="219" w:lineRule="auto"/>
              <w:ind w:left="95"/>
              <w:rPr>
                <w:rFonts w:hint="eastAsia"/>
                <w:sz w:val="13"/>
                <w:szCs w:val="13"/>
              </w:rPr>
            </w:pPr>
            <w:r>
              <w:rPr>
                <w:spacing w:val="-2"/>
                <w:sz w:val="13"/>
                <w:szCs w:val="13"/>
              </w:rPr>
              <w:t>基本恢复</w:t>
            </w:r>
          </w:p>
        </w:tc>
        <w:tc>
          <w:tcPr>
            <w:tcW w:w="1023" w:type="dxa"/>
          </w:tcPr>
          <w:p>
            <w:pPr>
              <w:pStyle w:val="16"/>
              <w:spacing w:before="134" w:line="219" w:lineRule="auto"/>
              <w:ind w:left="96"/>
              <w:rPr>
                <w:rFonts w:hint="eastAsia"/>
                <w:sz w:val="13"/>
                <w:szCs w:val="13"/>
              </w:rPr>
            </w:pPr>
            <w:r>
              <w:rPr>
                <w:spacing w:val="-2"/>
                <w:sz w:val="13"/>
                <w:szCs w:val="13"/>
              </w:rPr>
              <w:t>基本恢复</w:t>
            </w:r>
          </w:p>
        </w:tc>
        <w:tc>
          <w:tcPr>
            <w:tcW w:w="1023" w:type="dxa"/>
          </w:tcPr>
          <w:p>
            <w:pPr>
              <w:pStyle w:val="16"/>
              <w:spacing w:before="134" w:line="219" w:lineRule="auto"/>
              <w:ind w:left="98"/>
              <w:rPr>
                <w:rFonts w:hint="eastAsia"/>
                <w:sz w:val="13"/>
                <w:szCs w:val="13"/>
              </w:rPr>
            </w:pPr>
            <w:r>
              <w:rPr>
                <w:spacing w:val="-2"/>
                <w:sz w:val="13"/>
                <w:szCs w:val="13"/>
              </w:rPr>
              <w:t>基本恢复</w:t>
            </w:r>
          </w:p>
        </w:tc>
        <w:tc>
          <w:tcPr>
            <w:tcW w:w="1038" w:type="dxa"/>
          </w:tcPr>
          <w:p>
            <w:pPr>
              <w:pStyle w:val="16"/>
              <w:spacing w:before="134" w:line="219" w:lineRule="auto"/>
              <w:ind w:left="108"/>
              <w:rPr>
                <w:rFonts w:hint="eastAsia"/>
                <w:sz w:val="13"/>
                <w:szCs w:val="13"/>
              </w:rPr>
            </w:pPr>
            <w:r>
              <w:rPr>
                <w:spacing w:val="-2"/>
                <w:sz w:val="13"/>
                <w:szCs w:val="13"/>
              </w:rPr>
              <w:t>基本恢复</w:t>
            </w:r>
          </w:p>
        </w:tc>
        <w:tc>
          <w:tcPr>
            <w:tcW w:w="1185" w:type="dxa"/>
          </w:tcPr>
          <w:p>
            <w:pPr>
              <w:pStyle w:val="16"/>
              <w:spacing w:before="134" w:line="219" w:lineRule="auto"/>
              <w:ind w:left="88"/>
              <w:rPr>
                <w:rFonts w:hint="eastAsia"/>
                <w:sz w:val="13"/>
                <w:szCs w:val="13"/>
              </w:rPr>
            </w:pPr>
            <w:r>
              <w:rPr>
                <w:spacing w:val="-2"/>
                <w:sz w:val="13"/>
                <w:szCs w:val="13"/>
              </w:rPr>
              <w:t>基本恢复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929"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768" w:type="dxa"/>
            <w:vMerge w:val="continue"/>
            <w:tcBorders>
              <w:top w:val="single" w:color="auto" w:sz="4" w:space="0"/>
              <w:left w:val="single" w:color="auto" w:sz="4" w:space="0"/>
              <w:bottom w:val="single" w:color="auto" w:sz="4" w:space="0"/>
              <w:right w:val="single" w:color="auto" w:sz="4" w:space="0"/>
            </w:tcBorders>
          </w:tcPr>
          <w:p>
            <w:pPr>
              <w:rPr>
                <w:rFonts w:ascii="Arial"/>
                <w:sz w:val="13"/>
                <w:szCs w:val="13"/>
              </w:rPr>
            </w:pPr>
          </w:p>
        </w:tc>
        <w:tc>
          <w:tcPr>
            <w:tcW w:w="1573" w:type="dxa"/>
            <w:tcBorders>
              <w:top w:val="single" w:color="auto" w:sz="4" w:space="0"/>
              <w:left w:val="single" w:color="auto" w:sz="4" w:space="0"/>
              <w:bottom w:val="single" w:color="auto" w:sz="4" w:space="0"/>
              <w:right w:val="single" w:color="auto" w:sz="4" w:space="0"/>
            </w:tcBorders>
          </w:tcPr>
          <w:p>
            <w:pPr>
              <w:pStyle w:val="16"/>
              <w:spacing w:before="136" w:line="219" w:lineRule="auto"/>
              <w:ind w:left="72"/>
              <w:rPr>
                <w:rFonts w:hint="eastAsia"/>
                <w:sz w:val="13"/>
                <w:szCs w:val="13"/>
              </w:rPr>
            </w:pPr>
            <w:r>
              <w:rPr>
                <w:spacing w:val="-2"/>
                <w:sz w:val="13"/>
                <w:szCs w:val="13"/>
              </w:rPr>
              <w:t>可持续影响指标</w:t>
            </w:r>
          </w:p>
        </w:tc>
        <w:tc>
          <w:tcPr>
            <w:tcW w:w="4703" w:type="dxa"/>
            <w:gridSpan w:val="3"/>
            <w:tcBorders>
              <w:left w:val="single" w:color="auto" w:sz="4" w:space="0"/>
            </w:tcBorders>
          </w:tcPr>
          <w:p>
            <w:pPr>
              <w:pStyle w:val="16"/>
              <w:spacing w:before="136" w:line="219" w:lineRule="auto"/>
              <w:ind w:left="12"/>
              <w:rPr>
                <w:rFonts w:hint="eastAsia"/>
                <w:sz w:val="13"/>
                <w:szCs w:val="13"/>
              </w:rPr>
            </w:pPr>
            <w:r>
              <w:rPr>
                <w:spacing w:val="-1"/>
                <w:sz w:val="13"/>
                <w:szCs w:val="13"/>
              </w:rPr>
              <w:t>稳定农民生产积极性</w:t>
            </w:r>
          </w:p>
        </w:tc>
        <w:tc>
          <w:tcPr>
            <w:tcW w:w="1023" w:type="dxa"/>
          </w:tcPr>
          <w:p>
            <w:pPr>
              <w:pStyle w:val="16"/>
              <w:spacing w:before="136" w:line="219" w:lineRule="auto"/>
              <w:ind w:left="95"/>
              <w:rPr>
                <w:rFonts w:hint="eastAsia"/>
                <w:sz w:val="13"/>
                <w:szCs w:val="13"/>
              </w:rPr>
            </w:pPr>
            <w:r>
              <w:rPr>
                <w:spacing w:val="-2"/>
                <w:sz w:val="13"/>
                <w:szCs w:val="13"/>
              </w:rPr>
              <w:t>保持稳定</w:t>
            </w:r>
          </w:p>
        </w:tc>
        <w:tc>
          <w:tcPr>
            <w:tcW w:w="1023" w:type="dxa"/>
          </w:tcPr>
          <w:p>
            <w:pPr>
              <w:pStyle w:val="16"/>
              <w:spacing w:before="136" w:line="219" w:lineRule="auto"/>
              <w:ind w:left="96"/>
              <w:rPr>
                <w:rFonts w:hint="eastAsia"/>
                <w:sz w:val="13"/>
                <w:szCs w:val="13"/>
              </w:rPr>
            </w:pPr>
            <w:r>
              <w:rPr>
                <w:spacing w:val="-2"/>
                <w:sz w:val="13"/>
                <w:szCs w:val="13"/>
              </w:rPr>
              <w:t>保持稳定</w:t>
            </w:r>
          </w:p>
        </w:tc>
        <w:tc>
          <w:tcPr>
            <w:tcW w:w="1023" w:type="dxa"/>
          </w:tcPr>
          <w:p>
            <w:pPr>
              <w:pStyle w:val="16"/>
              <w:spacing w:before="136" w:line="219" w:lineRule="auto"/>
              <w:ind w:left="98"/>
              <w:rPr>
                <w:rFonts w:hint="eastAsia"/>
                <w:sz w:val="13"/>
                <w:szCs w:val="13"/>
              </w:rPr>
            </w:pPr>
            <w:r>
              <w:rPr>
                <w:spacing w:val="-2"/>
                <w:sz w:val="13"/>
                <w:szCs w:val="13"/>
              </w:rPr>
              <w:t>保持稳定</w:t>
            </w:r>
          </w:p>
        </w:tc>
        <w:tc>
          <w:tcPr>
            <w:tcW w:w="1038" w:type="dxa"/>
          </w:tcPr>
          <w:p>
            <w:pPr>
              <w:pStyle w:val="16"/>
              <w:spacing w:before="136" w:line="219" w:lineRule="auto"/>
              <w:ind w:left="108"/>
              <w:rPr>
                <w:rFonts w:hint="eastAsia"/>
                <w:sz w:val="13"/>
                <w:szCs w:val="13"/>
              </w:rPr>
            </w:pPr>
            <w:r>
              <w:rPr>
                <w:spacing w:val="-2"/>
                <w:sz w:val="13"/>
                <w:szCs w:val="13"/>
              </w:rPr>
              <w:t>保持稳定</w:t>
            </w:r>
          </w:p>
        </w:tc>
        <w:tc>
          <w:tcPr>
            <w:tcW w:w="1185" w:type="dxa"/>
          </w:tcPr>
          <w:p>
            <w:pPr>
              <w:pStyle w:val="16"/>
              <w:spacing w:before="136" w:line="219" w:lineRule="auto"/>
              <w:ind w:left="88"/>
              <w:rPr>
                <w:rFonts w:hint="eastAsia"/>
                <w:sz w:val="13"/>
                <w:szCs w:val="13"/>
              </w:rPr>
            </w:pPr>
            <w:r>
              <w:rPr>
                <w:spacing w:val="-2"/>
                <w:sz w:val="13"/>
                <w:szCs w:val="13"/>
              </w:rPr>
              <w:t>保持稳定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1929" w:type="dxa"/>
            <w:vMerge w:val="continue"/>
            <w:tcBorders>
              <w:top w:val="single" w:color="auto" w:sz="4" w:space="0"/>
              <w:left w:val="single" w:color="auto" w:sz="4" w:space="0"/>
            </w:tcBorders>
          </w:tcPr>
          <w:p>
            <w:pPr>
              <w:rPr>
                <w:rFonts w:ascii="Arial"/>
                <w:sz w:val="13"/>
                <w:szCs w:val="13"/>
              </w:rPr>
            </w:pPr>
          </w:p>
        </w:tc>
        <w:tc>
          <w:tcPr>
            <w:tcW w:w="1768" w:type="dxa"/>
            <w:tcBorders>
              <w:top w:val="single" w:color="auto" w:sz="4" w:space="0"/>
            </w:tcBorders>
          </w:tcPr>
          <w:p>
            <w:pPr>
              <w:pStyle w:val="16"/>
              <w:spacing w:before="237" w:line="219" w:lineRule="auto"/>
              <w:ind w:left="330"/>
              <w:rPr>
                <w:rFonts w:hint="eastAsia"/>
                <w:sz w:val="13"/>
                <w:szCs w:val="13"/>
              </w:rPr>
            </w:pPr>
            <w:r>
              <w:rPr>
                <w:spacing w:val="-2"/>
                <w:sz w:val="13"/>
                <w:szCs w:val="13"/>
              </w:rPr>
              <w:t>满意度指标</w:t>
            </w:r>
          </w:p>
        </w:tc>
        <w:tc>
          <w:tcPr>
            <w:tcW w:w="1573" w:type="dxa"/>
            <w:tcBorders>
              <w:top w:val="single" w:color="auto" w:sz="4" w:space="0"/>
            </w:tcBorders>
          </w:tcPr>
          <w:p>
            <w:pPr>
              <w:pStyle w:val="16"/>
              <w:spacing w:before="167" w:line="218" w:lineRule="auto"/>
              <w:ind w:left="341" w:right="94" w:hanging="269"/>
              <w:rPr>
                <w:rFonts w:hint="eastAsia"/>
                <w:sz w:val="13"/>
                <w:szCs w:val="13"/>
                <w:lang w:eastAsia="zh-CN"/>
              </w:rPr>
            </w:pPr>
            <w:r>
              <w:rPr>
                <w:spacing w:val="-2"/>
                <w:sz w:val="13"/>
                <w:szCs w:val="13"/>
                <w:lang w:eastAsia="zh-CN"/>
              </w:rPr>
              <w:t>技术指导对象满</w:t>
            </w:r>
            <w:r>
              <w:rPr>
                <w:spacing w:val="-3"/>
                <w:sz w:val="13"/>
                <w:szCs w:val="13"/>
                <w:lang w:eastAsia="zh-CN"/>
              </w:rPr>
              <w:t>意度指标</w:t>
            </w:r>
          </w:p>
        </w:tc>
        <w:tc>
          <w:tcPr>
            <w:tcW w:w="4703" w:type="dxa"/>
            <w:gridSpan w:val="3"/>
          </w:tcPr>
          <w:p>
            <w:pPr>
              <w:pStyle w:val="16"/>
              <w:spacing w:before="237" w:line="219" w:lineRule="auto"/>
              <w:ind w:left="12"/>
              <w:rPr>
                <w:rFonts w:hint="eastAsia"/>
                <w:sz w:val="13"/>
                <w:szCs w:val="13"/>
              </w:rPr>
            </w:pPr>
            <w:r>
              <w:rPr>
                <w:spacing w:val="3"/>
                <w:sz w:val="13"/>
                <w:szCs w:val="13"/>
              </w:rPr>
              <w:t>指导服务对象满意度(%)</w:t>
            </w:r>
          </w:p>
        </w:tc>
        <w:tc>
          <w:tcPr>
            <w:tcW w:w="1023" w:type="dxa"/>
          </w:tcPr>
          <w:p>
            <w:pPr>
              <w:pStyle w:val="16"/>
              <w:spacing w:before="254"/>
              <w:ind w:left="276"/>
              <w:rPr>
                <w:rFonts w:hint="eastAsia"/>
                <w:sz w:val="13"/>
                <w:szCs w:val="13"/>
              </w:rPr>
            </w:pPr>
            <w:r>
              <w:rPr>
                <w:spacing w:val="-3"/>
                <w:sz w:val="13"/>
                <w:szCs w:val="13"/>
              </w:rPr>
              <w:t>&gt;85%</w:t>
            </w:r>
          </w:p>
        </w:tc>
        <w:tc>
          <w:tcPr>
            <w:tcW w:w="1023" w:type="dxa"/>
          </w:tcPr>
          <w:p>
            <w:pPr>
              <w:pStyle w:val="16"/>
              <w:spacing w:before="254"/>
              <w:ind w:left="276"/>
              <w:rPr>
                <w:rFonts w:hint="eastAsia"/>
                <w:sz w:val="13"/>
                <w:szCs w:val="13"/>
              </w:rPr>
            </w:pPr>
            <w:r>
              <w:rPr>
                <w:spacing w:val="-3"/>
                <w:sz w:val="13"/>
                <w:szCs w:val="13"/>
              </w:rPr>
              <w:t>&gt;85%</w:t>
            </w:r>
          </w:p>
        </w:tc>
        <w:tc>
          <w:tcPr>
            <w:tcW w:w="1023" w:type="dxa"/>
          </w:tcPr>
          <w:p>
            <w:pPr>
              <w:pStyle w:val="16"/>
              <w:spacing w:before="254"/>
              <w:ind w:left="277"/>
              <w:rPr>
                <w:rFonts w:hint="eastAsia"/>
                <w:sz w:val="13"/>
                <w:szCs w:val="13"/>
              </w:rPr>
            </w:pPr>
            <w:r>
              <w:rPr>
                <w:spacing w:val="-3"/>
                <w:sz w:val="13"/>
                <w:szCs w:val="13"/>
              </w:rPr>
              <w:t>&gt;85%</w:t>
            </w:r>
          </w:p>
        </w:tc>
        <w:tc>
          <w:tcPr>
            <w:tcW w:w="1038" w:type="dxa"/>
          </w:tcPr>
          <w:p>
            <w:pPr>
              <w:pStyle w:val="16"/>
              <w:spacing w:before="254"/>
              <w:ind w:left="288"/>
              <w:rPr>
                <w:rFonts w:hint="eastAsia"/>
                <w:sz w:val="13"/>
                <w:szCs w:val="13"/>
              </w:rPr>
            </w:pPr>
            <w:r>
              <w:rPr>
                <w:spacing w:val="-3"/>
                <w:sz w:val="13"/>
                <w:szCs w:val="13"/>
              </w:rPr>
              <w:t>&gt;85%</w:t>
            </w:r>
          </w:p>
        </w:tc>
        <w:tc>
          <w:tcPr>
            <w:tcW w:w="1185" w:type="dxa"/>
          </w:tcPr>
          <w:p>
            <w:pPr>
              <w:pStyle w:val="16"/>
              <w:spacing w:before="254"/>
              <w:ind w:left="268"/>
              <w:rPr>
                <w:rFonts w:hint="eastAsia"/>
                <w:sz w:val="13"/>
                <w:szCs w:val="13"/>
              </w:rPr>
            </w:pPr>
            <w:r>
              <w:rPr>
                <w:spacing w:val="-3"/>
                <w:sz w:val="13"/>
                <w:szCs w:val="13"/>
              </w:rPr>
              <w:t>&gt;85%</w:t>
            </w:r>
          </w:p>
        </w:tc>
      </w:tr>
    </w:tbl>
    <w:p>
      <w:pPr>
        <w:rPr>
          <w:rFonts w:ascii="Times New Roman" w:hAnsi="Times New Roman" w:eastAsia="仿宋_GB2312"/>
          <w:b/>
          <w:bCs/>
          <w:sz w:val="22"/>
        </w:rPr>
      </w:pPr>
      <w:r>
        <w:rPr>
          <w:rFonts w:ascii="Times New Roman" w:hAnsi="Times New Roman" w:eastAsia="仿宋_GB2312"/>
          <w:b/>
          <w:bCs/>
          <w:sz w:val="22"/>
        </w:rPr>
        <w:br w:type="page"/>
      </w:r>
    </w:p>
    <w:p>
      <w:pPr>
        <w:pStyle w:val="18"/>
        <w:spacing w:line="560" w:lineRule="exact"/>
        <w:rPr>
          <w:rFonts w:ascii="Times New Roman" w:hAnsi="Times New Roman" w:eastAsia="仿宋_GB2312"/>
          <w:b/>
          <w:bCs/>
          <w:sz w:val="22"/>
        </w:rPr>
      </w:pPr>
    </w:p>
    <w:p>
      <w:pPr>
        <w:pStyle w:val="18"/>
        <w:spacing w:line="560" w:lineRule="exact"/>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w:t>
      </w:r>
      <w:r>
        <w:rPr>
          <w:rFonts w:hint="eastAsia" w:ascii="Times New Roman" w:hAnsi="Times New Roman" w:eastAsia="仿宋_GB2312"/>
          <w:b/>
          <w:bCs/>
          <w:sz w:val="22"/>
        </w:rPr>
        <w:t>中央农业防灾减灾和水利救灾资金(第三批）</w:t>
      </w:r>
      <w:r>
        <w:rPr>
          <w:rFonts w:hint="eastAsia" w:ascii="Times New Roman" w:hAnsi="Times New Roman" w:eastAsia="仿宋_GB2312"/>
          <w:b/>
          <w:bCs/>
          <w:sz w:val="22"/>
          <w:lang w:val="en-US" w:eastAsia="zh-CN"/>
        </w:rPr>
        <w:t>项目</w:t>
      </w:r>
      <w:r>
        <w:rPr>
          <w:rFonts w:hint="eastAsia" w:ascii="Times New Roman" w:hAnsi="Times New Roman" w:eastAsia="仿宋_GB2312"/>
          <w:b/>
          <w:bCs/>
          <w:sz w:val="22"/>
        </w:rPr>
        <w:t>绩效目标表</w:t>
      </w:r>
    </w:p>
    <w:tbl>
      <w:tblPr>
        <w:tblStyle w:val="14"/>
        <w:tblW w:w="141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80"/>
        <w:gridCol w:w="508"/>
        <w:gridCol w:w="963"/>
        <w:gridCol w:w="1074"/>
        <w:gridCol w:w="588"/>
        <w:gridCol w:w="680"/>
        <w:gridCol w:w="1458"/>
        <w:gridCol w:w="610"/>
        <w:gridCol w:w="618"/>
        <w:gridCol w:w="605"/>
        <w:gridCol w:w="653"/>
        <w:gridCol w:w="586"/>
        <w:gridCol w:w="580"/>
        <w:gridCol w:w="620"/>
        <w:gridCol w:w="560"/>
        <w:gridCol w:w="603"/>
        <w:gridCol w:w="540"/>
        <w:gridCol w:w="630"/>
        <w:gridCol w:w="622"/>
        <w:gridCol w:w="584"/>
        <w:gridCol w:w="6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jc w:val="center"/>
        </w:trPr>
        <w:tc>
          <w:tcPr>
            <w:tcW w:w="988" w:type="dxa"/>
            <w:gridSpan w:val="2"/>
            <w:tcMar>
              <w:top w:w="8" w:type="dxa"/>
              <w:left w:w="8" w:type="dxa"/>
              <w:right w:w="8" w:type="dxa"/>
            </w:tcMar>
            <w:vAlign w:val="center"/>
          </w:tcPr>
          <w:p>
            <w:pPr>
              <w:widowControl/>
              <w:spacing w:line="240" w:lineRule="exact"/>
              <w:jc w:val="center"/>
              <w:textAlignment w:val="center"/>
              <w:rPr>
                <w:rFonts w:eastAsia="宋体"/>
                <w:color w:val="000000"/>
                <w:sz w:val="16"/>
                <w:szCs w:val="16"/>
              </w:rPr>
            </w:pPr>
            <w:r>
              <w:rPr>
                <w:color w:val="000000"/>
                <w:sz w:val="16"/>
                <w:szCs w:val="16"/>
              </w:rPr>
              <w:t>专项名称</w:t>
            </w:r>
          </w:p>
        </w:tc>
        <w:tc>
          <w:tcPr>
            <w:tcW w:w="3305" w:type="dxa"/>
            <w:gridSpan w:val="4"/>
            <w:tcMar>
              <w:top w:w="8" w:type="dxa"/>
              <w:left w:w="8" w:type="dxa"/>
              <w:right w:w="8" w:type="dxa"/>
            </w:tcMar>
            <w:vAlign w:val="center"/>
          </w:tcPr>
          <w:p>
            <w:pPr>
              <w:widowControl/>
              <w:jc w:val="center"/>
              <w:textAlignment w:val="center"/>
              <w:rPr>
                <w:color w:val="000000"/>
                <w:sz w:val="16"/>
                <w:szCs w:val="16"/>
              </w:rPr>
            </w:pPr>
            <w:r>
              <w:rPr>
                <w:color w:val="000000"/>
                <w:kern w:val="0"/>
                <w:sz w:val="16"/>
                <w:szCs w:val="16"/>
                <w:lang w:bidi="ar"/>
              </w:rPr>
              <w:t>2024年农业防灾减灾和水利救灾资金（防灾救灾第三批）</w:t>
            </w:r>
          </w:p>
        </w:tc>
        <w:tc>
          <w:tcPr>
            <w:tcW w:w="1458" w:type="dxa"/>
            <w:tcMar>
              <w:top w:w="8" w:type="dxa"/>
              <w:left w:w="8" w:type="dxa"/>
              <w:right w:w="8" w:type="dxa"/>
            </w:tcMar>
            <w:vAlign w:val="center"/>
          </w:tcPr>
          <w:p>
            <w:pPr>
              <w:widowControl/>
              <w:jc w:val="center"/>
              <w:textAlignment w:val="center"/>
              <w:rPr>
                <w:color w:val="000000"/>
                <w:sz w:val="15"/>
                <w:szCs w:val="15"/>
              </w:rPr>
            </w:pPr>
            <w:r>
              <w:rPr>
                <w:color w:val="000000"/>
                <w:kern w:val="0"/>
                <w:sz w:val="15"/>
                <w:szCs w:val="15"/>
                <w:lang w:bidi="ar"/>
              </w:rPr>
              <w:t>全区目标</w:t>
            </w:r>
          </w:p>
        </w:tc>
        <w:tc>
          <w:tcPr>
            <w:tcW w:w="8418" w:type="dxa"/>
            <w:gridSpan w:val="14"/>
            <w:tcMar>
              <w:top w:w="8" w:type="dxa"/>
              <w:left w:w="8" w:type="dxa"/>
              <w:right w:w="8" w:type="dxa"/>
            </w:tcMar>
            <w:vAlign w:val="center"/>
          </w:tcPr>
          <w:p>
            <w:pPr>
              <w:widowControl/>
              <w:jc w:val="center"/>
              <w:textAlignment w:val="center"/>
              <w:rPr>
                <w:color w:val="000000"/>
                <w:kern w:val="0"/>
                <w:sz w:val="16"/>
                <w:szCs w:val="16"/>
                <w:lang w:bidi="ar"/>
              </w:rPr>
            </w:pPr>
            <w:r>
              <w:rPr>
                <w:color w:val="000000"/>
                <w:kern w:val="0"/>
                <w:sz w:val="16"/>
                <w:szCs w:val="16"/>
                <w:lang w:bidi="ar"/>
              </w:rPr>
              <w:t>分区域绩效目标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jc w:val="center"/>
        </w:trPr>
        <w:tc>
          <w:tcPr>
            <w:tcW w:w="98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中央主管部门</w:t>
            </w:r>
          </w:p>
        </w:tc>
        <w:tc>
          <w:tcPr>
            <w:tcW w:w="2037"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农业农村部</w:t>
            </w:r>
          </w:p>
        </w:tc>
        <w:tc>
          <w:tcPr>
            <w:tcW w:w="58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专项实施期</w:t>
            </w:r>
          </w:p>
        </w:tc>
        <w:tc>
          <w:tcPr>
            <w:tcW w:w="68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长期</w:t>
            </w:r>
          </w:p>
        </w:tc>
        <w:tc>
          <w:tcPr>
            <w:tcW w:w="145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合计</w:t>
            </w:r>
          </w:p>
        </w:tc>
        <w:tc>
          <w:tcPr>
            <w:tcW w:w="610"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乌鲁木齐市</w:t>
            </w:r>
          </w:p>
        </w:tc>
        <w:tc>
          <w:tcPr>
            <w:tcW w:w="618"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伊犁州</w:t>
            </w:r>
          </w:p>
        </w:tc>
        <w:tc>
          <w:tcPr>
            <w:tcW w:w="605"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塔城地区</w:t>
            </w:r>
          </w:p>
        </w:tc>
        <w:tc>
          <w:tcPr>
            <w:tcW w:w="653"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阿勒泰地区</w:t>
            </w:r>
          </w:p>
        </w:tc>
        <w:tc>
          <w:tcPr>
            <w:tcW w:w="586" w:type="dxa"/>
            <w:tcMar>
              <w:top w:w="8" w:type="dxa"/>
              <w:left w:w="8" w:type="dxa"/>
              <w:right w:w="8" w:type="dxa"/>
            </w:tcMar>
            <w:vAlign w:val="center"/>
          </w:tcPr>
          <w:p>
            <w:pPr>
              <w:widowControl/>
              <w:spacing w:line="220" w:lineRule="exact"/>
              <w:jc w:val="center"/>
              <w:textAlignment w:val="center"/>
              <w:rPr>
                <w:color w:val="000000"/>
                <w:sz w:val="18"/>
                <w:szCs w:val="18"/>
              </w:rPr>
            </w:pPr>
            <w:r>
              <w:rPr>
                <w:color w:val="000000"/>
                <w:kern w:val="0"/>
                <w:sz w:val="18"/>
                <w:szCs w:val="18"/>
                <w:lang w:bidi="ar"/>
              </w:rPr>
              <w:t>克拉玛依市</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kern w:val="0"/>
                <w:sz w:val="18"/>
                <w:szCs w:val="18"/>
                <w:lang w:bidi="ar"/>
              </w:rPr>
            </w:pPr>
            <w:r>
              <w:rPr>
                <w:color w:val="000000"/>
                <w:kern w:val="0"/>
                <w:sz w:val="18"/>
                <w:szCs w:val="18"/>
                <w:lang w:bidi="ar"/>
              </w:rPr>
              <w:t>博州</w:t>
            </w:r>
          </w:p>
        </w:tc>
        <w:tc>
          <w:tcPr>
            <w:tcW w:w="620"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昌吉州</w:t>
            </w:r>
          </w:p>
        </w:tc>
        <w:tc>
          <w:tcPr>
            <w:tcW w:w="560"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哈密市</w:t>
            </w:r>
          </w:p>
        </w:tc>
        <w:tc>
          <w:tcPr>
            <w:tcW w:w="603" w:type="dxa"/>
            <w:tcMar>
              <w:top w:w="8" w:type="dxa"/>
              <w:left w:w="8" w:type="dxa"/>
              <w:right w:w="8" w:type="dxa"/>
            </w:tcMar>
            <w:vAlign w:val="center"/>
          </w:tcPr>
          <w:p>
            <w:pPr>
              <w:widowControl/>
              <w:spacing w:line="220" w:lineRule="exact"/>
              <w:jc w:val="center"/>
              <w:textAlignment w:val="center"/>
              <w:rPr>
                <w:color w:val="000000"/>
                <w:kern w:val="0"/>
                <w:sz w:val="18"/>
                <w:szCs w:val="18"/>
                <w:lang w:bidi="ar"/>
              </w:rPr>
            </w:pPr>
            <w:r>
              <w:rPr>
                <w:color w:val="000000"/>
                <w:kern w:val="0"/>
                <w:sz w:val="18"/>
                <w:szCs w:val="18"/>
                <w:lang w:bidi="ar"/>
              </w:rPr>
              <w:t>吐鲁番市</w:t>
            </w:r>
          </w:p>
        </w:tc>
        <w:tc>
          <w:tcPr>
            <w:tcW w:w="540" w:type="dxa"/>
            <w:tcMar>
              <w:top w:w="8" w:type="dxa"/>
              <w:left w:w="8" w:type="dxa"/>
              <w:right w:w="8" w:type="dxa"/>
            </w:tcMar>
            <w:vAlign w:val="center"/>
          </w:tcPr>
          <w:p>
            <w:pPr>
              <w:widowControl/>
              <w:spacing w:line="220" w:lineRule="exact"/>
              <w:jc w:val="center"/>
              <w:textAlignment w:val="center"/>
              <w:rPr>
                <w:color w:val="000000"/>
                <w:sz w:val="18"/>
                <w:szCs w:val="18"/>
              </w:rPr>
            </w:pPr>
            <w:r>
              <w:rPr>
                <w:color w:val="000000"/>
                <w:kern w:val="0"/>
                <w:sz w:val="18"/>
                <w:szCs w:val="18"/>
                <w:lang w:bidi="ar"/>
              </w:rPr>
              <w:t>巴州</w:t>
            </w:r>
          </w:p>
        </w:tc>
        <w:tc>
          <w:tcPr>
            <w:tcW w:w="630"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阿克苏地区</w:t>
            </w:r>
          </w:p>
        </w:tc>
        <w:tc>
          <w:tcPr>
            <w:tcW w:w="622" w:type="dxa"/>
            <w:tcMar>
              <w:top w:w="8" w:type="dxa"/>
              <w:left w:w="8" w:type="dxa"/>
              <w:right w:w="8" w:type="dxa"/>
            </w:tcMar>
            <w:vAlign w:val="center"/>
          </w:tcPr>
          <w:p>
            <w:pPr>
              <w:widowControl/>
              <w:spacing w:line="220" w:lineRule="exact"/>
              <w:jc w:val="center"/>
              <w:textAlignment w:val="center"/>
              <w:rPr>
                <w:color w:val="000000"/>
                <w:sz w:val="18"/>
                <w:szCs w:val="18"/>
              </w:rPr>
            </w:pPr>
            <w:r>
              <w:rPr>
                <w:color w:val="000000"/>
                <w:kern w:val="0"/>
                <w:sz w:val="18"/>
                <w:szCs w:val="18"/>
                <w:lang w:bidi="ar"/>
              </w:rPr>
              <w:t>克州</w:t>
            </w:r>
          </w:p>
        </w:tc>
        <w:tc>
          <w:tcPr>
            <w:tcW w:w="584" w:type="dxa"/>
            <w:tcMar>
              <w:top w:w="8" w:type="dxa"/>
              <w:left w:w="8" w:type="dxa"/>
              <w:right w:w="8" w:type="dxa"/>
            </w:tcMar>
            <w:vAlign w:val="center"/>
          </w:tcPr>
          <w:p>
            <w:pPr>
              <w:widowControl/>
              <w:spacing w:line="220" w:lineRule="exact"/>
              <w:jc w:val="center"/>
              <w:textAlignment w:val="center"/>
              <w:rPr>
                <w:rFonts w:eastAsia="宋体"/>
                <w:color w:val="000000"/>
                <w:sz w:val="18"/>
                <w:szCs w:val="18"/>
              </w:rPr>
            </w:pPr>
            <w:r>
              <w:rPr>
                <w:color w:val="000000"/>
                <w:kern w:val="0"/>
                <w:sz w:val="18"/>
                <w:szCs w:val="18"/>
                <w:lang w:bidi="ar"/>
              </w:rPr>
              <w:t>喀什地区</w:t>
            </w:r>
          </w:p>
        </w:tc>
        <w:tc>
          <w:tcPr>
            <w:tcW w:w="607" w:type="dxa"/>
            <w:tcMar>
              <w:top w:w="8" w:type="dxa"/>
              <w:left w:w="8" w:type="dxa"/>
              <w:right w:w="8" w:type="dxa"/>
            </w:tcMar>
            <w:vAlign w:val="center"/>
          </w:tcPr>
          <w:p>
            <w:pPr>
              <w:widowControl/>
              <w:spacing w:line="220" w:lineRule="exact"/>
              <w:jc w:val="center"/>
              <w:textAlignment w:val="center"/>
              <w:rPr>
                <w:rFonts w:eastAsia="宋体"/>
                <w:color w:val="000000"/>
                <w:kern w:val="0"/>
                <w:sz w:val="18"/>
                <w:szCs w:val="18"/>
                <w:lang w:bidi="ar"/>
              </w:rPr>
            </w:pPr>
            <w:r>
              <w:rPr>
                <w:color w:val="000000"/>
                <w:kern w:val="0"/>
                <w:sz w:val="18"/>
                <w:szCs w:val="18"/>
                <w:lang w:bidi="ar"/>
              </w:rPr>
              <w:t>和田地区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90" w:hRule="atLeast"/>
          <w:jc w:val="center"/>
        </w:trPr>
        <w:tc>
          <w:tcPr>
            <w:tcW w:w="98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省级财政部门</w:t>
            </w:r>
          </w:p>
        </w:tc>
        <w:tc>
          <w:tcPr>
            <w:tcW w:w="2037"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新疆维吾尔自治区财政厅</w:t>
            </w:r>
          </w:p>
        </w:tc>
        <w:tc>
          <w:tcPr>
            <w:tcW w:w="58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省级主管部门</w:t>
            </w:r>
          </w:p>
        </w:tc>
        <w:tc>
          <w:tcPr>
            <w:tcW w:w="68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新疆维吾尔自治区农业农村厅</w:t>
            </w:r>
          </w:p>
        </w:tc>
        <w:tc>
          <w:tcPr>
            <w:tcW w:w="1458" w:type="dxa"/>
            <w:tcMar>
              <w:top w:w="8" w:type="dxa"/>
              <w:left w:w="8" w:type="dxa"/>
              <w:right w:w="8" w:type="dxa"/>
            </w:tcMar>
            <w:vAlign w:val="center"/>
          </w:tcPr>
          <w:p>
            <w:pPr>
              <w:widowControl/>
              <w:spacing w:line="220" w:lineRule="exact"/>
              <w:jc w:val="center"/>
              <w:rPr>
                <w:color w:val="000000"/>
                <w:sz w:val="16"/>
                <w:szCs w:val="16"/>
              </w:rPr>
            </w:pPr>
          </w:p>
        </w:tc>
        <w:tc>
          <w:tcPr>
            <w:tcW w:w="8418" w:type="dxa"/>
            <w:gridSpan w:val="14"/>
            <w:tcMar>
              <w:top w:w="8" w:type="dxa"/>
              <w:left w:w="8" w:type="dxa"/>
              <w:right w:w="8" w:type="dxa"/>
            </w:tcMar>
            <w:vAlign w:val="center"/>
          </w:tcPr>
          <w:p>
            <w:pPr>
              <w:widowControl/>
              <w:spacing w:line="220" w:lineRule="exact"/>
              <w:jc w:val="center"/>
              <w:textAlignment w:val="center"/>
              <w:rPr>
                <w:color w:val="000000"/>
                <w:kern w:val="0"/>
                <w:sz w:val="16"/>
                <w:szCs w:val="16"/>
                <w:lang w:bidi="ar"/>
              </w:rPr>
            </w:pPr>
            <w:r>
              <w:rPr>
                <w:color w:val="000000"/>
                <w:kern w:val="0"/>
                <w:sz w:val="16"/>
                <w:szCs w:val="16"/>
                <w:lang w:bidi="ar"/>
              </w:rPr>
              <w:t>各地（州、市）财政局、农业农村局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2" w:hRule="atLeast"/>
          <w:jc w:val="center"/>
        </w:trPr>
        <w:tc>
          <w:tcPr>
            <w:tcW w:w="988" w:type="dxa"/>
            <w:gridSpan w:val="2"/>
            <w:vMerge w:val="restart"/>
            <w:tcMar>
              <w:top w:w="8" w:type="dxa"/>
              <w:left w:w="8" w:type="dxa"/>
              <w:right w:w="8" w:type="dxa"/>
            </w:tcMar>
            <w:vAlign w:val="center"/>
          </w:tcPr>
          <w:p>
            <w:pPr>
              <w:widowControl/>
              <w:spacing w:line="220" w:lineRule="exact"/>
              <w:jc w:val="center"/>
              <w:textAlignment w:val="center"/>
              <w:rPr>
                <w:color w:val="000000"/>
                <w:kern w:val="0"/>
                <w:sz w:val="16"/>
                <w:szCs w:val="16"/>
                <w:lang w:bidi="ar"/>
              </w:rPr>
            </w:pPr>
            <w:r>
              <w:rPr>
                <w:color w:val="000000"/>
                <w:kern w:val="0"/>
                <w:sz w:val="16"/>
                <w:szCs w:val="16"/>
                <w:lang w:bidi="ar"/>
              </w:rPr>
              <w:t>资金情况</w:t>
            </w:r>
          </w:p>
          <w:p>
            <w:pPr>
              <w:widowControl/>
              <w:spacing w:line="220" w:lineRule="exact"/>
              <w:jc w:val="center"/>
              <w:textAlignment w:val="center"/>
              <w:rPr>
                <w:color w:val="000000"/>
                <w:sz w:val="16"/>
                <w:szCs w:val="16"/>
              </w:rPr>
            </w:pPr>
            <w:r>
              <w:rPr>
                <w:color w:val="000000"/>
                <w:kern w:val="0"/>
                <w:sz w:val="16"/>
                <w:szCs w:val="16"/>
                <w:lang w:bidi="ar"/>
              </w:rPr>
              <w:t>（万元）</w:t>
            </w:r>
          </w:p>
        </w:tc>
        <w:tc>
          <w:tcPr>
            <w:tcW w:w="2037"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年度金额：</w:t>
            </w:r>
          </w:p>
        </w:tc>
        <w:tc>
          <w:tcPr>
            <w:tcW w:w="1268" w:type="dxa"/>
            <w:gridSpan w:val="2"/>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1750</w:t>
            </w:r>
          </w:p>
        </w:tc>
        <w:tc>
          <w:tcPr>
            <w:tcW w:w="1458" w:type="dxa"/>
            <w:tcMar>
              <w:top w:w="8" w:type="dxa"/>
              <w:left w:w="8" w:type="dxa"/>
              <w:right w:w="8" w:type="dxa"/>
            </w:tcMar>
            <w:vAlign w:val="center"/>
          </w:tcPr>
          <w:p>
            <w:pPr>
              <w:widowControl/>
              <w:spacing w:line="220" w:lineRule="exact"/>
              <w:jc w:val="center"/>
              <w:textAlignment w:val="center"/>
              <w:rPr>
                <w:rFonts w:eastAsia="宋体"/>
                <w:bCs/>
                <w:color w:val="000000"/>
                <w:sz w:val="15"/>
                <w:szCs w:val="15"/>
              </w:rPr>
            </w:pPr>
            <w:r>
              <w:rPr>
                <w:bCs/>
                <w:color w:val="000000"/>
                <w:sz w:val="15"/>
                <w:szCs w:val="15"/>
              </w:rPr>
              <w:t>1750</w:t>
            </w:r>
          </w:p>
        </w:tc>
        <w:tc>
          <w:tcPr>
            <w:tcW w:w="61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w:t>
            </w:r>
          </w:p>
        </w:tc>
        <w:tc>
          <w:tcPr>
            <w:tcW w:w="618"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328</w:t>
            </w:r>
          </w:p>
        </w:tc>
        <w:tc>
          <w:tcPr>
            <w:tcW w:w="605"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255</w:t>
            </w:r>
          </w:p>
        </w:tc>
        <w:tc>
          <w:tcPr>
            <w:tcW w:w="653"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93</w:t>
            </w:r>
          </w:p>
        </w:tc>
        <w:tc>
          <w:tcPr>
            <w:tcW w:w="586"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2</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52</w:t>
            </w:r>
          </w:p>
        </w:tc>
        <w:tc>
          <w:tcPr>
            <w:tcW w:w="62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153</w:t>
            </w:r>
          </w:p>
        </w:tc>
        <w:tc>
          <w:tcPr>
            <w:tcW w:w="56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15</w:t>
            </w:r>
          </w:p>
        </w:tc>
        <w:tc>
          <w:tcPr>
            <w:tcW w:w="603"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w:t>
            </w:r>
          </w:p>
        </w:tc>
        <w:tc>
          <w:tcPr>
            <w:tcW w:w="54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57</w:t>
            </w:r>
          </w:p>
        </w:tc>
        <w:tc>
          <w:tcPr>
            <w:tcW w:w="63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249</w:t>
            </w:r>
          </w:p>
        </w:tc>
        <w:tc>
          <w:tcPr>
            <w:tcW w:w="622"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39</w:t>
            </w:r>
          </w:p>
        </w:tc>
        <w:tc>
          <w:tcPr>
            <w:tcW w:w="584"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363</w:t>
            </w:r>
          </w:p>
        </w:tc>
        <w:tc>
          <w:tcPr>
            <w:tcW w:w="607"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134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2" w:hRule="atLeast"/>
          <w:jc w:val="center"/>
        </w:trPr>
        <w:tc>
          <w:tcPr>
            <w:tcW w:w="988" w:type="dxa"/>
            <w:gridSpan w:val="2"/>
            <w:vMerge w:val="continue"/>
            <w:tcMar>
              <w:top w:w="8" w:type="dxa"/>
              <w:left w:w="8" w:type="dxa"/>
              <w:right w:w="8" w:type="dxa"/>
            </w:tcMar>
            <w:vAlign w:val="center"/>
          </w:tcPr>
          <w:p>
            <w:pPr>
              <w:widowControl/>
              <w:spacing w:line="220" w:lineRule="exact"/>
              <w:jc w:val="center"/>
              <w:rPr>
                <w:color w:val="000000"/>
                <w:sz w:val="16"/>
                <w:szCs w:val="16"/>
              </w:rPr>
            </w:pPr>
          </w:p>
        </w:tc>
        <w:tc>
          <w:tcPr>
            <w:tcW w:w="2037"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其中：中央补助</w:t>
            </w:r>
          </w:p>
        </w:tc>
        <w:tc>
          <w:tcPr>
            <w:tcW w:w="126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1750</w:t>
            </w:r>
          </w:p>
        </w:tc>
        <w:tc>
          <w:tcPr>
            <w:tcW w:w="1458" w:type="dxa"/>
            <w:tcMar>
              <w:top w:w="8" w:type="dxa"/>
              <w:left w:w="8" w:type="dxa"/>
              <w:right w:w="8" w:type="dxa"/>
            </w:tcMar>
            <w:vAlign w:val="center"/>
          </w:tcPr>
          <w:p>
            <w:pPr>
              <w:widowControl/>
              <w:spacing w:line="220" w:lineRule="exact"/>
              <w:jc w:val="center"/>
              <w:textAlignment w:val="center"/>
              <w:rPr>
                <w:rFonts w:eastAsia="宋体"/>
                <w:bCs/>
                <w:color w:val="000000"/>
                <w:sz w:val="15"/>
                <w:szCs w:val="15"/>
              </w:rPr>
            </w:pPr>
            <w:r>
              <w:rPr>
                <w:bCs/>
                <w:color w:val="000000"/>
                <w:sz w:val="15"/>
                <w:szCs w:val="15"/>
              </w:rPr>
              <w:t>1750</w:t>
            </w:r>
          </w:p>
        </w:tc>
        <w:tc>
          <w:tcPr>
            <w:tcW w:w="610"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w:t>
            </w:r>
          </w:p>
        </w:tc>
        <w:tc>
          <w:tcPr>
            <w:tcW w:w="618"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328</w:t>
            </w:r>
          </w:p>
        </w:tc>
        <w:tc>
          <w:tcPr>
            <w:tcW w:w="605"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255</w:t>
            </w:r>
          </w:p>
        </w:tc>
        <w:tc>
          <w:tcPr>
            <w:tcW w:w="653"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93</w:t>
            </w:r>
          </w:p>
        </w:tc>
        <w:tc>
          <w:tcPr>
            <w:tcW w:w="586"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2</w:t>
            </w:r>
          </w:p>
        </w:tc>
        <w:tc>
          <w:tcPr>
            <w:tcW w:w="580"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52</w:t>
            </w:r>
          </w:p>
        </w:tc>
        <w:tc>
          <w:tcPr>
            <w:tcW w:w="620"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153</w:t>
            </w:r>
          </w:p>
        </w:tc>
        <w:tc>
          <w:tcPr>
            <w:tcW w:w="560"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15</w:t>
            </w:r>
          </w:p>
        </w:tc>
        <w:tc>
          <w:tcPr>
            <w:tcW w:w="603"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w:t>
            </w:r>
          </w:p>
        </w:tc>
        <w:tc>
          <w:tcPr>
            <w:tcW w:w="540"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57</w:t>
            </w:r>
          </w:p>
        </w:tc>
        <w:tc>
          <w:tcPr>
            <w:tcW w:w="630"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249</w:t>
            </w:r>
          </w:p>
        </w:tc>
        <w:tc>
          <w:tcPr>
            <w:tcW w:w="622"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39</w:t>
            </w:r>
          </w:p>
        </w:tc>
        <w:tc>
          <w:tcPr>
            <w:tcW w:w="584"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363</w:t>
            </w:r>
          </w:p>
        </w:tc>
        <w:tc>
          <w:tcPr>
            <w:tcW w:w="607" w:type="dxa"/>
            <w:shd w:val="clear" w:color="auto" w:fill="auto"/>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rFonts w:hint="eastAsia"/>
                <w:color w:val="000000"/>
                <w:sz w:val="16"/>
                <w:szCs w:val="16"/>
              </w:rPr>
              <w:t>134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0" w:hRule="atLeast"/>
          <w:jc w:val="center"/>
        </w:trPr>
        <w:tc>
          <w:tcPr>
            <w:tcW w:w="988" w:type="dxa"/>
            <w:gridSpan w:val="2"/>
            <w:vMerge w:val="continue"/>
            <w:tcMar>
              <w:top w:w="8" w:type="dxa"/>
              <w:left w:w="8" w:type="dxa"/>
              <w:right w:w="8" w:type="dxa"/>
            </w:tcMar>
            <w:vAlign w:val="center"/>
          </w:tcPr>
          <w:p>
            <w:pPr>
              <w:widowControl/>
              <w:spacing w:line="220" w:lineRule="exact"/>
              <w:jc w:val="center"/>
              <w:rPr>
                <w:color w:val="000000"/>
                <w:sz w:val="16"/>
                <w:szCs w:val="16"/>
              </w:rPr>
            </w:pPr>
          </w:p>
        </w:tc>
        <w:tc>
          <w:tcPr>
            <w:tcW w:w="2037"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地方资金</w:t>
            </w:r>
          </w:p>
        </w:tc>
        <w:tc>
          <w:tcPr>
            <w:tcW w:w="1268" w:type="dxa"/>
            <w:gridSpan w:val="2"/>
            <w:tcMar>
              <w:top w:w="8" w:type="dxa"/>
              <w:left w:w="8" w:type="dxa"/>
              <w:right w:w="8" w:type="dxa"/>
            </w:tcMar>
            <w:vAlign w:val="center"/>
          </w:tcPr>
          <w:p>
            <w:pPr>
              <w:widowControl/>
              <w:spacing w:line="220" w:lineRule="exact"/>
              <w:jc w:val="center"/>
              <w:rPr>
                <w:rFonts w:eastAsia="宋体"/>
                <w:color w:val="000000"/>
                <w:sz w:val="16"/>
                <w:szCs w:val="16"/>
              </w:rPr>
            </w:pPr>
          </w:p>
        </w:tc>
        <w:tc>
          <w:tcPr>
            <w:tcW w:w="1458" w:type="dxa"/>
            <w:tcMar>
              <w:top w:w="8" w:type="dxa"/>
              <w:left w:w="8" w:type="dxa"/>
              <w:right w:w="8" w:type="dxa"/>
            </w:tcMar>
            <w:vAlign w:val="center"/>
          </w:tcPr>
          <w:p>
            <w:pPr>
              <w:widowControl/>
              <w:spacing w:line="220" w:lineRule="exact"/>
              <w:jc w:val="center"/>
              <w:rPr>
                <w:rFonts w:eastAsia="宋体"/>
                <w:b/>
                <w:color w:val="000000"/>
                <w:sz w:val="16"/>
                <w:szCs w:val="16"/>
              </w:rPr>
            </w:pPr>
          </w:p>
        </w:tc>
        <w:tc>
          <w:tcPr>
            <w:tcW w:w="610" w:type="dxa"/>
            <w:tcMar>
              <w:top w:w="8" w:type="dxa"/>
              <w:left w:w="8" w:type="dxa"/>
              <w:right w:w="8" w:type="dxa"/>
            </w:tcMar>
            <w:vAlign w:val="center"/>
          </w:tcPr>
          <w:p>
            <w:pPr>
              <w:widowControl/>
              <w:spacing w:line="220" w:lineRule="exact"/>
              <w:jc w:val="center"/>
              <w:rPr>
                <w:color w:val="000000"/>
                <w:sz w:val="16"/>
                <w:szCs w:val="16"/>
              </w:rPr>
            </w:pPr>
          </w:p>
        </w:tc>
        <w:tc>
          <w:tcPr>
            <w:tcW w:w="618" w:type="dxa"/>
            <w:tcMar>
              <w:top w:w="8" w:type="dxa"/>
              <w:left w:w="8" w:type="dxa"/>
              <w:right w:w="8" w:type="dxa"/>
            </w:tcMar>
            <w:vAlign w:val="center"/>
          </w:tcPr>
          <w:p>
            <w:pPr>
              <w:widowControl/>
              <w:spacing w:line="220" w:lineRule="exact"/>
              <w:jc w:val="center"/>
              <w:rPr>
                <w:color w:val="000000"/>
                <w:sz w:val="16"/>
                <w:szCs w:val="16"/>
              </w:rPr>
            </w:pPr>
          </w:p>
        </w:tc>
        <w:tc>
          <w:tcPr>
            <w:tcW w:w="605" w:type="dxa"/>
            <w:tcMar>
              <w:top w:w="8" w:type="dxa"/>
              <w:left w:w="8" w:type="dxa"/>
              <w:right w:w="8" w:type="dxa"/>
            </w:tcMar>
            <w:vAlign w:val="center"/>
          </w:tcPr>
          <w:p>
            <w:pPr>
              <w:widowControl/>
              <w:spacing w:line="220" w:lineRule="exact"/>
              <w:jc w:val="center"/>
              <w:rPr>
                <w:color w:val="000000"/>
                <w:sz w:val="16"/>
                <w:szCs w:val="16"/>
              </w:rPr>
            </w:pPr>
          </w:p>
        </w:tc>
        <w:tc>
          <w:tcPr>
            <w:tcW w:w="653" w:type="dxa"/>
            <w:tcMar>
              <w:top w:w="8" w:type="dxa"/>
              <w:left w:w="8" w:type="dxa"/>
              <w:right w:w="8" w:type="dxa"/>
            </w:tcMar>
            <w:vAlign w:val="center"/>
          </w:tcPr>
          <w:p>
            <w:pPr>
              <w:widowControl/>
              <w:spacing w:line="220" w:lineRule="exact"/>
              <w:jc w:val="center"/>
              <w:rPr>
                <w:color w:val="000000"/>
                <w:sz w:val="16"/>
                <w:szCs w:val="16"/>
              </w:rPr>
            </w:pPr>
          </w:p>
        </w:tc>
        <w:tc>
          <w:tcPr>
            <w:tcW w:w="586" w:type="dxa"/>
            <w:tcMar>
              <w:top w:w="8" w:type="dxa"/>
              <w:left w:w="8" w:type="dxa"/>
              <w:right w:w="8" w:type="dxa"/>
            </w:tcMar>
            <w:vAlign w:val="center"/>
          </w:tcPr>
          <w:p>
            <w:pPr>
              <w:widowControl/>
              <w:spacing w:line="220" w:lineRule="exact"/>
              <w:jc w:val="center"/>
              <w:rPr>
                <w:rFonts w:eastAsia="宋体"/>
                <w:color w:val="000000"/>
                <w:sz w:val="16"/>
                <w:szCs w:val="16"/>
              </w:rPr>
            </w:pPr>
          </w:p>
        </w:tc>
        <w:tc>
          <w:tcPr>
            <w:tcW w:w="580" w:type="dxa"/>
            <w:tcMar>
              <w:top w:w="8" w:type="dxa"/>
              <w:left w:w="8" w:type="dxa"/>
              <w:right w:w="8" w:type="dxa"/>
            </w:tcMar>
            <w:vAlign w:val="center"/>
          </w:tcPr>
          <w:p>
            <w:pPr>
              <w:widowControl/>
              <w:spacing w:line="220" w:lineRule="exact"/>
              <w:jc w:val="center"/>
              <w:rPr>
                <w:rFonts w:eastAsia="宋体"/>
                <w:color w:val="000000"/>
                <w:sz w:val="16"/>
                <w:szCs w:val="16"/>
              </w:rPr>
            </w:pPr>
          </w:p>
        </w:tc>
        <w:tc>
          <w:tcPr>
            <w:tcW w:w="620" w:type="dxa"/>
            <w:tcMar>
              <w:top w:w="8" w:type="dxa"/>
              <w:left w:w="8" w:type="dxa"/>
              <w:right w:w="8" w:type="dxa"/>
            </w:tcMar>
            <w:vAlign w:val="center"/>
          </w:tcPr>
          <w:p>
            <w:pPr>
              <w:widowControl/>
              <w:spacing w:line="220" w:lineRule="exact"/>
              <w:jc w:val="center"/>
              <w:rPr>
                <w:rFonts w:eastAsia="宋体"/>
                <w:color w:val="000000"/>
                <w:sz w:val="16"/>
                <w:szCs w:val="16"/>
              </w:rPr>
            </w:pPr>
          </w:p>
        </w:tc>
        <w:tc>
          <w:tcPr>
            <w:tcW w:w="560" w:type="dxa"/>
            <w:tcMar>
              <w:top w:w="8" w:type="dxa"/>
              <w:left w:w="8" w:type="dxa"/>
              <w:right w:w="8" w:type="dxa"/>
            </w:tcMar>
            <w:vAlign w:val="center"/>
          </w:tcPr>
          <w:p>
            <w:pPr>
              <w:widowControl/>
              <w:spacing w:line="220" w:lineRule="exact"/>
              <w:jc w:val="center"/>
              <w:rPr>
                <w:color w:val="000000"/>
                <w:sz w:val="16"/>
                <w:szCs w:val="16"/>
              </w:rPr>
            </w:pPr>
          </w:p>
        </w:tc>
        <w:tc>
          <w:tcPr>
            <w:tcW w:w="603" w:type="dxa"/>
            <w:tcMar>
              <w:top w:w="8" w:type="dxa"/>
              <w:left w:w="8" w:type="dxa"/>
              <w:right w:w="8" w:type="dxa"/>
            </w:tcMar>
            <w:vAlign w:val="center"/>
          </w:tcPr>
          <w:p>
            <w:pPr>
              <w:widowControl/>
              <w:spacing w:line="220" w:lineRule="exact"/>
              <w:jc w:val="center"/>
              <w:rPr>
                <w:rFonts w:eastAsia="宋体"/>
                <w:color w:val="000000"/>
                <w:sz w:val="16"/>
                <w:szCs w:val="16"/>
              </w:rPr>
            </w:pPr>
          </w:p>
        </w:tc>
        <w:tc>
          <w:tcPr>
            <w:tcW w:w="540" w:type="dxa"/>
            <w:tcMar>
              <w:top w:w="8" w:type="dxa"/>
              <w:left w:w="8" w:type="dxa"/>
              <w:right w:w="8" w:type="dxa"/>
            </w:tcMar>
            <w:vAlign w:val="center"/>
          </w:tcPr>
          <w:p>
            <w:pPr>
              <w:widowControl/>
              <w:spacing w:line="220" w:lineRule="exact"/>
              <w:jc w:val="center"/>
              <w:rPr>
                <w:rFonts w:eastAsia="宋体"/>
                <w:color w:val="000000"/>
                <w:sz w:val="16"/>
                <w:szCs w:val="16"/>
              </w:rPr>
            </w:pPr>
          </w:p>
        </w:tc>
        <w:tc>
          <w:tcPr>
            <w:tcW w:w="630" w:type="dxa"/>
            <w:tcMar>
              <w:top w:w="8" w:type="dxa"/>
              <w:left w:w="8" w:type="dxa"/>
              <w:right w:w="8" w:type="dxa"/>
            </w:tcMar>
            <w:vAlign w:val="center"/>
          </w:tcPr>
          <w:p>
            <w:pPr>
              <w:widowControl/>
              <w:spacing w:line="220" w:lineRule="exact"/>
              <w:jc w:val="center"/>
              <w:rPr>
                <w:color w:val="000000"/>
                <w:sz w:val="16"/>
                <w:szCs w:val="16"/>
              </w:rPr>
            </w:pPr>
          </w:p>
        </w:tc>
        <w:tc>
          <w:tcPr>
            <w:tcW w:w="622" w:type="dxa"/>
            <w:tcMar>
              <w:top w:w="8" w:type="dxa"/>
              <w:left w:w="8" w:type="dxa"/>
              <w:right w:w="8" w:type="dxa"/>
            </w:tcMar>
            <w:vAlign w:val="center"/>
          </w:tcPr>
          <w:p>
            <w:pPr>
              <w:widowControl/>
              <w:spacing w:line="220" w:lineRule="exact"/>
              <w:jc w:val="center"/>
              <w:rPr>
                <w:rFonts w:eastAsia="宋体"/>
                <w:color w:val="000000"/>
                <w:sz w:val="16"/>
                <w:szCs w:val="16"/>
              </w:rPr>
            </w:pPr>
          </w:p>
        </w:tc>
        <w:tc>
          <w:tcPr>
            <w:tcW w:w="584" w:type="dxa"/>
            <w:tcMar>
              <w:top w:w="8" w:type="dxa"/>
              <w:left w:w="8" w:type="dxa"/>
              <w:right w:w="8" w:type="dxa"/>
            </w:tcMar>
            <w:vAlign w:val="center"/>
          </w:tcPr>
          <w:p>
            <w:pPr>
              <w:widowControl/>
              <w:spacing w:line="220" w:lineRule="exact"/>
              <w:jc w:val="center"/>
              <w:rPr>
                <w:color w:val="000000"/>
                <w:sz w:val="16"/>
                <w:szCs w:val="16"/>
              </w:rPr>
            </w:pPr>
          </w:p>
        </w:tc>
        <w:tc>
          <w:tcPr>
            <w:tcW w:w="607" w:type="dxa"/>
            <w:tcMar>
              <w:top w:w="8" w:type="dxa"/>
              <w:left w:w="8" w:type="dxa"/>
              <w:right w:w="8" w:type="dxa"/>
            </w:tcMar>
            <w:vAlign w:val="center"/>
          </w:tcPr>
          <w:p>
            <w:pPr>
              <w:widowControl/>
              <w:spacing w:line="220" w:lineRule="exact"/>
              <w:jc w:val="center"/>
              <w:rPr>
                <w:color w:val="000000"/>
                <w:sz w:val="16"/>
                <w:szCs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jc w:val="center"/>
        </w:trPr>
        <w:tc>
          <w:tcPr>
            <w:tcW w:w="98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年度目标</w:t>
            </w:r>
          </w:p>
        </w:tc>
        <w:tc>
          <w:tcPr>
            <w:tcW w:w="3305" w:type="dxa"/>
            <w:gridSpan w:val="4"/>
            <w:tcMar>
              <w:top w:w="8" w:type="dxa"/>
              <w:left w:w="8" w:type="dxa"/>
              <w:right w:w="8" w:type="dxa"/>
            </w:tcMar>
          </w:tcPr>
          <w:p>
            <w:pPr>
              <w:widowControl/>
              <w:spacing w:line="220" w:lineRule="exact"/>
              <w:textAlignment w:val="top"/>
              <w:rPr>
                <w:color w:val="000000"/>
                <w:sz w:val="16"/>
                <w:szCs w:val="16"/>
              </w:rPr>
            </w:pPr>
            <w:r>
              <w:rPr>
                <w:color w:val="000000"/>
                <w:sz w:val="16"/>
                <w:szCs w:val="16"/>
              </w:rPr>
              <w:t>支持小麦、玉米重大病虫害以及农区蝗虫等农作物重大病虫疫情防控，重发区域病虫疫情得到有效控制，新发突发重大农业植物疫情有效处置，不出现大面积绝收成灾，有力保障粮食安全和农业生产安全。</w:t>
            </w:r>
          </w:p>
        </w:tc>
        <w:tc>
          <w:tcPr>
            <w:tcW w:w="145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w:t>
            </w:r>
          </w:p>
        </w:tc>
        <w:tc>
          <w:tcPr>
            <w:tcW w:w="61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w:t>
            </w:r>
          </w:p>
        </w:tc>
        <w:tc>
          <w:tcPr>
            <w:tcW w:w="61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w:t>
            </w:r>
          </w:p>
        </w:tc>
        <w:tc>
          <w:tcPr>
            <w:tcW w:w="605"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w:t>
            </w:r>
          </w:p>
        </w:tc>
        <w:tc>
          <w:tcPr>
            <w:tcW w:w="65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w:t>
            </w:r>
          </w:p>
        </w:tc>
        <w:tc>
          <w:tcPr>
            <w:tcW w:w="586"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580"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620"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560"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603"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540"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630"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622"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584"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c>
          <w:tcPr>
            <w:tcW w:w="607" w:type="dxa"/>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jc w:val="center"/>
        </w:trPr>
        <w:tc>
          <w:tcPr>
            <w:tcW w:w="480" w:type="dxa"/>
            <w:tcMar>
              <w:top w:w="8" w:type="dxa"/>
              <w:left w:w="8" w:type="dxa"/>
              <w:right w:w="8" w:type="dxa"/>
            </w:tcMar>
            <w:vAlign w:val="center"/>
          </w:tcPr>
          <w:p>
            <w:pPr>
              <w:widowControl/>
              <w:spacing w:line="220" w:lineRule="exact"/>
              <w:rPr>
                <w:color w:val="000000"/>
                <w:sz w:val="16"/>
                <w:szCs w:val="16"/>
              </w:rPr>
            </w:pPr>
          </w:p>
        </w:tc>
        <w:tc>
          <w:tcPr>
            <w:tcW w:w="50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一级指标</w:t>
            </w:r>
          </w:p>
        </w:tc>
        <w:tc>
          <w:tcPr>
            <w:tcW w:w="96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二级指标</w:t>
            </w:r>
          </w:p>
        </w:tc>
        <w:tc>
          <w:tcPr>
            <w:tcW w:w="107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三级指标</w:t>
            </w:r>
          </w:p>
        </w:tc>
        <w:tc>
          <w:tcPr>
            <w:tcW w:w="126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指标值</w:t>
            </w:r>
          </w:p>
        </w:tc>
        <w:tc>
          <w:tcPr>
            <w:tcW w:w="1458" w:type="dxa"/>
            <w:tcMar>
              <w:top w:w="8" w:type="dxa"/>
              <w:left w:w="8" w:type="dxa"/>
              <w:right w:w="8" w:type="dxa"/>
            </w:tcMar>
            <w:vAlign w:val="center"/>
          </w:tcPr>
          <w:p>
            <w:pPr>
              <w:widowControl/>
              <w:spacing w:line="220" w:lineRule="exact"/>
              <w:jc w:val="center"/>
              <w:textAlignment w:val="center"/>
              <w:rPr>
                <w:color w:val="000000"/>
                <w:sz w:val="16"/>
                <w:szCs w:val="16"/>
              </w:rPr>
            </w:pPr>
          </w:p>
        </w:tc>
        <w:tc>
          <w:tcPr>
            <w:tcW w:w="8418" w:type="dxa"/>
            <w:gridSpan w:val="14"/>
            <w:vAlign w:val="center"/>
          </w:tcPr>
          <w:p>
            <w:pPr>
              <w:widowControl/>
              <w:spacing w:line="220" w:lineRule="exact"/>
              <w:jc w:val="center"/>
              <w:textAlignment w:val="center"/>
              <w:rPr>
                <w:color w:val="000000"/>
                <w:sz w:val="16"/>
                <w:szCs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jc w:val="center"/>
        </w:trPr>
        <w:tc>
          <w:tcPr>
            <w:tcW w:w="480" w:type="dxa"/>
            <w:vMerge w:val="restart"/>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绩效指标</w:t>
            </w:r>
          </w:p>
        </w:tc>
        <w:tc>
          <w:tcPr>
            <w:tcW w:w="508" w:type="dxa"/>
            <w:vMerge w:val="restart"/>
            <w:tcMar>
              <w:top w:w="8" w:type="dxa"/>
              <w:left w:w="8" w:type="dxa"/>
              <w:right w:w="8" w:type="dxa"/>
            </w:tcMar>
            <w:vAlign w:val="center"/>
          </w:tcPr>
          <w:p>
            <w:pPr>
              <w:widowControl/>
              <w:spacing w:line="220" w:lineRule="exact"/>
              <w:jc w:val="center"/>
              <w:rPr>
                <w:rFonts w:eastAsia="宋体"/>
                <w:color w:val="000000"/>
                <w:sz w:val="16"/>
                <w:szCs w:val="16"/>
              </w:rPr>
            </w:pPr>
            <w:r>
              <w:rPr>
                <w:rFonts w:eastAsia="宋体"/>
                <w:color w:val="000000"/>
                <w:sz w:val="16"/>
                <w:szCs w:val="16"/>
              </w:rPr>
              <w:t>产出指标</w:t>
            </w:r>
          </w:p>
        </w:tc>
        <w:tc>
          <w:tcPr>
            <w:tcW w:w="963" w:type="dxa"/>
            <w:tcMar>
              <w:top w:w="8" w:type="dxa"/>
              <w:left w:w="8" w:type="dxa"/>
              <w:right w:w="8" w:type="dxa"/>
            </w:tcMar>
            <w:vAlign w:val="center"/>
          </w:tcPr>
          <w:p>
            <w:pPr>
              <w:widowControl/>
              <w:spacing w:line="220" w:lineRule="exact"/>
              <w:jc w:val="center"/>
              <w:rPr>
                <w:rFonts w:eastAsia="宋体"/>
                <w:color w:val="000000"/>
                <w:sz w:val="16"/>
                <w:szCs w:val="16"/>
              </w:rPr>
            </w:pPr>
            <w:r>
              <w:rPr>
                <w:rFonts w:eastAsia="宋体"/>
                <w:color w:val="000000"/>
                <w:sz w:val="16"/>
                <w:szCs w:val="16"/>
              </w:rPr>
              <w:t>数量指标</w:t>
            </w:r>
          </w:p>
        </w:tc>
        <w:tc>
          <w:tcPr>
            <w:tcW w:w="107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重大病虫疫情防控面积</w:t>
            </w:r>
          </w:p>
        </w:tc>
        <w:tc>
          <w:tcPr>
            <w:tcW w:w="1268" w:type="dxa"/>
            <w:gridSpan w:val="2"/>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1840</w:t>
            </w:r>
            <w:r>
              <w:rPr>
                <w:rFonts w:eastAsia="宋体"/>
                <w:color w:val="000000"/>
                <w:kern w:val="0"/>
                <w:sz w:val="16"/>
                <w:szCs w:val="16"/>
                <w:lang w:bidi="ar"/>
              </w:rPr>
              <w:t>万亩</w:t>
            </w:r>
            <w:r>
              <w:rPr>
                <w:color w:val="000000"/>
                <w:kern w:val="0"/>
                <w:sz w:val="16"/>
                <w:szCs w:val="16"/>
                <w:lang w:bidi="ar"/>
              </w:rPr>
              <w:t>次</w:t>
            </w:r>
          </w:p>
        </w:tc>
        <w:tc>
          <w:tcPr>
            <w:tcW w:w="1458"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1840</w:t>
            </w:r>
            <w:r>
              <w:rPr>
                <w:rFonts w:eastAsia="宋体"/>
                <w:color w:val="000000"/>
                <w:kern w:val="0"/>
                <w:sz w:val="16"/>
                <w:szCs w:val="16"/>
                <w:lang w:bidi="ar"/>
              </w:rPr>
              <w:t>万亩</w:t>
            </w:r>
            <w:r>
              <w:rPr>
                <w:color w:val="000000"/>
                <w:kern w:val="0"/>
                <w:sz w:val="16"/>
                <w:szCs w:val="16"/>
                <w:lang w:bidi="ar"/>
              </w:rPr>
              <w:t>次</w:t>
            </w:r>
          </w:p>
        </w:tc>
        <w:tc>
          <w:tcPr>
            <w:tcW w:w="61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5</w:t>
            </w:r>
            <w:r>
              <w:rPr>
                <w:rFonts w:eastAsia="宋体"/>
                <w:color w:val="000000"/>
                <w:kern w:val="0"/>
                <w:sz w:val="16"/>
                <w:szCs w:val="16"/>
                <w:lang w:bidi="ar"/>
              </w:rPr>
              <w:t>万亩</w:t>
            </w:r>
            <w:r>
              <w:rPr>
                <w:color w:val="000000"/>
                <w:kern w:val="0"/>
                <w:sz w:val="16"/>
                <w:szCs w:val="16"/>
                <w:lang w:bidi="ar"/>
              </w:rPr>
              <w:t>次</w:t>
            </w:r>
          </w:p>
        </w:tc>
        <w:tc>
          <w:tcPr>
            <w:tcW w:w="618"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345</w:t>
            </w:r>
            <w:r>
              <w:rPr>
                <w:rFonts w:eastAsia="宋体"/>
                <w:color w:val="000000"/>
                <w:kern w:val="0"/>
                <w:sz w:val="16"/>
                <w:szCs w:val="16"/>
                <w:lang w:bidi="ar"/>
              </w:rPr>
              <w:t>万亩</w:t>
            </w:r>
            <w:r>
              <w:rPr>
                <w:color w:val="000000"/>
                <w:kern w:val="0"/>
                <w:sz w:val="16"/>
                <w:szCs w:val="16"/>
                <w:lang w:bidi="ar"/>
              </w:rPr>
              <w:t>次</w:t>
            </w:r>
          </w:p>
        </w:tc>
        <w:tc>
          <w:tcPr>
            <w:tcW w:w="605"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268</w:t>
            </w:r>
            <w:r>
              <w:rPr>
                <w:rFonts w:eastAsia="宋体"/>
                <w:color w:val="000000"/>
                <w:kern w:val="0"/>
                <w:sz w:val="16"/>
                <w:szCs w:val="16"/>
                <w:lang w:bidi="ar"/>
              </w:rPr>
              <w:t>万亩</w:t>
            </w:r>
            <w:r>
              <w:rPr>
                <w:color w:val="000000"/>
                <w:kern w:val="0"/>
                <w:sz w:val="16"/>
                <w:szCs w:val="16"/>
                <w:lang w:bidi="ar"/>
              </w:rPr>
              <w:t>次</w:t>
            </w:r>
          </w:p>
        </w:tc>
        <w:tc>
          <w:tcPr>
            <w:tcW w:w="653"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98</w:t>
            </w:r>
            <w:r>
              <w:rPr>
                <w:rFonts w:eastAsia="宋体"/>
                <w:color w:val="000000"/>
                <w:kern w:val="0"/>
                <w:sz w:val="16"/>
                <w:szCs w:val="16"/>
                <w:lang w:bidi="ar"/>
              </w:rPr>
              <w:t>万亩</w:t>
            </w:r>
            <w:r>
              <w:rPr>
                <w:color w:val="000000"/>
                <w:kern w:val="0"/>
                <w:sz w:val="16"/>
                <w:szCs w:val="16"/>
                <w:lang w:bidi="ar"/>
              </w:rPr>
              <w:t>次</w:t>
            </w:r>
          </w:p>
        </w:tc>
        <w:tc>
          <w:tcPr>
            <w:tcW w:w="586"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2</w:t>
            </w:r>
            <w:r>
              <w:rPr>
                <w:rFonts w:eastAsia="宋体"/>
                <w:color w:val="000000"/>
                <w:kern w:val="0"/>
                <w:sz w:val="16"/>
                <w:szCs w:val="16"/>
                <w:lang w:bidi="ar"/>
              </w:rPr>
              <w:t>万亩</w:t>
            </w:r>
            <w:r>
              <w:rPr>
                <w:color w:val="000000"/>
                <w:kern w:val="0"/>
                <w:sz w:val="16"/>
                <w:szCs w:val="16"/>
                <w:lang w:bidi="ar"/>
              </w:rPr>
              <w:t>次</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≥55万亩</w:t>
            </w:r>
            <w:r>
              <w:rPr>
                <w:color w:val="000000"/>
                <w:kern w:val="0"/>
                <w:sz w:val="16"/>
                <w:szCs w:val="16"/>
                <w:lang w:bidi="ar"/>
              </w:rPr>
              <w:t>次</w:t>
            </w:r>
          </w:p>
        </w:tc>
        <w:tc>
          <w:tcPr>
            <w:tcW w:w="62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160</w:t>
            </w:r>
            <w:r>
              <w:rPr>
                <w:rFonts w:eastAsia="宋体"/>
                <w:color w:val="000000"/>
                <w:kern w:val="0"/>
                <w:sz w:val="16"/>
                <w:szCs w:val="16"/>
                <w:lang w:bidi="ar"/>
              </w:rPr>
              <w:t>万亩</w:t>
            </w:r>
            <w:r>
              <w:rPr>
                <w:color w:val="000000"/>
                <w:kern w:val="0"/>
                <w:sz w:val="16"/>
                <w:szCs w:val="16"/>
                <w:lang w:bidi="ar"/>
              </w:rPr>
              <w:t>次</w:t>
            </w:r>
          </w:p>
        </w:tc>
        <w:tc>
          <w:tcPr>
            <w:tcW w:w="56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16</w:t>
            </w:r>
            <w:r>
              <w:rPr>
                <w:rFonts w:eastAsia="宋体"/>
                <w:color w:val="000000"/>
                <w:kern w:val="0"/>
                <w:sz w:val="16"/>
                <w:szCs w:val="16"/>
                <w:lang w:bidi="ar"/>
              </w:rPr>
              <w:t>万亩</w:t>
            </w:r>
            <w:r>
              <w:rPr>
                <w:color w:val="000000"/>
                <w:kern w:val="0"/>
                <w:sz w:val="16"/>
                <w:szCs w:val="16"/>
                <w:lang w:bidi="ar"/>
              </w:rPr>
              <w:t>次</w:t>
            </w:r>
          </w:p>
        </w:tc>
        <w:tc>
          <w:tcPr>
            <w:tcW w:w="603"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5</w:t>
            </w:r>
            <w:r>
              <w:rPr>
                <w:rFonts w:eastAsia="宋体"/>
                <w:color w:val="000000"/>
                <w:kern w:val="0"/>
                <w:sz w:val="16"/>
                <w:szCs w:val="16"/>
                <w:lang w:bidi="ar"/>
              </w:rPr>
              <w:t>万亩</w:t>
            </w:r>
            <w:r>
              <w:rPr>
                <w:color w:val="000000"/>
                <w:kern w:val="0"/>
                <w:sz w:val="16"/>
                <w:szCs w:val="16"/>
                <w:lang w:bidi="ar"/>
              </w:rPr>
              <w:t>次</w:t>
            </w:r>
          </w:p>
        </w:tc>
        <w:tc>
          <w:tcPr>
            <w:tcW w:w="54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60</w:t>
            </w:r>
            <w:r>
              <w:rPr>
                <w:rFonts w:eastAsia="宋体"/>
                <w:color w:val="000000"/>
                <w:kern w:val="0"/>
                <w:sz w:val="16"/>
                <w:szCs w:val="16"/>
                <w:lang w:bidi="ar"/>
              </w:rPr>
              <w:t>万亩</w:t>
            </w:r>
            <w:r>
              <w:rPr>
                <w:color w:val="000000"/>
                <w:kern w:val="0"/>
                <w:sz w:val="16"/>
                <w:szCs w:val="16"/>
                <w:lang w:bidi="ar"/>
              </w:rPr>
              <w:t>次</w:t>
            </w:r>
          </w:p>
        </w:tc>
        <w:tc>
          <w:tcPr>
            <w:tcW w:w="63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262</w:t>
            </w:r>
            <w:r>
              <w:rPr>
                <w:rFonts w:eastAsia="宋体"/>
                <w:color w:val="000000"/>
                <w:kern w:val="0"/>
                <w:sz w:val="16"/>
                <w:szCs w:val="16"/>
                <w:lang w:bidi="ar"/>
              </w:rPr>
              <w:t>万亩</w:t>
            </w:r>
            <w:r>
              <w:rPr>
                <w:color w:val="000000"/>
                <w:kern w:val="0"/>
                <w:sz w:val="16"/>
                <w:szCs w:val="16"/>
                <w:lang w:bidi="ar"/>
              </w:rPr>
              <w:t>次</w:t>
            </w:r>
          </w:p>
        </w:tc>
        <w:tc>
          <w:tcPr>
            <w:tcW w:w="622"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41</w:t>
            </w:r>
            <w:r>
              <w:rPr>
                <w:rFonts w:eastAsia="宋体"/>
                <w:color w:val="000000"/>
                <w:kern w:val="0"/>
                <w:sz w:val="16"/>
                <w:szCs w:val="16"/>
                <w:lang w:bidi="ar"/>
              </w:rPr>
              <w:t>万亩</w:t>
            </w:r>
            <w:r>
              <w:rPr>
                <w:color w:val="000000"/>
                <w:kern w:val="0"/>
                <w:sz w:val="16"/>
                <w:szCs w:val="16"/>
                <w:lang w:bidi="ar"/>
              </w:rPr>
              <w:t>次</w:t>
            </w:r>
          </w:p>
        </w:tc>
        <w:tc>
          <w:tcPr>
            <w:tcW w:w="584"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382</w:t>
            </w:r>
            <w:r>
              <w:rPr>
                <w:rFonts w:eastAsia="宋体"/>
                <w:color w:val="000000"/>
                <w:kern w:val="0"/>
                <w:sz w:val="16"/>
                <w:szCs w:val="16"/>
                <w:lang w:bidi="ar"/>
              </w:rPr>
              <w:t>万亩</w:t>
            </w:r>
            <w:r>
              <w:rPr>
                <w:color w:val="000000"/>
                <w:kern w:val="0"/>
                <w:sz w:val="16"/>
                <w:szCs w:val="16"/>
                <w:lang w:bidi="ar"/>
              </w:rPr>
              <w:t>次</w:t>
            </w:r>
          </w:p>
        </w:tc>
        <w:tc>
          <w:tcPr>
            <w:tcW w:w="607"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rFonts w:eastAsia="宋体"/>
                <w:color w:val="000000"/>
                <w:kern w:val="0"/>
                <w:sz w:val="16"/>
                <w:szCs w:val="16"/>
                <w:lang w:bidi="ar"/>
              </w:rPr>
              <w:t>≥</w:t>
            </w:r>
            <w:r>
              <w:rPr>
                <w:color w:val="000000"/>
                <w:kern w:val="0"/>
                <w:sz w:val="16"/>
                <w:szCs w:val="16"/>
                <w:lang w:bidi="ar"/>
              </w:rPr>
              <w:t>141</w:t>
            </w:r>
            <w:r>
              <w:rPr>
                <w:rFonts w:eastAsia="宋体"/>
                <w:color w:val="000000"/>
                <w:kern w:val="0"/>
                <w:sz w:val="16"/>
                <w:szCs w:val="16"/>
                <w:lang w:bidi="ar"/>
              </w:rPr>
              <w:t>万亩</w:t>
            </w:r>
            <w:r>
              <w:rPr>
                <w:color w:val="000000"/>
                <w:kern w:val="0"/>
                <w:sz w:val="16"/>
                <w:szCs w:val="16"/>
                <w:lang w:bidi="ar"/>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5" w:hRule="atLeast"/>
          <w:jc w:val="center"/>
        </w:trPr>
        <w:tc>
          <w:tcPr>
            <w:tcW w:w="480" w:type="dxa"/>
            <w:vMerge w:val="continue"/>
            <w:tcMar>
              <w:top w:w="8" w:type="dxa"/>
              <w:left w:w="8" w:type="dxa"/>
              <w:right w:w="8" w:type="dxa"/>
            </w:tcMar>
            <w:vAlign w:val="center"/>
          </w:tcPr>
          <w:p>
            <w:pPr>
              <w:widowControl/>
              <w:spacing w:line="220" w:lineRule="exact"/>
              <w:jc w:val="center"/>
              <w:rPr>
                <w:color w:val="000000"/>
                <w:sz w:val="16"/>
                <w:szCs w:val="16"/>
              </w:rPr>
            </w:pPr>
          </w:p>
        </w:tc>
        <w:tc>
          <w:tcPr>
            <w:tcW w:w="508" w:type="dxa"/>
            <w:vMerge w:val="continue"/>
            <w:tcMar>
              <w:top w:w="8" w:type="dxa"/>
              <w:left w:w="8" w:type="dxa"/>
              <w:right w:w="8" w:type="dxa"/>
            </w:tcMar>
            <w:vAlign w:val="center"/>
          </w:tcPr>
          <w:p>
            <w:pPr>
              <w:widowControl/>
              <w:spacing w:line="220" w:lineRule="exact"/>
              <w:jc w:val="center"/>
              <w:rPr>
                <w:rFonts w:eastAsia="宋体"/>
                <w:color w:val="000000"/>
                <w:sz w:val="16"/>
                <w:szCs w:val="16"/>
              </w:rPr>
            </w:pPr>
          </w:p>
        </w:tc>
        <w:tc>
          <w:tcPr>
            <w:tcW w:w="963" w:type="dxa"/>
            <w:vMerge w:val="restart"/>
            <w:tcMar>
              <w:top w:w="8" w:type="dxa"/>
              <w:left w:w="8" w:type="dxa"/>
              <w:right w:w="8" w:type="dxa"/>
            </w:tcMar>
            <w:vAlign w:val="center"/>
          </w:tcPr>
          <w:p>
            <w:pPr>
              <w:widowControl/>
              <w:spacing w:line="220" w:lineRule="exact"/>
              <w:jc w:val="center"/>
              <w:rPr>
                <w:rFonts w:eastAsia="宋体"/>
                <w:color w:val="000000"/>
                <w:sz w:val="16"/>
                <w:szCs w:val="16"/>
              </w:rPr>
            </w:pPr>
            <w:r>
              <w:rPr>
                <w:rFonts w:eastAsia="宋体"/>
                <w:color w:val="000000"/>
                <w:sz w:val="16"/>
                <w:szCs w:val="16"/>
              </w:rPr>
              <w:t>质量指标</w:t>
            </w:r>
          </w:p>
        </w:tc>
        <w:tc>
          <w:tcPr>
            <w:tcW w:w="107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防控效果</w:t>
            </w:r>
          </w:p>
        </w:tc>
        <w:tc>
          <w:tcPr>
            <w:tcW w:w="1268" w:type="dxa"/>
            <w:gridSpan w:val="2"/>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有效遏制暴发流行成灾</w:t>
            </w:r>
          </w:p>
        </w:tc>
        <w:tc>
          <w:tcPr>
            <w:tcW w:w="145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1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1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05"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5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586"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有效遏制暴发流行成灾</w:t>
            </w:r>
          </w:p>
        </w:tc>
        <w:tc>
          <w:tcPr>
            <w:tcW w:w="62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56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0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54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3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22"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58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c>
          <w:tcPr>
            <w:tcW w:w="607"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有效遏制暴发流行成灾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3" w:hRule="atLeast"/>
          <w:jc w:val="center"/>
        </w:trPr>
        <w:tc>
          <w:tcPr>
            <w:tcW w:w="480" w:type="dxa"/>
            <w:vMerge w:val="continue"/>
            <w:tcMar>
              <w:top w:w="8" w:type="dxa"/>
              <w:left w:w="8" w:type="dxa"/>
              <w:right w:w="8" w:type="dxa"/>
            </w:tcMar>
            <w:vAlign w:val="center"/>
          </w:tcPr>
          <w:p>
            <w:pPr>
              <w:widowControl/>
              <w:spacing w:line="220" w:lineRule="exact"/>
              <w:jc w:val="center"/>
              <w:textAlignment w:val="center"/>
              <w:rPr>
                <w:color w:val="000000"/>
                <w:kern w:val="0"/>
                <w:sz w:val="13"/>
                <w:szCs w:val="13"/>
                <w:lang w:bidi="ar"/>
              </w:rPr>
            </w:pPr>
          </w:p>
        </w:tc>
        <w:tc>
          <w:tcPr>
            <w:tcW w:w="508" w:type="dxa"/>
            <w:vMerge w:val="continue"/>
            <w:tcMar>
              <w:top w:w="8" w:type="dxa"/>
              <w:left w:w="8" w:type="dxa"/>
              <w:right w:w="8" w:type="dxa"/>
            </w:tcMar>
            <w:vAlign w:val="center"/>
          </w:tcPr>
          <w:p>
            <w:pPr>
              <w:widowControl/>
              <w:spacing w:line="220" w:lineRule="exact"/>
              <w:jc w:val="center"/>
              <w:textAlignment w:val="center"/>
              <w:rPr>
                <w:color w:val="000000"/>
                <w:kern w:val="0"/>
                <w:sz w:val="13"/>
                <w:szCs w:val="13"/>
                <w:lang w:bidi="ar"/>
              </w:rPr>
            </w:pPr>
          </w:p>
        </w:tc>
        <w:tc>
          <w:tcPr>
            <w:tcW w:w="963" w:type="dxa"/>
            <w:vMerge w:val="continue"/>
            <w:tcMar>
              <w:top w:w="8" w:type="dxa"/>
              <w:left w:w="8" w:type="dxa"/>
              <w:right w:w="8" w:type="dxa"/>
            </w:tcMar>
            <w:vAlign w:val="center"/>
          </w:tcPr>
          <w:p>
            <w:pPr>
              <w:widowControl/>
              <w:spacing w:line="220" w:lineRule="exact"/>
              <w:jc w:val="center"/>
              <w:textAlignment w:val="center"/>
              <w:rPr>
                <w:color w:val="000000"/>
                <w:kern w:val="0"/>
                <w:sz w:val="13"/>
                <w:szCs w:val="13"/>
                <w:lang w:bidi="ar"/>
              </w:rPr>
            </w:pPr>
          </w:p>
        </w:tc>
        <w:tc>
          <w:tcPr>
            <w:tcW w:w="1074"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3"/>
                <w:szCs w:val="13"/>
                <w:lang w:bidi="ar"/>
              </w:rPr>
              <w:t>项目实施区统防统治覆盖率</w:t>
            </w:r>
          </w:p>
        </w:tc>
        <w:tc>
          <w:tcPr>
            <w:tcW w:w="1268" w:type="dxa"/>
            <w:gridSpan w:val="2"/>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1458"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1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18"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05"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53"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586"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&gt;46%</w:t>
            </w:r>
          </w:p>
        </w:tc>
        <w:tc>
          <w:tcPr>
            <w:tcW w:w="62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56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03"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54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3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22"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584"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c>
          <w:tcPr>
            <w:tcW w:w="607"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kern w:val="0"/>
                <w:sz w:val="16"/>
                <w:szCs w:val="16"/>
                <w:lang w:bidi="ar"/>
              </w:rPr>
              <w:t>&gt;46%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54" w:hRule="atLeast"/>
          <w:jc w:val="center"/>
        </w:trPr>
        <w:tc>
          <w:tcPr>
            <w:tcW w:w="480" w:type="dxa"/>
            <w:vMerge w:val="continue"/>
            <w:tcMar>
              <w:top w:w="8" w:type="dxa"/>
              <w:left w:w="8" w:type="dxa"/>
              <w:right w:w="8" w:type="dxa"/>
            </w:tcMar>
            <w:vAlign w:val="center"/>
          </w:tcPr>
          <w:p>
            <w:pPr>
              <w:widowControl/>
              <w:spacing w:line="220" w:lineRule="exact"/>
              <w:jc w:val="center"/>
              <w:rPr>
                <w:rFonts w:eastAsia="宋体"/>
                <w:color w:val="000000"/>
                <w:sz w:val="16"/>
                <w:szCs w:val="16"/>
              </w:rPr>
            </w:pPr>
          </w:p>
        </w:tc>
        <w:tc>
          <w:tcPr>
            <w:tcW w:w="508" w:type="dxa"/>
            <w:vMerge w:val="continue"/>
            <w:tcMar>
              <w:top w:w="8" w:type="dxa"/>
              <w:left w:w="8" w:type="dxa"/>
              <w:right w:w="8" w:type="dxa"/>
            </w:tcMar>
            <w:vAlign w:val="center"/>
          </w:tcPr>
          <w:p>
            <w:pPr>
              <w:widowControl/>
              <w:spacing w:line="220" w:lineRule="exact"/>
              <w:jc w:val="center"/>
              <w:rPr>
                <w:color w:val="000000"/>
                <w:sz w:val="16"/>
                <w:szCs w:val="16"/>
              </w:rPr>
            </w:pPr>
          </w:p>
        </w:tc>
        <w:tc>
          <w:tcPr>
            <w:tcW w:w="96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时效指标</w:t>
            </w:r>
          </w:p>
        </w:tc>
        <w:tc>
          <w:tcPr>
            <w:tcW w:w="107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农作物病虫害防治组织实施时效</w:t>
            </w:r>
          </w:p>
        </w:tc>
        <w:tc>
          <w:tcPr>
            <w:tcW w:w="1268" w:type="dxa"/>
            <w:gridSpan w:val="2"/>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1458"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1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18"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05"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53"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586"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2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56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03"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54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3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22"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584"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c>
          <w:tcPr>
            <w:tcW w:w="607"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在农作物病虫害防控期及时组织实施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480" w:type="dxa"/>
            <w:vMerge w:val="continue"/>
            <w:tcMar>
              <w:top w:w="8" w:type="dxa"/>
              <w:left w:w="8" w:type="dxa"/>
              <w:right w:w="8" w:type="dxa"/>
            </w:tcMar>
            <w:vAlign w:val="center"/>
          </w:tcPr>
          <w:p>
            <w:pPr>
              <w:widowControl/>
              <w:spacing w:line="220" w:lineRule="exact"/>
              <w:jc w:val="center"/>
              <w:rPr>
                <w:rFonts w:eastAsia="宋体"/>
                <w:color w:val="000000"/>
                <w:sz w:val="16"/>
                <w:szCs w:val="16"/>
              </w:rPr>
            </w:pPr>
          </w:p>
        </w:tc>
        <w:tc>
          <w:tcPr>
            <w:tcW w:w="508" w:type="dxa"/>
            <w:vMerge w:val="restart"/>
            <w:tcMar>
              <w:top w:w="8" w:type="dxa"/>
              <w:left w:w="8" w:type="dxa"/>
              <w:right w:w="8" w:type="dxa"/>
            </w:tcMar>
            <w:vAlign w:val="center"/>
          </w:tcPr>
          <w:p>
            <w:pPr>
              <w:widowControl/>
              <w:spacing w:line="220" w:lineRule="exact"/>
              <w:jc w:val="center"/>
              <w:rPr>
                <w:color w:val="000000"/>
                <w:sz w:val="16"/>
                <w:szCs w:val="16"/>
              </w:rPr>
            </w:pPr>
            <w:r>
              <w:rPr>
                <w:color w:val="000000"/>
                <w:sz w:val="16"/>
                <w:szCs w:val="16"/>
              </w:rPr>
              <w:t>效益指标</w:t>
            </w:r>
          </w:p>
        </w:tc>
        <w:tc>
          <w:tcPr>
            <w:tcW w:w="963"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成本指标</w:t>
            </w:r>
          </w:p>
        </w:tc>
        <w:tc>
          <w:tcPr>
            <w:tcW w:w="1074"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采购物资或服务价格</w:t>
            </w:r>
          </w:p>
        </w:tc>
        <w:tc>
          <w:tcPr>
            <w:tcW w:w="1268" w:type="dxa"/>
            <w:gridSpan w:val="2"/>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不超过市场价格</w:t>
            </w:r>
          </w:p>
        </w:tc>
        <w:tc>
          <w:tcPr>
            <w:tcW w:w="145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1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1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05"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5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586"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不超过市场价格</w:t>
            </w:r>
          </w:p>
        </w:tc>
        <w:tc>
          <w:tcPr>
            <w:tcW w:w="62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56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0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54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3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22"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58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c>
          <w:tcPr>
            <w:tcW w:w="607"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不超过市场价格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jc w:val="center"/>
        </w:trPr>
        <w:tc>
          <w:tcPr>
            <w:tcW w:w="480" w:type="dxa"/>
            <w:vMerge w:val="continue"/>
            <w:tcMar>
              <w:top w:w="8" w:type="dxa"/>
              <w:left w:w="8" w:type="dxa"/>
              <w:right w:w="8" w:type="dxa"/>
            </w:tcMar>
            <w:vAlign w:val="center"/>
          </w:tcPr>
          <w:p>
            <w:pPr>
              <w:widowControl/>
              <w:spacing w:line="220" w:lineRule="exact"/>
              <w:jc w:val="center"/>
              <w:rPr>
                <w:color w:val="000000"/>
                <w:sz w:val="16"/>
                <w:szCs w:val="16"/>
              </w:rPr>
            </w:pPr>
          </w:p>
        </w:tc>
        <w:tc>
          <w:tcPr>
            <w:tcW w:w="508" w:type="dxa"/>
            <w:vMerge w:val="continue"/>
            <w:tcMar>
              <w:top w:w="8" w:type="dxa"/>
              <w:left w:w="8" w:type="dxa"/>
              <w:right w:w="8" w:type="dxa"/>
            </w:tcMar>
            <w:vAlign w:val="center"/>
          </w:tcPr>
          <w:p>
            <w:pPr>
              <w:widowControl/>
              <w:spacing w:line="220" w:lineRule="exact"/>
              <w:jc w:val="center"/>
              <w:rPr>
                <w:color w:val="000000"/>
                <w:sz w:val="16"/>
                <w:szCs w:val="16"/>
              </w:rPr>
            </w:pPr>
          </w:p>
        </w:tc>
        <w:tc>
          <w:tcPr>
            <w:tcW w:w="96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社会效益指标</w:t>
            </w:r>
          </w:p>
        </w:tc>
        <w:tc>
          <w:tcPr>
            <w:tcW w:w="107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防灾措施保障粮食安全和农业生产安全效果</w:t>
            </w:r>
          </w:p>
        </w:tc>
        <w:tc>
          <w:tcPr>
            <w:tcW w:w="126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145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1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18"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05"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5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586"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sz w:val="16"/>
                <w:szCs w:val="16"/>
              </w:rPr>
              <w:t>重发区域病虫害得到有效控制，农作物不出现大范围成灾绝收</w:t>
            </w:r>
          </w:p>
        </w:tc>
        <w:tc>
          <w:tcPr>
            <w:tcW w:w="62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56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03"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54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30"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22"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58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c>
          <w:tcPr>
            <w:tcW w:w="607"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重发区域病虫害得到有效控制，农作物不出现大范围成灾绝收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8" w:hRule="atLeast"/>
          <w:jc w:val="center"/>
        </w:trPr>
        <w:tc>
          <w:tcPr>
            <w:tcW w:w="480" w:type="dxa"/>
            <w:vMerge w:val="continue"/>
            <w:tcMar>
              <w:top w:w="8" w:type="dxa"/>
              <w:left w:w="8" w:type="dxa"/>
              <w:right w:w="8" w:type="dxa"/>
            </w:tcMar>
            <w:vAlign w:val="center"/>
          </w:tcPr>
          <w:p>
            <w:pPr>
              <w:widowControl/>
              <w:spacing w:line="220" w:lineRule="exact"/>
              <w:jc w:val="center"/>
              <w:rPr>
                <w:color w:val="000000"/>
                <w:sz w:val="16"/>
                <w:szCs w:val="16"/>
              </w:rPr>
            </w:pPr>
          </w:p>
        </w:tc>
        <w:tc>
          <w:tcPr>
            <w:tcW w:w="508" w:type="dxa"/>
            <w:vMerge w:val="continue"/>
            <w:tcMar>
              <w:top w:w="8" w:type="dxa"/>
              <w:left w:w="8" w:type="dxa"/>
              <w:right w:w="8" w:type="dxa"/>
            </w:tcMar>
            <w:vAlign w:val="center"/>
          </w:tcPr>
          <w:p>
            <w:pPr>
              <w:widowControl/>
              <w:spacing w:line="220" w:lineRule="exact"/>
              <w:jc w:val="center"/>
              <w:rPr>
                <w:color w:val="000000"/>
                <w:sz w:val="16"/>
                <w:szCs w:val="16"/>
              </w:rPr>
            </w:pPr>
          </w:p>
        </w:tc>
        <w:tc>
          <w:tcPr>
            <w:tcW w:w="963" w:type="dxa"/>
            <w:tcMar>
              <w:top w:w="8" w:type="dxa"/>
              <w:left w:w="8" w:type="dxa"/>
              <w:right w:w="8" w:type="dxa"/>
            </w:tcMar>
            <w:vAlign w:val="center"/>
          </w:tcPr>
          <w:p>
            <w:pPr>
              <w:widowControl/>
              <w:spacing w:line="220" w:lineRule="exact"/>
              <w:jc w:val="center"/>
              <w:textAlignment w:val="center"/>
              <w:rPr>
                <w:rFonts w:eastAsia="宋体"/>
                <w:color w:val="000000"/>
                <w:sz w:val="16"/>
                <w:szCs w:val="16"/>
              </w:rPr>
            </w:pPr>
            <w:r>
              <w:rPr>
                <w:color w:val="000000"/>
                <w:kern w:val="0"/>
                <w:sz w:val="16"/>
                <w:szCs w:val="16"/>
                <w:lang w:bidi="ar"/>
              </w:rPr>
              <w:t>可持续影响指标</w:t>
            </w:r>
          </w:p>
        </w:tc>
        <w:tc>
          <w:tcPr>
            <w:tcW w:w="1074"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有效保持重大病虫疫情灾情监测预警能力</w:t>
            </w:r>
          </w:p>
        </w:tc>
        <w:tc>
          <w:tcPr>
            <w:tcW w:w="1268" w:type="dxa"/>
            <w:gridSpan w:val="2"/>
            <w:tcMar>
              <w:top w:w="8" w:type="dxa"/>
              <w:left w:w="8" w:type="dxa"/>
              <w:right w:w="8" w:type="dxa"/>
            </w:tcMar>
            <w:vAlign w:val="center"/>
          </w:tcPr>
          <w:p>
            <w:pPr>
              <w:widowControl/>
              <w:spacing w:line="220" w:lineRule="exact"/>
              <w:jc w:val="center"/>
              <w:textAlignment w:val="center"/>
              <w:rPr>
                <w:color w:val="000000"/>
                <w:sz w:val="16"/>
                <w:szCs w:val="16"/>
              </w:rPr>
            </w:pPr>
            <w:r>
              <w:rPr>
                <w:color w:val="000000"/>
                <w:sz w:val="16"/>
                <w:szCs w:val="16"/>
              </w:rPr>
              <w:t>病虫害防控期内</w:t>
            </w:r>
          </w:p>
        </w:tc>
        <w:tc>
          <w:tcPr>
            <w:tcW w:w="1458"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1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18"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05"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53"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586"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sz w:val="16"/>
                <w:szCs w:val="16"/>
              </w:rPr>
              <w:t>病虫害防控期内</w:t>
            </w:r>
          </w:p>
        </w:tc>
        <w:tc>
          <w:tcPr>
            <w:tcW w:w="62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56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03"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54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30"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22"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584"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c>
          <w:tcPr>
            <w:tcW w:w="607" w:type="dxa"/>
            <w:tcMar>
              <w:top w:w="8" w:type="dxa"/>
              <w:left w:w="8" w:type="dxa"/>
              <w:right w:w="8" w:type="dxa"/>
            </w:tcMar>
            <w:vAlign w:val="center"/>
          </w:tcPr>
          <w:p>
            <w:pPr>
              <w:widowControl/>
              <w:spacing w:line="220" w:lineRule="exact"/>
              <w:jc w:val="center"/>
              <w:textAlignment w:val="center"/>
              <w:rPr>
                <w:color w:val="000000"/>
                <w:kern w:val="0"/>
                <w:sz w:val="13"/>
                <w:szCs w:val="13"/>
                <w:lang w:bidi="ar"/>
              </w:rPr>
            </w:pPr>
            <w:r>
              <w:rPr>
                <w:color w:val="000000"/>
                <w:sz w:val="16"/>
                <w:szCs w:val="16"/>
              </w:rPr>
              <w:t>病虫害防控期内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8" w:hRule="atLeast"/>
          <w:jc w:val="center"/>
        </w:trPr>
        <w:tc>
          <w:tcPr>
            <w:tcW w:w="480" w:type="dxa"/>
            <w:vMerge w:val="continue"/>
            <w:tcMar>
              <w:top w:w="8" w:type="dxa"/>
              <w:left w:w="8" w:type="dxa"/>
              <w:right w:w="8" w:type="dxa"/>
            </w:tcMar>
            <w:vAlign w:val="center"/>
          </w:tcPr>
          <w:p>
            <w:pPr>
              <w:widowControl/>
              <w:spacing w:line="220" w:lineRule="exact"/>
              <w:jc w:val="center"/>
              <w:rPr>
                <w:color w:val="000000"/>
                <w:sz w:val="16"/>
                <w:szCs w:val="16"/>
              </w:rPr>
            </w:pPr>
          </w:p>
        </w:tc>
        <w:tc>
          <w:tcPr>
            <w:tcW w:w="508" w:type="dxa"/>
            <w:tcMar>
              <w:top w:w="8" w:type="dxa"/>
              <w:left w:w="8" w:type="dxa"/>
              <w:right w:w="8" w:type="dxa"/>
            </w:tcMar>
            <w:vAlign w:val="center"/>
          </w:tcPr>
          <w:p>
            <w:pPr>
              <w:widowControl/>
              <w:spacing w:line="220" w:lineRule="exact"/>
              <w:jc w:val="center"/>
              <w:rPr>
                <w:rFonts w:eastAsia="宋体"/>
                <w:color w:val="000000"/>
                <w:sz w:val="16"/>
                <w:szCs w:val="16"/>
              </w:rPr>
            </w:pPr>
            <w:r>
              <w:rPr>
                <w:color w:val="000000"/>
                <w:sz w:val="16"/>
                <w:szCs w:val="16"/>
              </w:rPr>
              <w:t>满意度调查</w:t>
            </w:r>
          </w:p>
        </w:tc>
        <w:tc>
          <w:tcPr>
            <w:tcW w:w="963"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技术指导对象满意度指标</w:t>
            </w:r>
          </w:p>
        </w:tc>
        <w:tc>
          <w:tcPr>
            <w:tcW w:w="1074"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受灾农民或防治服务组织满意度</w:t>
            </w:r>
          </w:p>
        </w:tc>
        <w:tc>
          <w:tcPr>
            <w:tcW w:w="1268" w:type="dxa"/>
            <w:gridSpan w:val="2"/>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≥85%</w:t>
            </w:r>
          </w:p>
        </w:tc>
        <w:tc>
          <w:tcPr>
            <w:tcW w:w="1458"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≥85%</w:t>
            </w:r>
          </w:p>
        </w:tc>
        <w:tc>
          <w:tcPr>
            <w:tcW w:w="61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≥85%</w:t>
            </w:r>
          </w:p>
        </w:tc>
        <w:tc>
          <w:tcPr>
            <w:tcW w:w="618"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605"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653"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586"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58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≥85%</w:t>
            </w:r>
          </w:p>
        </w:tc>
        <w:tc>
          <w:tcPr>
            <w:tcW w:w="620" w:type="dxa"/>
            <w:tcMar>
              <w:top w:w="8" w:type="dxa"/>
              <w:left w:w="8" w:type="dxa"/>
              <w:right w:w="8" w:type="dxa"/>
            </w:tcMar>
            <w:vAlign w:val="center"/>
          </w:tcPr>
          <w:p>
            <w:pPr>
              <w:widowControl/>
              <w:spacing w:line="220" w:lineRule="exact"/>
              <w:jc w:val="center"/>
              <w:textAlignment w:val="center"/>
              <w:rPr>
                <w:rFonts w:eastAsia="宋体"/>
                <w:color w:val="000000"/>
                <w:kern w:val="0"/>
                <w:sz w:val="16"/>
                <w:szCs w:val="16"/>
                <w:lang w:bidi="ar"/>
              </w:rPr>
            </w:pPr>
            <w:r>
              <w:rPr>
                <w:color w:val="000000"/>
                <w:kern w:val="0"/>
                <w:sz w:val="16"/>
                <w:szCs w:val="16"/>
                <w:lang w:bidi="ar"/>
              </w:rPr>
              <w:t>≥85%</w:t>
            </w:r>
          </w:p>
        </w:tc>
        <w:tc>
          <w:tcPr>
            <w:tcW w:w="560"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603"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540"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630"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622"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584" w:type="dxa"/>
            <w:tcMar>
              <w:top w:w="8" w:type="dxa"/>
              <w:left w:w="8" w:type="dxa"/>
              <w:right w:w="8" w:type="dxa"/>
            </w:tcMar>
            <w:vAlign w:val="center"/>
          </w:tcPr>
          <w:p>
            <w:pPr>
              <w:widowControl/>
              <w:spacing w:line="220" w:lineRule="exact"/>
              <w:jc w:val="center"/>
              <w:textAlignment w:val="center"/>
              <w:rPr>
                <w:rFonts w:eastAsia="宋体"/>
                <w:color w:val="000000"/>
                <w:kern w:val="0"/>
                <w:sz w:val="13"/>
                <w:szCs w:val="13"/>
                <w:lang w:bidi="ar"/>
              </w:rPr>
            </w:pPr>
            <w:r>
              <w:rPr>
                <w:color w:val="000000"/>
                <w:kern w:val="0"/>
                <w:sz w:val="16"/>
                <w:szCs w:val="16"/>
                <w:lang w:bidi="ar"/>
              </w:rPr>
              <w:t>≥85%</w:t>
            </w:r>
          </w:p>
        </w:tc>
        <w:tc>
          <w:tcPr>
            <w:tcW w:w="607" w:type="dxa"/>
            <w:tcMar>
              <w:top w:w="8" w:type="dxa"/>
              <w:left w:w="8" w:type="dxa"/>
              <w:right w:w="8" w:type="dxa"/>
            </w:tcMar>
            <w:vAlign w:val="center"/>
          </w:tcPr>
          <w:p>
            <w:pPr>
              <w:widowControl/>
              <w:spacing w:line="220" w:lineRule="exact"/>
              <w:jc w:val="center"/>
              <w:textAlignment w:val="center"/>
              <w:rPr>
                <w:color w:val="000000"/>
                <w:sz w:val="16"/>
                <w:szCs w:val="16"/>
              </w:rPr>
            </w:pPr>
            <w:r>
              <w:rPr>
                <w:color w:val="000000"/>
                <w:kern w:val="0"/>
                <w:sz w:val="16"/>
                <w:szCs w:val="16"/>
                <w:lang w:bidi="ar"/>
              </w:rPr>
              <w:t>≥85%</w:t>
            </w:r>
          </w:p>
        </w:tc>
      </w:tr>
    </w:tbl>
    <w:p>
      <w:pPr>
        <w:rPr>
          <w:rFonts w:ascii="Times New Roman" w:hAnsi="Times New Roman" w:eastAsia="仿宋_GB2312"/>
          <w:b/>
          <w:bCs/>
          <w:sz w:val="22"/>
        </w:rPr>
      </w:pPr>
      <w:r>
        <w:rPr>
          <w:rFonts w:ascii="Times New Roman" w:hAnsi="Times New Roman" w:eastAsia="仿宋_GB2312"/>
          <w:b/>
          <w:bCs/>
          <w:sz w:val="22"/>
        </w:rPr>
        <w:br w:type="page"/>
      </w:r>
    </w:p>
    <w:p>
      <w:pPr>
        <w:pStyle w:val="18"/>
        <w:spacing w:line="560" w:lineRule="exact"/>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w:t>
      </w:r>
      <w:r>
        <w:rPr>
          <w:rFonts w:hint="eastAsia" w:ascii="Times New Roman" w:hAnsi="Times New Roman" w:eastAsia="仿宋_GB2312"/>
          <w:b/>
          <w:bCs/>
          <w:sz w:val="22"/>
        </w:rPr>
        <w:t>中央农业防灾减灾和水利救灾资金(第十四批）</w:t>
      </w:r>
      <w:r>
        <w:rPr>
          <w:rFonts w:hint="eastAsia" w:ascii="Times New Roman" w:hAnsi="Times New Roman" w:eastAsia="仿宋_GB2312"/>
          <w:b/>
          <w:bCs/>
          <w:sz w:val="22"/>
          <w:lang w:val="en-US" w:eastAsia="zh-CN"/>
        </w:rPr>
        <w:t>项目</w:t>
      </w:r>
      <w:r>
        <w:rPr>
          <w:rFonts w:hint="eastAsia" w:ascii="Times New Roman" w:hAnsi="Times New Roman" w:eastAsia="仿宋_GB2312"/>
          <w:b/>
          <w:bCs/>
          <w:sz w:val="22"/>
        </w:rPr>
        <w:t>区域绩效目标表</w:t>
      </w:r>
    </w:p>
    <w:tbl>
      <w:tblPr>
        <w:tblStyle w:val="14"/>
        <w:tblW w:w="15308" w:type="dxa"/>
        <w:jc w:val="center"/>
        <w:tblLayout w:type="fixed"/>
        <w:tblCellMar>
          <w:top w:w="0" w:type="dxa"/>
          <w:left w:w="108" w:type="dxa"/>
          <w:bottom w:w="0" w:type="dxa"/>
          <w:right w:w="108" w:type="dxa"/>
        </w:tblCellMar>
      </w:tblPr>
      <w:tblGrid>
        <w:gridCol w:w="456"/>
        <w:gridCol w:w="489"/>
        <w:gridCol w:w="391"/>
        <w:gridCol w:w="487"/>
        <w:gridCol w:w="374"/>
        <w:gridCol w:w="570"/>
        <w:gridCol w:w="328"/>
        <w:gridCol w:w="947"/>
        <w:gridCol w:w="953"/>
        <w:gridCol w:w="668"/>
        <w:gridCol w:w="594"/>
        <w:gridCol w:w="640"/>
        <w:gridCol w:w="585"/>
        <w:gridCol w:w="594"/>
        <w:gridCol w:w="536"/>
        <w:gridCol w:w="594"/>
        <w:gridCol w:w="594"/>
        <w:gridCol w:w="594"/>
        <w:gridCol w:w="671"/>
        <w:gridCol w:w="653"/>
        <w:gridCol w:w="637"/>
        <w:gridCol w:w="616"/>
        <w:gridCol w:w="787"/>
        <w:gridCol w:w="806"/>
        <w:gridCol w:w="744"/>
      </w:tblGrid>
      <w:tr>
        <w:tblPrEx>
          <w:tblCellMar>
            <w:top w:w="0" w:type="dxa"/>
            <w:left w:w="108" w:type="dxa"/>
            <w:bottom w:w="0" w:type="dxa"/>
            <w:right w:w="108" w:type="dxa"/>
          </w:tblCellMar>
        </w:tblPrEx>
        <w:trPr>
          <w:trHeight w:val="242" w:hRule="atLeast"/>
          <w:jc w:val="center"/>
        </w:trPr>
        <w:tc>
          <w:tcPr>
            <w:tcW w:w="94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专项（项目）名称</w:t>
            </w:r>
          </w:p>
        </w:tc>
        <w:tc>
          <w:tcPr>
            <w:tcW w:w="3097"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农业防灾救灾和水利救灾资金</w:t>
            </w:r>
          </w:p>
        </w:tc>
        <w:tc>
          <w:tcPr>
            <w:tcW w:w="95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全区</w:t>
            </w:r>
          </w:p>
        </w:tc>
        <w:tc>
          <w:tcPr>
            <w:tcW w:w="8763" w:type="dxa"/>
            <w:gridSpan w:val="14"/>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地州</w:t>
            </w:r>
          </w:p>
        </w:tc>
        <w:tc>
          <w:tcPr>
            <w:tcW w:w="806"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畜牧科学院</w:t>
            </w:r>
          </w:p>
        </w:tc>
        <w:tc>
          <w:tcPr>
            <w:tcW w:w="744"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自治区动物疾病预防控制中心</w:t>
            </w:r>
          </w:p>
        </w:tc>
      </w:tr>
      <w:tr>
        <w:tblPrEx>
          <w:tblCellMar>
            <w:top w:w="0" w:type="dxa"/>
            <w:left w:w="108" w:type="dxa"/>
            <w:bottom w:w="0" w:type="dxa"/>
            <w:right w:w="108" w:type="dxa"/>
          </w:tblCellMar>
        </w:tblPrEx>
        <w:trPr>
          <w:trHeight w:val="360" w:hRule="atLeast"/>
          <w:jc w:val="center"/>
        </w:trPr>
        <w:tc>
          <w:tcPr>
            <w:tcW w:w="94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中央主管部门</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农业农村部</w:t>
            </w:r>
          </w:p>
        </w:tc>
        <w:tc>
          <w:tcPr>
            <w:tcW w:w="9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专项实施期</w:t>
            </w:r>
          </w:p>
        </w:tc>
        <w:tc>
          <w:tcPr>
            <w:tcW w:w="127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长期</w:t>
            </w:r>
          </w:p>
        </w:tc>
        <w:tc>
          <w:tcPr>
            <w:tcW w:w="953"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rPr>
                <w:rFonts w:hint="eastAsia" w:ascii="宋体" w:hAnsi="宋体" w:eastAsia="宋体" w:cs="宋体"/>
                <w:color w:val="000000"/>
                <w:sz w:val="12"/>
                <w:szCs w:val="12"/>
              </w:rPr>
            </w:pP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乌鲁木齐市</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伊犁州直</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塔城地区</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阿勒泰地区</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克拉玛依市</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博州</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昌吉州</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哈密市</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吐鲁番市</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巴州</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阿克苏地区</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克州</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喀什地区</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和田地区</w:t>
            </w:r>
          </w:p>
        </w:tc>
        <w:tc>
          <w:tcPr>
            <w:tcW w:w="80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74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20" w:hRule="atLeast"/>
          <w:jc w:val="center"/>
        </w:trPr>
        <w:tc>
          <w:tcPr>
            <w:tcW w:w="94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省级财政部门</w:t>
            </w:r>
          </w:p>
        </w:tc>
        <w:tc>
          <w:tcPr>
            <w:tcW w:w="87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新疆维吾尔自治区财政厅</w:t>
            </w:r>
          </w:p>
        </w:tc>
        <w:tc>
          <w:tcPr>
            <w:tcW w:w="944"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省级主管部门</w:t>
            </w:r>
          </w:p>
        </w:tc>
        <w:tc>
          <w:tcPr>
            <w:tcW w:w="1275" w:type="dxa"/>
            <w:gridSpan w:val="2"/>
            <w:vMerge w:val="restart"/>
            <w:tcBorders>
              <w:top w:val="single" w:color="000000" w:sz="4" w:space="0"/>
              <w:left w:val="single" w:color="000000" w:sz="4" w:space="0"/>
              <w:bottom w:val="single" w:color="000000" w:sz="4" w:space="0"/>
              <w:right w:val="nil"/>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新疆维吾尔自治区农业农村厅</w:t>
            </w:r>
          </w:p>
        </w:tc>
        <w:tc>
          <w:tcPr>
            <w:tcW w:w="95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合计</w:t>
            </w:r>
          </w:p>
        </w:tc>
        <w:tc>
          <w:tcPr>
            <w:tcW w:w="8763" w:type="dxa"/>
            <w:gridSpan w:val="14"/>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各地州市：财政局、农业农村局（畜牧兽医局）</w:t>
            </w:r>
          </w:p>
        </w:tc>
        <w:tc>
          <w:tcPr>
            <w:tcW w:w="80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74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20" w:hRule="atLeast"/>
          <w:jc w:val="center"/>
        </w:trPr>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7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1275" w:type="dxa"/>
            <w:gridSpan w:val="2"/>
            <w:vMerge w:val="continue"/>
            <w:tcBorders>
              <w:top w:val="single" w:color="000000" w:sz="4" w:space="0"/>
              <w:left w:val="single" w:color="000000" w:sz="4" w:space="0"/>
              <w:bottom w:val="single" w:color="000000" w:sz="4" w:space="0"/>
              <w:right w:val="nil"/>
            </w:tcBorders>
            <w:vAlign w:val="center"/>
          </w:tcPr>
          <w:p>
            <w:pPr>
              <w:widowControl/>
              <w:spacing w:line="160" w:lineRule="exact"/>
              <w:jc w:val="center"/>
              <w:rPr>
                <w:rFonts w:hint="eastAsia" w:ascii="宋体" w:hAnsi="宋体" w:eastAsia="宋体" w:cs="宋体"/>
                <w:color w:val="000000"/>
                <w:sz w:val="12"/>
                <w:szCs w:val="12"/>
              </w:rPr>
            </w:pPr>
          </w:p>
        </w:tc>
        <w:tc>
          <w:tcPr>
            <w:tcW w:w="953"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763" w:type="dxa"/>
            <w:gridSpan w:val="14"/>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0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74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242" w:hRule="atLeast"/>
          <w:jc w:val="center"/>
        </w:trPr>
        <w:tc>
          <w:tcPr>
            <w:tcW w:w="456" w:type="dxa"/>
            <w:tcBorders>
              <w:top w:val="single" w:color="000000" w:sz="4" w:space="0"/>
              <w:left w:val="single" w:color="000000" w:sz="4" w:space="0"/>
              <w:bottom w:val="single" w:color="000000" w:sz="4" w:space="0"/>
              <w:right w:val="single" w:color="000000" w:sz="4" w:space="0"/>
            </w:tcBorders>
          </w:tcPr>
          <w:p>
            <w:pPr>
              <w:widowControl/>
              <w:spacing w:line="160" w:lineRule="exact"/>
              <w:jc w:val="center"/>
              <w:textAlignment w:val="top"/>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资金情况</w:t>
            </w:r>
          </w:p>
        </w:tc>
        <w:tc>
          <w:tcPr>
            <w:tcW w:w="880" w:type="dxa"/>
            <w:gridSpan w:val="2"/>
            <w:tcBorders>
              <w:top w:val="single" w:color="000000" w:sz="4" w:space="0"/>
              <w:left w:val="single" w:color="000000" w:sz="4" w:space="0"/>
              <w:bottom w:val="single" w:color="000000" w:sz="4" w:space="0"/>
              <w:right w:val="single" w:color="000000" w:sz="4" w:space="0"/>
            </w:tcBorders>
          </w:tcPr>
          <w:p>
            <w:pPr>
              <w:widowControl/>
              <w:spacing w:line="160" w:lineRule="exact"/>
              <w:jc w:val="center"/>
              <w:textAlignment w:val="top"/>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年度金额总额</w:t>
            </w:r>
          </w:p>
        </w:tc>
        <w:tc>
          <w:tcPr>
            <w:tcW w:w="270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9820</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9820</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1462</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801</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942</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43</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348</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445</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215</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110</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677</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979</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845</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1698</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785</w:t>
            </w:r>
          </w:p>
        </w:tc>
        <w:tc>
          <w:tcPr>
            <w:tcW w:w="806"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130</w:t>
            </w:r>
          </w:p>
        </w:tc>
        <w:tc>
          <w:tcPr>
            <w:tcW w:w="744"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200</w:t>
            </w:r>
          </w:p>
        </w:tc>
      </w:tr>
      <w:tr>
        <w:tblPrEx>
          <w:tblCellMar>
            <w:top w:w="0" w:type="dxa"/>
            <w:left w:w="108" w:type="dxa"/>
            <w:bottom w:w="0" w:type="dxa"/>
            <w:right w:w="108" w:type="dxa"/>
          </w:tblCellMar>
        </w:tblPrEx>
        <w:trPr>
          <w:trHeight w:val="242"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（万元）</w:t>
            </w:r>
          </w:p>
        </w:tc>
        <w:tc>
          <w:tcPr>
            <w:tcW w:w="880" w:type="dxa"/>
            <w:gridSpan w:val="2"/>
            <w:tcBorders>
              <w:top w:val="single" w:color="000000" w:sz="4" w:space="0"/>
              <w:left w:val="single" w:color="000000" w:sz="4" w:space="0"/>
              <w:bottom w:val="single" w:color="000000" w:sz="4" w:space="0"/>
              <w:right w:val="single" w:color="000000" w:sz="4" w:space="0"/>
            </w:tcBorders>
          </w:tcPr>
          <w:p>
            <w:pPr>
              <w:widowControl/>
              <w:spacing w:line="160" w:lineRule="exact"/>
              <w:textAlignment w:val="top"/>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其中：中央补助</w:t>
            </w:r>
          </w:p>
        </w:tc>
        <w:tc>
          <w:tcPr>
            <w:tcW w:w="270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9820</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9820</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1462</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801</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942</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43</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348</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445</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215</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110</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677</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979</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845</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1698</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785</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130</w:t>
            </w:r>
          </w:p>
        </w:tc>
        <w:tc>
          <w:tcPr>
            <w:tcW w:w="744"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200</w:t>
            </w:r>
          </w:p>
        </w:tc>
      </w:tr>
      <w:tr>
        <w:tblPrEx>
          <w:tblCellMar>
            <w:top w:w="0" w:type="dxa"/>
            <w:left w:w="108" w:type="dxa"/>
            <w:bottom w:w="0" w:type="dxa"/>
            <w:right w:w="108" w:type="dxa"/>
          </w:tblCellMar>
        </w:tblPrEx>
        <w:trPr>
          <w:trHeight w:val="125" w:hRule="atLeast"/>
          <w:jc w:val="center"/>
        </w:trPr>
        <w:tc>
          <w:tcPr>
            <w:tcW w:w="456" w:type="dxa"/>
            <w:tcBorders>
              <w:top w:val="single" w:color="000000" w:sz="4" w:space="0"/>
              <w:left w:val="single" w:color="000000" w:sz="4" w:space="0"/>
              <w:bottom w:val="single" w:color="000000" w:sz="4" w:space="0"/>
              <w:right w:val="single" w:color="000000" w:sz="4" w:space="0"/>
            </w:tcBorders>
          </w:tcPr>
          <w:p>
            <w:pPr>
              <w:widowControl/>
              <w:spacing w:line="160" w:lineRule="exact"/>
              <w:rPr>
                <w:rFonts w:hint="eastAsia" w:ascii="宋体" w:hAnsi="宋体" w:eastAsia="宋体" w:cs="宋体"/>
                <w:color w:val="000000"/>
                <w:sz w:val="12"/>
                <w:szCs w:val="12"/>
              </w:rPr>
            </w:pPr>
          </w:p>
        </w:tc>
        <w:tc>
          <w:tcPr>
            <w:tcW w:w="88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地方资金</w:t>
            </w:r>
          </w:p>
        </w:tc>
        <w:tc>
          <w:tcPr>
            <w:tcW w:w="2706" w:type="dxa"/>
            <w:gridSpan w:val="5"/>
            <w:tcBorders>
              <w:top w:val="single" w:color="000000" w:sz="4" w:space="0"/>
              <w:left w:val="single" w:color="000000" w:sz="4" w:space="0"/>
              <w:bottom w:val="single" w:color="000000" w:sz="4" w:space="0"/>
              <w:right w:val="single" w:color="000000" w:sz="4" w:space="0"/>
            </w:tcBorders>
            <w:vAlign w:val="bottom"/>
          </w:tcPr>
          <w:p>
            <w:pPr>
              <w:widowControl/>
              <w:spacing w:line="160" w:lineRule="exact"/>
              <w:rPr>
                <w:rFonts w:hint="eastAsia" w:ascii="等线" w:hAnsi="等线" w:eastAsia="等线" w:cs="等线"/>
                <w:color w:val="000000"/>
                <w:sz w:val="12"/>
                <w:szCs w:val="12"/>
              </w:rPr>
            </w:pPr>
          </w:p>
        </w:tc>
        <w:tc>
          <w:tcPr>
            <w:tcW w:w="953" w:type="dxa"/>
            <w:tcBorders>
              <w:top w:val="single" w:color="000000" w:sz="4" w:space="0"/>
              <w:left w:val="single" w:color="000000" w:sz="4" w:space="0"/>
              <w:bottom w:val="single" w:color="000000" w:sz="4" w:space="0"/>
              <w:right w:val="single" w:color="000000" w:sz="4" w:space="0"/>
            </w:tcBorders>
            <w:vAlign w:val="bottom"/>
          </w:tcPr>
          <w:p>
            <w:pPr>
              <w:widowControl/>
              <w:spacing w:line="160" w:lineRule="exact"/>
              <w:jc w:val="center"/>
              <w:rPr>
                <w:rFonts w:hint="eastAsia" w:ascii="等线" w:hAnsi="等线" w:eastAsia="等线" w:cs="等线"/>
                <w:color w:val="000000"/>
                <w:sz w:val="12"/>
                <w:szCs w:val="12"/>
              </w:rPr>
            </w:pP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rPr>
                <w:rFonts w:hint="eastAsia" w:ascii="宋体" w:hAnsi="宋体" w:eastAsia="宋体" w:cs="宋体"/>
                <w:color w:val="000000"/>
                <w:sz w:val="12"/>
                <w:szCs w:val="12"/>
              </w:rPr>
            </w:pPr>
          </w:p>
        </w:tc>
        <w:tc>
          <w:tcPr>
            <w:tcW w:w="744"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242"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年度目标</w:t>
            </w:r>
          </w:p>
        </w:tc>
        <w:tc>
          <w:tcPr>
            <w:tcW w:w="3586"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160" w:lineRule="exac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通过使用救灾资金，调运和储备饲草料，减少灾害损失，确保全年畜牧业生产稳定。</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rPr>
                <w:rFonts w:hint="eastAsia" w:ascii="宋体" w:hAnsi="宋体" w:eastAsia="宋体" w:cs="宋体"/>
                <w:color w:val="000000"/>
                <w:sz w:val="12"/>
                <w:szCs w:val="12"/>
              </w:rPr>
            </w:pPr>
          </w:p>
        </w:tc>
        <w:tc>
          <w:tcPr>
            <w:tcW w:w="744"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242"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绩效指标</w:t>
            </w:r>
          </w:p>
        </w:tc>
        <w:tc>
          <w:tcPr>
            <w:tcW w:w="88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一级指标</w:t>
            </w: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二级指标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三级指标</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年度指标值</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ascii="Arial" w:hAnsi="Arial" w:eastAsia="宋体" w:cs="Arial"/>
                <w:color w:val="000000"/>
                <w:sz w:val="12"/>
                <w:szCs w:val="12"/>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rPr>
                <w:rFonts w:hint="eastAsia" w:ascii="宋体" w:hAnsi="宋体" w:eastAsia="宋体" w:cs="宋体"/>
                <w:color w:val="000000"/>
                <w:sz w:val="12"/>
                <w:szCs w:val="12"/>
              </w:rPr>
            </w:pPr>
          </w:p>
        </w:tc>
        <w:tc>
          <w:tcPr>
            <w:tcW w:w="744"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产</w:t>
            </w:r>
            <w:r>
              <w:rPr>
                <w:rFonts w:hint="eastAsia" w:ascii="宋体" w:hAnsi="宋体" w:eastAsia="宋体" w:cs="宋体"/>
                <w:color w:val="000000"/>
                <w:kern w:val="0"/>
                <w:sz w:val="12"/>
                <w:szCs w:val="12"/>
                <w:lang w:bidi="ar"/>
              </w:rPr>
              <w:br w:type="textWrapping"/>
            </w:r>
            <w:r>
              <w:rPr>
                <w:rFonts w:hint="eastAsia" w:ascii="宋体" w:hAnsi="宋体" w:eastAsia="宋体" w:cs="宋体"/>
                <w:color w:val="000000"/>
                <w:kern w:val="0"/>
                <w:sz w:val="12"/>
                <w:szCs w:val="12"/>
                <w:lang w:bidi="ar"/>
              </w:rPr>
              <w:t>出</w:t>
            </w:r>
            <w:r>
              <w:rPr>
                <w:rFonts w:hint="eastAsia" w:ascii="宋体" w:hAnsi="宋体" w:eastAsia="宋体" w:cs="宋体"/>
                <w:color w:val="000000"/>
                <w:kern w:val="0"/>
                <w:sz w:val="12"/>
                <w:szCs w:val="12"/>
                <w:lang w:bidi="ar"/>
              </w:rPr>
              <w:br w:type="textWrapping"/>
            </w:r>
            <w:r>
              <w:rPr>
                <w:rFonts w:hint="eastAsia" w:ascii="宋体" w:hAnsi="宋体" w:eastAsia="宋体" w:cs="宋体"/>
                <w:color w:val="000000"/>
                <w:kern w:val="0"/>
                <w:sz w:val="12"/>
                <w:szCs w:val="12"/>
                <w:lang w:bidi="ar"/>
              </w:rPr>
              <w:t>指</w:t>
            </w:r>
            <w:r>
              <w:rPr>
                <w:rFonts w:hint="eastAsia" w:ascii="宋体" w:hAnsi="宋体" w:eastAsia="宋体" w:cs="宋体"/>
                <w:color w:val="000000"/>
                <w:kern w:val="0"/>
                <w:sz w:val="12"/>
                <w:szCs w:val="12"/>
                <w:lang w:bidi="ar"/>
              </w:rPr>
              <w:br w:type="textWrapping"/>
            </w:r>
            <w:r>
              <w:rPr>
                <w:rFonts w:hint="eastAsia" w:ascii="宋体" w:hAnsi="宋体" w:eastAsia="宋体" w:cs="宋体"/>
                <w:color w:val="000000"/>
                <w:kern w:val="0"/>
                <w:sz w:val="12"/>
                <w:szCs w:val="12"/>
                <w:lang w:bidi="ar"/>
              </w:rPr>
              <w:t>标</w:t>
            </w: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数量指标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调运和储备饲草料</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≥55万吨</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≥55万吨</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≥0.85万吨</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≥9.07万吨</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≥4.3万吨</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≥5.4万吨</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≥0.13万吨</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≥1.7万吨</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≥3.6万吨</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≥1.13万吨</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≥0.7万吨</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≥3.95万吨</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≥7.52万吨</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≥2.7万吨</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≥9.7万吨</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≥4.24万吨</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≥0.01万吨</w:t>
            </w:r>
          </w:p>
        </w:tc>
        <w:tc>
          <w:tcPr>
            <w:tcW w:w="744" w:type="dxa"/>
            <w:tcBorders>
              <w:top w:val="single" w:color="000000" w:sz="4" w:space="0"/>
              <w:left w:val="single" w:color="000000" w:sz="4" w:space="0"/>
              <w:bottom w:val="single" w:color="000000" w:sz="4" w:space="0"/>
              <w:right w:val="single" w:color="000000" w:sz="4" w:space="0"/>
            </w:tcBorders>
            <w:noWrap/>
            <w:vAlign w:val="center"/>
          </w:tcPr>
          <w:p>
            <w:pPr>
              <w:widowControl/>
              <w:spacing w:line="160" w:lineRule="exact"/>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477"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质量指标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用于农业生产救灾相关支出的比例</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r>
      <w:tr>
        <w:tblPrEx>
          <w:tblCellMar>
            <w:top w:w="0" w:type="dxa"/>
            <w:left w:w="108" w:type="dxa"/>
            <w:bottom w:w="0" w:type="dxa"/>
            <w:right w:w="108" w:type="dxa"/>
          </w:tblCellMar>
        </w:tblPrEx>
        <w:trPr>
          <w:trHeight w:val="594"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时效指标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救灾资金下达到省6个月内预算执行率（%）</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≥80%</w:t>
            </w:r>
          </w:p>
        </w:tc>
      </w:tr>
      <w:tr>
        <w:tblPrEx>
          <w:tblCellMar>
            <w:top w:w="0" w:type="dxa"/>
            <w:left w:w="108" w:type="dxa"/>
            <w:bottom w:w="0" w:type="dxa"/>
            <w:right w:w="108" w:type="dxa"/>
          </w:tblCellMar>
        </w:tblPrEx>
        <w:trPr>
          <w:trHeight w:val="477"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成本指标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采购物资或服务价格</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不超过市场价格</w:t>
            </w:r>
          </w:p>
        </w:tc>
      </w:tr>
      <w:tr>
        <w:tblPrEx>
          <w:tblCellMar>
            <w:top w:w="0" w:type="dxa"/>
            <w:left w:w="108" w:type="dxa"/>
            <w:bottom w:w="0" w:type="dxa"/>
            <w:right w:w="108" w:type="dxa"/>
          </w:tblCellMar>
        </w:tblPrEx>
        <w:trPr>
          <w:trHeight w:val="712"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效</w:t>
            </w:r>
            <w:r>
              <w:rPr>
                <w:rFonts w:hint="eastAsia" w:ascii="宋体" w:hAnsi="宋体" w:eastAsia="宋体" w:cs="宋体"/>
                <w:color w:val="000000"/>
                <w:kern w:val="0"/>
                <w:sz w:val="12"/>
                <w:szCs w:val="12"/>
                <w:lang w:bidi="ar"/>
              </w:rPr>
              <w:br w:type="textWrapping"/>
            </w:r>
            <w:r>
              <w:rPr>
                <w:rFonts w:hint="eastAsia" w:ascii="宋体" w:hAnsi="宋体" w:eastAsia="宋体" w:cs="宋体"/>
                <w:color w:val="000000"/>
                <w:kern w:val="0"/>
                <w:sz w:val="12"/>
                <w:szCs w:val="12"/>
                <w:lang w:bidi="ar"/>
              </w:rPr>
              <w:t>益</w:t>
            </w:r>
            <w:r>
              <w:rPr>
                <w:rFonts w:hint="eastAsia" w:ascii="宋体" w:hAnsi="宋体" w:eastAsia="宋体" w:cs="宋体"/>
                <w:color w:val="000000"/>
                <w:kern w:val="0"/>
                <w:sz w:val="12"/>
                <w:szCs w:val="12"/>
                <w:lang w:bidi="ar"/>
              </w:rPr>
              <w:br w:type="textWrapping"/>
            </w:r>
            <w:r>
              <w:rPr>
                <w:rFonts w:hint="eastAsia" w:ascii="宋体" w:hAnsi="宋体" w:eastAsia="宋体" w:cs="宋体"/>
                <w:color w:val="000000"/>
                <w:kern w:val="0"/>
                <w:sz w:val="12"/>
                <w:szCs w:val="12"/>
                <w:lang w:bidi="ar"/>
              </w:rPr>
              <w:t>指</w:t>
            </w:r>
            <w:r>
              <w:rPr>
                <w:rFonts w:hint="eastAsia" w:ascii="宋体" w:hAnsi="宋体" w:eastAsia="宋体" w:cs="宋体"/>
                <w:color w:val="000000"/>
                <w:kern w:val="0"/>
                <w:sz w:val="12"/>
                <w:szCs w:val="12"/>
                <w:lang w:bidi="ar"/>
              </w:rPr>
              <w:br w:type="textWrapping"/>
            </w:r>
            <w:r>
              <w:rPr>
                <w:rFonts w:hint="eastAsia" w:ascii="宋体" w:hAnsi="宋体" w:eastAsia="宋体" w:cs="宋体"/>
                <w:color w:val="000000"/>
                <w:kern w:val="0"/>
                <w:sz w:val="12"/>
                <w:szCs w:val="12"/>
                <w:lang w:bidi="ar"/>
              </w:rPr>
              <w:t>标</w:t>
            </w: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经济效益指标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受灾地区主要牲畜存栏量减幅</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重灾区少减产、轻灾区不减产</w:t>
            </w:r>
          </w:p>
        </w:tc>
      </w:tr>
      <w:tr>
        <w:tblPrEx>
          <w:tblCellMar>
            <w:top w:w="0" w:type="dxa"/>
            <w:left w:w="108" w:type="dxa"/>
            <w:bottom w:w="0" w:type="dxa"/>
            <w:right w:w="108" w:type="dxa"/>
          </w:tblCellMar>
        </w:tblPrEx>
        <w:trPr>
          <w:trHeight w:val="3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社会效益指标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灾区畜牧业生产秩序恢复</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r>
      <w:tr>
        <w:tblPrEx>
          <w:tblCellMar>
            <w:top w:w="0" w:type="dxa"/>
            <w:left w:w="108" w:type="dxa"/>
            <w:bottom w:w="0" w:type="dxa"/>
            <w:right w:w="108" w:type="dxa"/>
          </w:tblCellMar>
        </w:tblPrEx>
        <w:trPr>
          <w:trHeight w:val="3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生态效益指标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灾区畜牧业生产能力恢复</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基本恢复</w:t>
            </w:r>
          </w:p>
        </w:tc>
      </w:tr>
      <w:tr>
        <w:tblPrEx>
          <w:tblCellMar>
            <w:top w:w="0" w:type="dxa"/>
            <w:left w:w="108" w:type="dxa"/>
            <w:bottom w:w="0" w:type="dxa"/>
            <w:right w:w="108" w:type="dxa"/>
          </w:tblCellMar>
        </w:tblPrEx>
        <w:trPr>
          <w:trHeight w:val="477"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可持续影响指标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稳定农（牧）民生产积极性</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r>
      <w:tr>
        <w:tblPrEx>
          <w:tblCellMar>
            <w:top w:w="0" w:type="dxa"/>
            <w:left w:w="108" w:type="dxa"/>
            <w:bottom w:w="0" w:type="dxa"/>
            <w:right w:w="108" w:type="dxa"/>
          </w:tblCellMar>
        </w:tblPrEx>
        <w:trPr>
          <w:trHeight w:val="3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61"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保证主要畜禽存栏量稳定</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保持稳定</w:t>
            </w:r>
          </w:p>
        </w:tc>
      </w:tr>
      <w:tr>
        <w:tblPrEx>
          <w:tblCellMar>
            <w:top w:w="0" w:type="dxa"/>
            <w:left w:w="108" w:type="dxa"/>
            <w:bottom w:w="0" w:type="dxa"/>
            <w:right w:w="108" w:type="dxa"/>
          </w:tblCellMar>
        </w:tblPrEx>
        <w:trPr>
          <w:trHeight w:val="25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2"/>
                <w:szCs w:val="12"/>
              </w:rPr>
            </w:pPr>
          </w:p>
        </w:tc>
        <w:tc>
          <w:tcPr>
            <w:tcW w:w="88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满意度指标</w:t>
            </w: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技术指导对象满意度指标</w:t>
            </w:r>
          </w:p>
        </w:tc>
        <w:tc>
          <w:tcPr>
            <w:tcW w:w="89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指导服务对象满意度</w:t>
            </w:r>
          </w:p>
        </w:tc>
        <w:tc>
          <w:tcPr>
            <w:tcW w:w="94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9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68"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3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9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71"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53"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3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1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787"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806"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r>
    </w:tbl>
    <w:p>
      <w:pPr>
        <w:rPr>
          <w:rFonts w:hint="eastAsia"/>
          <w:b/>
          <w:bCs/>
          <w:spacing w:val="-8"/>
          <w:sz w:val="23"/>
          <w:szCs w:val="23"/>
        </w:rPr>
      </w:pPr>
      <w:r>
        <w:rPr>
          <w:rFonts w:hint="eastAsia"/>
          <w:b/>
          <w:bCs/>
          <w:spacing w:val="-8"/>
          <w:sz w:val="23"/>
          <w:szCs w:val="23"/>
        </w:rPr>
        <w:br w:type="page"/>
      </w:r>
    </w:p>
    <w:p>
      <w:pPr>
        <w:pStyle w:val="18"/>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w:t>
      </w:r>
      <w:r>
        <w:rPr>
          <w:rFonts w:hint="eastAsia" w:ascii="Times New Roman" w:hAnsi="Times New Roman" w:eastAsia="仿宋_GB2312"/>
          <w:b/>
          <w:bCs/>
          <w:sz w:val="22"/>
        </w:rPr>
        <w:t>中央农业防灾减灾和水利救灾资金（动物防疫补助）</w:t>
      </w:r>
      <w:r>
        <w:rPr>
          <w:rFonts w:hint="eastAsia" w:ascii="Times New Roman" w:hAnsi="Times New Roman" w:eastAsia="仿宋_GB2312"/>
          <w:b/>
          <w:bCs/>
          <w:sz w:val="22"/>
          <w:lang w:val="en-US" w:eastAsia="zh-CN"/>
        </w:rPr>
        <w:t>项目</w:t>
      </w:r>
      <w:r>
        <w:rPr>
          <w:rFonts w:ascii="Times New Roman" w:hAnsi="Times New Roman" w:eastAsia="仿宋_GB2312"/>
          <w:b/>
          <w:bCs/>
          <w:sz w:val="22"/>
        </w:rPr>
        <w:t>绩效目标表</w:t>
      </w:r>
    </w:p>
    <w:tbl>
      <w:tblPr>
        <w:tblStyle w:val="14"/>
        <w:tblW w:w="15198" w:type="dxa"/>
        <w:tblInd w:w="0" w:type="dxa"/>
        <w:tblLayout w:type="fixed"/>
        <w:tblCellMar>
          <w:top w:w="0" w:type="dxa"/>
          <w:left w:w="108" w:type="dxa"/>
          <w:bottom w:w="0" w:type="dxa"/>
          <w:right w:w="108" w:type="dxa"/>
        </w:tblCellMar>
      </w:tblPr>
      <w:tblGrid>
        <w:gridCol w:w="644"/>
        <w:gridCol w:w="656"/>
        <w:gridCol w:w="829"/>
        <w:gridCol w:w="2626"/>
        <w:gridCol w:w="598"/>
        <w:gridCol w:w="576"/>
        <w:gridCol w:w="540"/>
        <w:gridCol w:w="606"/>
        <w:gridCol w:w="507"/>
        <w:gridCol w:w="606"/>
        <w:gridCol w:w="549"/>
        <w:gridCol w:w="549"/>
        <w:gridCol w:w="606"/>
        <w:gridCol w:w="606"/>
        <w:gridCol w:w="559"/>
        <w:gridCol w:w="606"/>
        <w:gridCol w:w="606"/>
        <w:gridCol w:w="607"/>
        <w:gridCol w:w="547"/>
        <w:gridCol w:w="626"/>
        <w:gridCol w:w="550"/>
        <w:gridCol w:w="599"/>
      </w:tblGrid>
      <w:tr>
        <w:tblPrEx>
          <w:tblCellMar>
            <w:top w:w="0" w:type="dxa"/>
            <w:left w:w="108" w:type="dxa"/>
            <w:bottom w:w="0" w:type="dxa"/>
            <w:right w:w="108" w:type="dxa"/>
          </w:tblCellMar>
        </w:tblPrEx>
        <w:trPr>
          <w:trHeight w:val="544" w:hRule="atLeast"/>
        </w:trPr>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资金名称</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中央粮油生产保障资金（全年总表）</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全区总绩效 目标</w:t>
            </w:r>
          </w:p>
        </w:tc>
        <w:tc>
          <w:tcPr>
            <w:tcW w:w="9269" w:type="dxa"/>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分区域绩效目标</w:t>
            </w:r>
          </w:p>
        </w:tc>
      </w:tr>
      <w:tr>
        <w:tblPrEx>
          <w:tblCellMar>
            <w:top w:w="0" w:type="dxa"/>
            <w:left w:w="108" w:type="dxa"/>
            <w:bottom w:w="0" w:type="dxa"/>
            <w:right w:w="108" w:type="dxa"/>
          </w:tblCellMar>
        </w:tblPrEx>
        <w:trPr>
          <w:trHeight w:val="422" w:hRule="atLeast"/>
        </w:trPr>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中央主管部门</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财政部、农业农村部</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合计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乌鲁木齐市</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伊犁州直</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塔城地区</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阿勒泰地区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克拉玛依市</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博州</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昌吉州</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哈密市</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吐鲁番市</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巴州</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阿克苏地区</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克州</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喀什地区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和田地区</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自治区动物疾病预防控制  中心</w:t>
            </w:r>
          </w:p>
        </w:tc>
        <w:tc>
          <w:tcPr>
            <w:tcW w:w="599"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新疆畜牧科学院兽医研究所</w:t>
            </w:r>
          </w:p>
        </w:tc>
      </w:tr>
      <w:tr>
        <w:tblPrEx>
          <w:tblCellMar>
            <w:top w:w="0" w:type="dxa"/>
            <w:left w:w="108" w:type="dxa"/>
            <w:bottom w:w="0" w:type="dxa"/>
            <w:right w:w="108" w:type="dxa"/>
          </w:tblCellMar>
        </w:tblPrEx>
        <w:trPr>
          <w:trHeight w:val="179" w:hRule="atLeast"/>
        </w:trPr>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省级财政部门</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新疆维吾尔自治区财政厅</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120" w:type="dxa"/>
            <w:gridSpan w:val="1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各地州市财政局、农业农村局</w:t>
            </w: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08" w:hRule="atLeast"/>
        </w:trPr>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省级主管部门</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新疆维吾尔自治区农业农村厅</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120" w:type="dxa"/>
            <w:gridSpan w:val="1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color w:val="000000"/>
                <w:sz w:val="12"/>
                <w:szCs w:val="12"/>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01"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资金情况 （万元）</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年度金额：</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29147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29147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524</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4549.84</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1947</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2060.92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180.44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811</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2313.36</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1496.24</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420.52</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2715.48</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4163.24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1002.36</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3534.8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3227.8</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165</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35</w:t>
            </w:r>
          </w:p>
        </w:tc>
      </w:tr>
      <w:tr>
        <w:tblPrEx>
          <w:tblCellMar>
            <w:top w:w="0" w:type="dxa"/>
            <w:left w:w="108" w:type="dxa"/>
            <w:bottom w:w="0" w:type="dxa"/>
            <w:right w:w="108" w:type="dxa"/>
          </w:tblCellMar>
        </w:tblPrEx>
        <w:trPr>
          <w:trHeight w:val="30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其中：中央补助</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29147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29147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524</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4549.84</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1947</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2060.92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180.44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811</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2313.36</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1496.24</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420.52</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2715.48</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4163.24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1002.36</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3534.8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3227.8</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165</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35</w:t>
            </w: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地方资金</w:t>
            </w:r>
          </w:p>
        </w:tc>
        <w:tc>
          <w:tcPr>
            <w:tcW w:w="40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12"/>
                <w:szCs w:val="12"/>
              </w:rPr>
            </w:pPr>
          </w:p>
        </w:tc>
        <w:tc>
          <w:tcPr>
            <w:tcW w:w="550" w:type="dxa"/>
            <w:tcBorders>
              <w:top w:val="single" w:color="000000" w:sz="4" w:space="0"/>
              <w:left w:val="nil"/>
              <w:bottom w:val="single" w:color="000000" w:sz="4" w:space="0"/>
              <w:right w:val="single" w:color="000000" w:sz="4" w:space="0"/>
            </w:tcBorders>
            <w:shd w:val="clear" w:color="auto" w:fill="auto"/>
            <w:noWrap/>
            <w:vAlign w:val="center"/>
          </w:tcPr>
          <w:p>
            <w:pP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01"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年度目标</w:t>
            </w:r>
          </w:p>
        </w:tc>
        <w:tc>
          <w:tcPr>
            <w:tcW w:w="47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开展强制免疫、强制扑杀和销毁以及养殖无害化处理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w:t>
            </w:r>
          </w:p>
        </w:tc>
      </w:tr>
      <w:tr>
        <w:tblPrEx>
          <w:tblCellMar>
            <w:top w:w="0" w:type="dxa"/>
            <w:left w:w="108" w:type="dxa"/>
            <w:bottom w:w="0" w:type="dxa"/>
            <w:right w:w="108" w:type="dxa"/>
          </w:tblCellMar>
        </w:tblPrEx>
        <w:trPr>
          <w:trHeight w:val="179"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绩效指标</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一级指标</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二级指标</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三级指标</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color w:val="000000"/>
                <w:sz w:val="12"/>
                <w:szCs w:val="12"/>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2</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3</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4</w:t>
            </w:r>
          </w:p>
        </w:tc>
        <w:tc>
          <w:tcPr>
            <w:tcW w:w="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5</w:t>
            </w:r>
          </w:p>
        </w:tc>
        <w:tc>
          <w:tcPr>
            <w:tcW w:w="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6</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7</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9</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10</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11</w:t>
            </w:r>
          </w:p>
        </w:tc>
        <w:tc>
          <w:tcPr>
            <w:tcW w:w="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13</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14</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15</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12"/>
                <w:szCs w:val="12"/>
              </w:rPr>
            </w:pPr>
            <w:r>
              <w:rPr>
                <w:rFonts w:hint="eastAsia" w:ascii="宋体" w:hAnsi="宋体" w:eastAsia="宋体" w:cs="宋体"/>
                <w:b/>
                <w:bCs/>
                <w:color w:val="000000"/>
                <w:kern w:val="0"/>
                <w:sz w:val="12"/>
                <w:szCs w:val="12"/>
                <w:lang w:bidi="ar"/>
              </w:rPr>
              <w:t>16</w:t>
            </w: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产出指标</w:t>
            </w: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数量指标</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强制扑杀补助数量（头、只）</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12382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12382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26</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590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1161</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279</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44</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8825</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311</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599</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228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112</w:t>
            </w:r>
          </w:p>
        </w:tc>
        <w:tc>
          <w:tcPr>
            <w:tcW w:w="550" w:type="dxa"/>
            <w:tcBorders>
              <w:top w:val="single" w:color="000000" w:sz="4" w:space="0"/>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color w:val="000000"/>
                <w:sz w:val="12"/>
                <w:szCs w:val="12"/>
              </w:rPr>
            </w:pP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养殖环节病死猪无害化处理补助数量（头）</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115867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115867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1423</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1225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1178</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8608</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11876</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46593</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24942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430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9000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1592</w:t>
            </w:r>
          </w:p>
        </w:tc>
        <w:tc>
          <w:tcPr>
            <w:tcW w:w="550" w:type="dxa"/>
            <w:tcBorders>
              <w:top w:val="single" w:color="000000" w:sz="4" w:space="0"/>
              <w:left w:val="nil"/>
              <w:bottom w:val="single" w:color="000000" w:sz="4" w:space="0"/>
              <w:right w:val="single" w:color="000000" w:sz="4" w:space="0"/>
            </w:tcBorders>
            <w:shd w:val="clear" w:color="auto" w:fill="auto"/>
            <w:noWrap/>
            <w:vAlign w:val="center"/>
          </w:tcPr>
          <w:p>
            <w:pP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重大动物疫情应扑杀动物扑杀率（%）</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0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质量指标</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春秋防检查免疫抗体合格率（除布病和包虫病外）</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≥70%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0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春秋防检查养殖场户免疫密度合格率（%）</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依法对重大动物疫情处置率（%）</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时效指标</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重大动物疫情及时报告率（%）</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100%</w:t>
            </w:r>
          </w:p>
        </w:tc>
      </w:tr>
      <w:tr>
        <w:tblPrEx>
          <w:tblCellMar>
            <w:top w:w="0" w:type="dxa"/>
            <w:left w:w="108" w:type="dxa"/>
            <w:bottom w:w="0" w:type="dxa"/>
            <w:right w:w="108" w:type="dxa"/>
          </w:tblCellMar>
        </w:tblPrEx>
        <w:trPr>
          <w:trHeight w:val="301" w:hRule="atLeast"/>
        </w:trPr>
        <w:tc>
          <w:tcPr>
            <w:tcW w:w="64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效益指标</w:t>
            </w:r>
          </w:p>
        </w:tc>
        <w:tc>
          <w:tcPr>
            <w:tcW w:w="8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社会效益指标</w:t>
            </w:r>
          </w:p>
        </w:tc>
        <w:tc>
          <w:tcPr>
            <w:tcW w:w="2626"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大规模随意抛弃病死猪事件</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179" w:hRule="atLeast"/>
        </w:trPr>
        <w:tc>
          <w:tcPr>
            <w:tcW w:w="64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000000"/>
                <w:sz w:val="12"/>
                <w:szCs w:val="12"/>
              </w:rPr>
            </w:pPr>
          </w:p>
        </w:tc>
        <w:tc>
          <w:tcPr>
            <w:tcW w:w="2626"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Style w:val="28"/>
                <w:rFonts w:hint="eastAsia" w:ascii="宋体" w:hAnsi="宋体" w:eastAsia="宋体" w:cs="宋体"/>
                <w:sz w:val="12"/>
                <w:szCs w:val="12"/>
                <w:lang w:bidi="ar"/>
              </w:rPr>
              <w:t>资金使用重大违规违纪问题（有</w:t>
            </w:r>
            <w:r>
              <w:rPr>
                <w:rStyle w:val="29"/>
                <w:rFonts w:hint="eastAsia" w:ascii="宋体" w:hAnsi="宋体" w:eastAsia="宋体" w:cs="宋体"/>
                <w:sz w:val="12"/>
                <w:szCs w:val="12"/>
                <w:lang w:bidi="ar"/>
              </w:rPr>
              <w:t>/</w:t>
            </w:r>
            <w:r>
              <w:rPr>
                <w:rStyle w:val="28"/>
                <w:rFonts w:hint="eastAsia" w:ascii="宋体" w:hAnsi="宋体" w:eastAsia="宋体" w:cs="宋体"/>
                <w:sz w:val="12"/>
                <w:szCs w:val="12"/>
                <w:lang w:bidi="ar"/>
              </w:rPr>
              <w:t>无）</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无</w:t>
            </w:r>
          </w:p>
        </w:tc>
      </w:tr>
      <w:tr>
        <w:tblPrEx>
          <w:tblCellMar>
            <w:top w:w="0" w:type="dxa"/>
            <w:left w:w="108" w:type="dxa"/>
            <w:bottom w:w="0" w:type="dxa"/>
            <w:right w:w="108" w:type="dxa"/>
          </w:tblCellMar>
        </w:tblPrEx>
        <w:trPr>
          <w:trHeight w:val="301" w:hRule="atLeast"/>
        </w:trPr>
        <w:tc>
          <w:tcPr>
            <w:tcW w:w="64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000000"/>
                <w:sz w:val="12"/>
                <w:szCs w:val="12"/>
              </w:rPr>
            </w:pPr>
          </w:p>
        </w:tc>
        <w:tc>
          <w:tcPr>
            <w:tcW w:w="65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829"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000000"/>
                <w:sz w:val="12"/>
                <w:szCs w:val="12"/>
              </w:rPr>
            </w:pPr>
          </w:p>
        </w:tc>
        <w:tc>
          <w:tcPr>
            <w:tcW w:w="2626"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因扑杀不及时造成重大动物疫情扩散</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不发生</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r>
      <w:tr>
        <w:tblPrEx>
          <w:tblCellMar>
            <w:top w:w="0" w:type="dxa"/>
            <w:left w:w="108" w:type="dxa"/>
            <w:bottom w:w="0" w:type="dxa"/>
            <w:right w:w="108" w:type="dxa"/>
          </w:tblCellMar>
        </w:tblPrEx>
        <w:trPr>
          <w:trHeight w:val="304"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2"/>
                <w:szCs w:val="12"/>
              </w:rPr>
            </w:pPr>
          </w:p>
        </w:tc>
        <w:tc>
          <w:tcPr>
            <w:tcW w:w="65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满意度指标</w:t>
            </w:r>
          </w:p>
        </w:tc>
        <w:tc>
          <w:tcPr>
            <w:tcW w:w="829"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服务对象满意度指标</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补助对象对政策实施的满意度</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2"/>
                <w:szCs w:val="12"/>
              </w:rPr>
            </w:pPr>
            <w:r>
              <w:rPr>
                <w:rFonts w:hint="eastAsia" w:ascii="宋体" w:hAnsi="宋体" w:eastAsia="宋体" w:cs="宋体"/>
                <w:color w:val="000000"/>
                <w:kern w:val="0"/>
                <w:sz w:val="12"/>
                <w:szCs w:val="12"/>
                <w:lang w:bidi="ar"/>
              </w:rPr>
              <w:t>≥90%</w:t>
            </w:r>
          </w:p>
        </w:tc>
      </w:tr>
    </w:tbl>
    <w:p>
      <w:pPr>
        <w:pStyle w:val="18"/>
        <w:spacing w:line="560" w:lineRule="exact"/>
        <w:rPr>
          <w:rFonts w:ascii="Times New Roman" w:hAnsi="Times New Roman" w:eastAsia="仿宋_GB2312"/>
          <w:b/>
          <w:bCs/>
          <w:sz w:val="22"/>
        </w:rPr>
      </w:pPr>
    </w:p>
    <w:p>
      <w:pPr>
        <w:pStyle w:val="18"/>
        <w:spacing w:line="560" w:lineRule="exact"/>
        <w:ind w:firstLine="441" w:firstLineChars="200"/>
        <w:jc w:val="center"/>
        <w:rPr>
          <w:rFonts w:ascii="Times New Roman" w:hAnsi="Times New Roman" w:eastAsia="仿宋_GB2312"/>
          <w:b/>
          <w:bCs/>
          <w:sz w:val="22"/>
        </w:rPr>
        <w:sectPr>
          <w:pgSz w:w="16838" w:h="11906" w:orient="landscape"/>
          <w:pgMar w:top="1349" w:right="873" w:bottom="1236" w:left="873" w:header="851" w:footer="992" w:gutter="0"/>
          <w:cols w:space="0" w:num="1"/>
          <w:rtlGutter w:val="0"/>
          <w:docGrid w:type="lines" w:linePitch="312" w:charSpace="0"/>
        </w:sectPr>
      </w:pPr>
    </w:p>
    <w:p>
      <w:pPr>
        <w:spacing w:line="560" w:lineRule="exact"/>
        <w:ind w:firstLine="640" w:firstLineChars="200"/>
        <w:rPr>
          <w:rFonts w:eastAsia="黑体"/>
          <w:bCs/>
          <w:sz w:val="32"/>
          <w:szCs w:val="32"/>
        </w:rPr>
      </w:pPr>
      <w:r>
        <w:rPr>
          <w:rFonts w:eastAsia="黑体"/>
          <w:bCs/>
          <w:sz w:val="32"/>
          <w:szCs w:val="32"/>
        </w:rPr>
        <w:t>二、绩效目标完成情况分析</w:t>
      </w:r>
    </w:p>
    <w:p>
      <w:pPr>
        <w:pStyle w:val="13"/>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（一）资金投入情况分析</w:t>
      </w:r>
    </w:p>
    <w:p>
      <w:pPr>
        <w:pStyle w:val="13"/>
        <w:spacing w:after="0" w:line="560" w:lineRule="exact"/>
        <w:ind w:left="0" w:leftChars="0" w:firstLine="640"/>
        <w:rPr>
          <w:rFonts w:ascii="Times New Roman" w:hAnsi="Times New Roman"/>
          <w:b/>
          <w:bCs/>
          <w:sz w:val="32"/>
          <w:szCs w:val="32"/>
        </w:rPr>
      </w:pPr>
      <w:r>
        <w:rPr>
          <w:rFonts w:ascii="Times New Roman" w:hAnsi="Times New Roman"/>
          <w:b/>
          <w:bCs/>
          <w:sz w:val="32"/>
          <w:szCs w:val="32"/>
        </w:rPr>
        <w:t>1.项目资金到位情况分析</w:t>
      </w:r>
    </w:p>
    <w:p>
      <w:pPr>
        <w:pStyle w:val="12"/>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2024年度中央下达农业防灾减灾资金共</w:t>
      </w:r>
      <w:r>
        <w:rPr>
          <w:rFonts w:hint="eastAsia" w:ascii="Times New Roman" w:hAnsi="Times New Roman" w:eastAsia="仿宋_GB2312" w:cs="Times New Roman"/>
          <w:sz w:val="32"/>
          <w:lang w:val="en-US" w:eastAsia="zh-CN" w:bidi="ar-SA"/>
        </w:rPr>
        <w:t>42347</w:t>
      </w:r>
      <w:r>
        <w:rPr>
          <w:rFonts w:hint="eastAsia" w:ascii="Times New Roman" w:hAnsi="Times New Roman" w:eastAsia="仿宋_GB2312" w:cs="Times New Roman"/>
          <w:sz w:val="32"/>
          <w:lang w:val="en-US" w:bidi="ar-SA"/>
        </w:rPr>
        <w:t>万元，资金到位</w:t>
      </w:r>
      <w:r>
        <w:rPr>
          <w:rFonts w:hint="eastAsia" w:ascii="Times New Roman" w:hAnsi="Times New Roman" w:eastAsia="仿宋_GB2312" w:cs="Times New Roman"/>
          <w:sz w:val="32"/>
          <w:lang w:val="en-US" w:eastAsia="zh-CN" w:bidi="ar-SA"/>
        </w:rPr>
        <w:t>42347</w:t>
      </w:r>
      <w:r>
        <w:rPr>
          <w:rFonts w:hint="eastAsia" w:ascii="Times New Roman" w:hAnsi="Times New Roman" w:eastAsia="仿宋_GB2312" w:cs="Times New Roman"/>
          <w:sz w:val="32"/>
          <w:lang w:val="en-US" w:bidi="ar-SA"/>
        </w:rPr>
        <w:t>万元，到位率100%，</w:t>
      </w:r>
    </w:p>
    <w:p>
      <w:pPr>
        <w:pStyle w:val="12"/>
        <w:ind w:firstLine="640" w:firstLineChars="200"/>
        <w:rPr>
          <w:rFonts w:ascii="Times New Roman" w:hAnsi="Times New Roman" w:eastAsia="仿宋_GB2312" w:cs="Times New Roman"/>
          <w:sz w:val="32"/>
          <w:lang w:val="en-US" w:bidi="ar-SA"/>
        </w:rPr>
      </w:pPr>
      <w:r>
        <w:rPr>
          <w:rFonts w:ascii="Times New Roman" w:hAnsi="Times New Roman" w:eastAsia="仿宋_GB2312" w:cs="Times New Roman"/>
          <w:sz w:val="32"/>
          <w:lang w:val="en-US" w:bidi="ar-SA"/>
        </w:rPr>
        <w:t>其中</w:t>
      </w:r>
      <w:r>
        <w:rPr>
          <w:rFonts w:hint="eastAsia" w:ascii="Times New Roman" w:hAnsi="Times New Roman" w:eastAsia="仿宋_GB2312" w:cs="Times New Roman"/>
          <w:sz w:val="32"/>
          <w:lang w:val="en-US" w:bidi="ar-SA"/>
        </w:rPr>
        <w:t>：2024年3月下达农业防灾减灾资金</w:t>
      </w:r>
      <w:r>
        <w:rPr>
          <w:rFonts w:hint="eastAsia" w:ascii="Times New Roman" w:hAnsi="Times New Roman" w:eastAsia="仿宋_GB2312" w:cs="Times New Roman"/>
          <w:sz w:val="32"/>
          <w:lang w:val="en-US" w:eastAsia="zh-CN" w:bidi="ar-SA"/>
        </w:rPr>
        <w:t>（第一批次）</w:t>
      </w:r>
      <w:r>
        <w:rPr>
          <w:rFonts w:hint="eastAsia" w:ascii="Times New Roman" w:hAnsi="Times New Roman" w:eastAsia="仿宋_GB2312" w:cs="Times New Roman"/>
          <w:sz w:val="32"/>
          <w:lang w:val="en-US" w:bidi="ar-SA"/>
        </w:rPr>
        <w:t>1630万元，资金到位1630万元，到位率100%。2024年4月下达农业防灾减灾资金</w:t>
      </w:r>
      <w:r>
        <w:rPr>
          <w:rFonts w:hint="eastAsia" w:ascii="Times New Roman" w:hAnsi="Times New Roman" w:eastAsia="仿宋_GB2312" w:cs="Times New Roman"/>
          <w:sz w:val="32"/>
          <w:lang w:val="en-US" w:eastAsia="zh-CN" w:bidi="ar-SA"/>
        </w:rPr>
        <w:t>（第三批次）</w:t>
      </w:r>
      <w:r>
        <w:rPr>
          <w:rFonts w:hint="eastAsia" w:ascii="Times New Roman" w:hAnsi="Times New Roman" w:eastAsia="仿宋_GB2312" w:cs="Times New Roman"/>
          <w:sz w:val="32"/>
          <w:lang w:val="en-US" w:bidi="ar-SA"/>
        </w:rPr>
        <w:t>1750万元，资金到位1750万元，到位率100%。2024年12月下达农业防灾减灾资金</w:t>
      </w:r>
      <w:r>
        <w:rPr>
          <w:rFonts w:hint="eastAsia" w:ascii="Times New Roman" w:hAnsi="Times New Roman" w:eastAsia="仿宋_GB2312" w:cs="Times New Roman"/>
          <w:sz w:val="32"/>
          <w:lang w:val="en-US" w:eastAsia="zh-CN" w:bidi="ar-SA"/>
        </w:rPr>
        <w:t>（第十四批次）</w:t>
      </w:r>
      <w:r>
        <w:rPr>
          <w:rFonts w:hint="eastAsia" w:ascii="Times New Roman" w:hAnsi="Times New Roman" w:eastAsia="仿宋_GB2312" w:cs="Times New Roman"/>
          <w:sz w:val="32"/>
          <w:lang w:val="en-US" w:bidi="ar-SA"/>
        </w:rPr>
        <w:t>9820万元，资金到位9820万元，到位率100%</w:t>
      </w:r>
      <w:r>
        <w:rPr>
          <w:rFonts w:hint="eastAsia" w:cs="Times New Roman"/>
          <w:sz w:val="32"/>
          <w:lang w:val="en-US"/>
        </w:rPr>
        <w:t>。</w:t>
      </w:r>
    </w:p>
    <w:p>
      <w:pPr>
        <w:pStyle w:val="13"/>
        <w:spacing w:after="0" w:line="560" w:lineRule="exact"/>
        <w:ind w:left="0" w:leftChars="0" w:firstLine="640"/>
        <w:rPr>
          <w:rFonts w:hint="eastAsia" w:ascii="Times New Roman" w:hAnsi="Times New Roman"/>
          <w:sz w:val="32"/>
          <w:szCs w:val="32"/>
        </w:rPr>
      </w:pPr>
      <w:r>
        <w:rPr>
          <w:rFonts w:hint="eastAsia" w:ascii="Times New Roman" w:hAnsi="Times New Roman"/>
          <w:sz w:val="32"/>
          <w:szCs w:val="32"/>
        </w:rPr>
        <w:t>2023年11月关于提前下达</w:t>
      </w:r>
      <w:r>
        <w:rPr>
          <w:rFonts w:hint="eastAsia" w:ascii="Times New Roman" w:hAnsi="Times New Roman" w:eastAsia="仿宋_GB2312" w:cs="Times New Roman"/>
          <w:sz w:val="32"/>
          <w:lang w:val="en-US" w:bidi="ar-SA"/>
        </w:rPr>
        <w:t>农业防灾减灾资金</w:t>
      </w:r>
      <w:r>
        <w:rPr>
          <w:rFonts w:hint="eastAsia" w:ascii="Times New Roman" w:hAnsi="Times New Roman" w:cs="Times New Roman"/>
          <w:sz w:val="32"/>
          <w:lang w:val="en-US" w:eastAsia="zh-CN" w:bidi="ar-SA"/>
        </w:rPr>
        <w:t>（动物防疫补助）</w:t>
      </w:r>
      <w:r>
        <w:rPr>
          <w:rFonts w:hint="eastAsia" w:ascii="Times New Roman" w:hAnsi="Times New Roman"/>
          <w:sz w:val="32"/>
          <w:szCs w:val="32"/>
        </w:rPr>
        <w:t>22479万元，资金到位22479万元，到位率100%。2024年4月下达</w:t>
      </w:r>
      <w:r>
        <w:rPr>
          <w:rFonts w:hint="eastAsia" w:ascii="Times New Roman" w:hAnsi="Times New Roman" w:eastAsia="仿宋_GB2312" w:cs="Times New Roman"/>
          <w:sz w:val="32"/>
          <w:lang w:val="en-US" w:bidi="ar-SA"/>
        </w:rPr>
        <w:t>农业防灾减灾资金</w:t>
      </w:r>
      <w:r>
        <w:rPr>
          <w:rFonts w:hint="eastAsia" w:ascii="Times New Roman" w:hAnsi="Times New Roman" w:cs="Times New Roman"/>
          <w:sz w:val="32"/>
          <w:lang w:val="en-US" w:eastAsia="zh-CN" w:bidi="ar-SA"/>
        </w:rPr>
        <w:t>（动物防疫补助）</w:t>
      </w:r>
      <w:r>
        <w:rPr>
          <w:rFonts w:hint="eastAsia" w:ascii="Times New Roman" w:hAnsi="Times New Roman"/>
          <w:sz w:val="32"/>
          <w:szCs w:val="32"/>
        </w:rPr>
        <w:t>6668万元，资金到位6668万元，到位率100%。</w:t>
      </w:r>
    </w:p>
    <w:p>
      <w:pPr>
        <w:pStyle w:val="13"/>
        <w:spacing w:after="0" w:line="560" w:lineRule="exact"/>
        <w:ind w:left="0" w:leftChars="0" w:firstLine="640"/>
        <w:rPr>
          <w:rFonts w:hint="default" w:eastAsia="仿宋_GB2312"/>
          <w:lang w:val="en-US" w:eastAsia="zh-CN"/>
        </w:rPr>
      </w:pPr>
      <w:r>
        <w:rPr>
          <w:rFonts w:hint="eastAsia" w:ascii="Times New Roman" w:hAnsi="Times New Roman"/>
          <w:sz w:val="32"/>
          <w:szCs w:val="32"/>
        </w:rPr>
        <w:t>2024年5月30日，自治区财政厅印发下达2024年自治区动物防疫等补助经费（2023年3月-2024年2月强制扑杀），</w:t>
      </w:r>
      <w:r>
        <w:rPr>
          <w:rFonts w:hint="eastAsia" w:ascii="Times New Roman" w:hAnsi="Times New Roman"/>
          <w:sz w:val="32"/>
          <w:szCs w:val="32"/>
          <w:lang w:val="en-US" w:eastAsia="zh-CN"/>
        </w:rPr>
        <w:t>下达</w:t>
      </w:r>
      <w:r>
        <w:rPr>
          <w:rFonts w:hint="eastAsia" w:ascii="Times New Roman" w:hAnsi="Times New Roman"/>
          <w:sz w:val="32"/>
          <w:szCs w:val="32"/>
        </w:rPr>
        <w:t>335.735万元</w:t>
      </w:r>
      <w:r>
        <w:rPr>
          <w:rFonts w:hint="eastAsia" w:ascii="Times New Roman" w:hAnsi="Times New Roman"/>
          <w:sz w:val="32"/>
          <w:szCs w:val="32"/>
          <w:lang w:eastAsia="zh-CN"/>
        </w:rPr>
        <w:t>，</w:t>
      </w:r>
      <w:r>
        <w:rPr>
          <w:rFonts w:hint="eastAsia" w:ascii="Times New Roman" w:hAnsi="Times New Roman"/>
          <w:sz w:val="32"/>
          <w:szCs w:val="32"/>
        </w:rPr>
        <w:t>资金</w:t>
      </w:r>
      <w:r>
        <w:rPr>
          <w:rFonts w:hint="eastAsia" w:ascii="Times New Roman" w:hAnsi="Times New Roman"/>
          <w:sz w:val="32"/>
          <w:szCs w:val="32"/>
          <w:lang w:val="en-US" w:eastAsia="zh-CN"/>
        </w:rPr>
        <w:t>到位</w:t>
      </w:r>
      <w:r>
        <w:rPr>
          <w:rFonts w:hint="eastAsia" w:ascii="Times New Roman" w:hAnsi="Times New Roman"/>
          <w:sz w:val="32"/>
          <w:szCs w:val="32"/>
        </w:rPr>
        <w:t>335.735万元</w:t>
      </w:r>
      <w:r>
        <w:rPr>
          <w:rFonts w:hint="eastAsia" w:ascii="Times New Roman" w:hAnsi="Times New Roman"/>
          <w:sz w:val="32"/>
          <w:szCs w:val="32"/>
          <w:lang w:eastAsia="zh-CN"/>
        </w:rPr>
        <w:t>，</w:t>
      </w:r>
      <w:r>
        <w:rPr>
          <w:rFonts w:hint="eastAsia" w:ascii="Times New Roman" w:hAnsi="Times New Roman"/>
          <w:sz w:val="32"/>
          <w:szCs w:val="32"/>
          <w:lang w:val="en-US" w:eastAsia="zh-CN"/>
        </w:rPr>
        <w:t>到位率100%。</w:t>
      </w:r>
    </w:p>
    <w:p>
      <w:pPr>
        <w:pStyle w:val="13"/>
        <w:spacing w:after="0" w:line="560" w:lineRule="exact"/>
        <w:ind w:left="0" w:leftChars="0" w:firstLine="640"/>
        <w:rPr>
          <w:rFonts w:ascii="Times New Roman" w:hAnsi="Times New Roman"/>
          <w:b/>
          <w:bCs/>
          <w:sz w:val="32"/>
          <w:szCs w:val="32"/>
        </w:rPr>
      </w:pPr>
      <w:r>
        <w:rPr>
          <w:rFonts w:ascii="Times New Roman" w:hAnsi="Times New Roman"/>
          <w:b/>
          <w:bCs/>
          <w:sz w:val="32"/>
          <w:szCs w:val="32"/>
        </w:rPr>
        <w:t>2.项目资金执行情况分析</w:t>
      </w:r>
    </w:p>
    <w:p>
      <w:pPr>
        <w:pStyle w:val="13"/>
        <w:adjustRightInd w:val="0"/>
        <w:spacing w:after="0" w:line="560" w:lineRule="exact"/>
        <w:ind w:left="0" w:leftChars="0" w:firstLine="640"/>
        <w:rPr>
          <w:rFonts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年度下达农业防灾减灾</w:t>
      </w:r>
      <w:r>
        <w:rPr>
          <w:rFonts w:hint="eastAsia" w:ascii="Times New Roman" w:hAnsi="Times New Roman"/>
          <w:sz w:val="32"/>
          <w:szCs w:val="32"/>
          <w:highlight w:val="none"/>
        </w:rPr>
        <w:t>和水利救灾</w:t>
      </w:r>
      <w:r>
        <w:rPr>
          <w:rFonts w:ascii="Times New Roman" w:hAnsi="Times New Roman"/>
          <w:sz w:val="32"/>
          <w:szCs w:val="32"/>
          <w:highlight w:val="none"/>
        </w:rPr>
        <w:t>资金</w:t>
      </w:r>
      <w:r>
        <w:rPr>
          <w:rFonts w:hint="eastAsia" w:ascii="Times New Roman" w:hAnsi="Times New Roman"/>
          <w:sz w:val="32"/>
          <w:szCs w:val="32"/>
          <w:highlight w:val="none"/>
        </w:rPr>
        <w:t>（第一批、第三批、第十四批和动物防疫补助（含配套）</w:t>
      </w:r>
      <w:r>
        <w:rPr>
          <w:rFonts w:hint="eastAsia" w:ascii="Times New Roman" w:hAnsi="Times New Roman"/>
          <w:sz w:val="32"/>
          <w:szCs w:val="32"/>
          <w:highlight w:val="none"/>
          <w:lang w:eastAsia="zh-CN"/>
        </w:rPr>
        <w:t>）</w:t>
      </w:r>
      <w:r>
        <w:rPr>
          <w:rFonts w:ascii="Times New Roman" w:hAnsi="Times New Roman"/>
          <w:sz w:val="32"/>
          <w:szCs w:val="32"/>
          <w:highlight w:val="none"/>
        </w:rPr>
        <w:t>资金</w:t>
      </w:r>
      <w:r>
        <w:rPr>
          <w:rFonts w:hint="eastAsia" w:ascii="Times New Roman" w:hAnsi="Times New Roman"/>
          <w:sz w:val="32"/>
          <w:szCs w:val="32"/>
          <w:highlight w:val="none"/>
        </w:rPr>
        <w:t>共</w:t>
      </w:r>
      <w:r>
        <w:rPr>
          <w:rFonts w:hint="eastAsia" w:ascii="Times New Roman" w:hAnsi="Times New Roman"/>
          <w:sz w:val="32"/>
          <w:szCs w:val="32"/>
          <w:highlight w:val="none"/>
          <w:lang w:val="en-US" w:eastAsia="zh-CN"/>
        </w:rPr>
        <w:t>42682.74</w:t>
      </w:r>
      <w:r>
        <w:rPr>
          <w:rFonts w:ascii="Times New Roman" w:hAnsi="Times New Roman"/>
          <w:sz w:val="32"/>
          <w:szCs w:val="32"/>
          <w:highlight w:val="none"/>
        </w:rPr>
        <w:t>万元</w:t>
      </w:r>
      <w:r>
        <w:rPr>
          <w:rFonts w:hint="eastAsia" w:ascii="Times New Roman" w:hAnsi="Times New Roman"/>
          <w:sz w:val="32"/>
          <w:szCs w:val="32"/>
          <w:highlight w:val="none"/>
        </w:rPr>
        <w:t>，资金合计执行</w:t>
      </w:r>
      <w:r>
        <w:rPr>
          <w:rFonts w:hint="eastAsia" w:ascii="Times New Roman" w:hAnsi="Times New Roman"/>
          <w:sz w:val="32"/>
          <w:szCs w:val="32"/>
          <w:highlight w:val="none"/>
          <w:lang w:val="en-US" w:eastAsia="zh-CN"/>
        </w:rPr>
        <w:t>31362.67</w:t>
      </w:r>
      <w:r>
        <w:rPr>
          <w:rFonts w:hint="eastAsia" w:ascii="Times New Roman" w:hAnsi="Times New Roman"/>
          <w:sz w:val="32"/>
          <w:szCs w:val="32"/>
          <w:highlight w:val="none"/>
        </w:rPr>
        <w:t>万元，资金执行率</w:t>
      </w:r>
      <w:r>
        <w:rPr>
          <w:rFonts w:hint="eastAsia" w:ascii="Times New Roman" w:hAnsi="Times New Roman"/>
          <w:sz w:val="32"/>
          <w:szCs w:val="32"/>
          <w:highlight w:val="none"/>
          <w:lang w:val="en-US" w:eastAsia="zh-CN"/>
        </w:rPr>
        <w:t>73.48</w:t>
      </w:r>
      <w:r>
        <w:rPr>
          <w:rFonts w:hint="eastAsia" w:ascii="Times New Roman" w:hAnsi="Times New Roman"/>
          <w:sz w:val="32"/>
          <w:szCs w:val="32"/>
          <w:highlight w:val="none"/>
        </w:rPr>
        <w:t>%。</w:t>
      </w:r>
    </w:p>
    <w:p>
      <w:pPr>
        <w:pStyle w:val="13"/>
        <w:adjustRightInd w:val="0"/>
        <w:spacing w:after="0" w:line="560" w:lineRule="exact"/>
        <w:ind w:left="0" w:leftChars="0" w:firstLine="640"/>
        <w:rPr>
          <w:rFonts w:hint="default" w:ascii="Times New Roman" w:hAnsi="Times New Roman" w:eastAsia="仿宋_GB2312"/>
          <w:sz w:val="32"/>
          <w:szCs w:val="32"/>
          <w:highlight w:val="none"/>
          <w:lang w:val="en-US" w:eastAsia="zh-CN"/>
        </w:rPr>
      </w:pPr>
      <w:r>
        <w:rPr>
          <w:rFonts w:ascii="Times New Roman" w:hAnsi="Times New Roman"/>
          <w:sz w:val="32"/>
          <w:szCs w:val="32"/>
          <w:highlight w:val="none"/>
        </w:rPr>
        <w:t>截至202</w:t>
      </w:r>
      <w:r>
        <w:rPr>
          <w:rFonts w:hint="eastAsia" w:ascii="Times New Roman" w:hAnsi="Times New Roman"/>
          <w:sz w:val="32"/>
          <w:szCs w:val="32"/>
          <w:highlight w:val="none"/>
        </w:rPr>
        <w:t>4</w:t>
      </w:r>
      <w:r>
        <w:rPr>
          <w:rFonts w:ascii="Times New Roman" w:hAnsi="Times New Roman"/>
          <w:sz w:val="32"/>
          <w:szCs w:val="32"/>
          <w:highlight w:val="none"/>
        </w:rPr>
        <w:t>年12月31日</w:t>
      </w:r>
      <w:r>
        <w:rPr>
          <w:rFonts w:hint="eastAsia" w:ascii="Times New Roman" w:hAnsi="Times New Roman"/>
          <w:sz w:val="32"/>
          <w:szCs w:val="32"/>
          <w:highlight w:val="none"/>
        </w:rPr>
        <w:t>，农业防灾救灾和水利救灾资金</w:t>
      </w:r>
      <w:r>
        <w:rPr>
          <w:rFonts w:hint="eastAsia" w:ascii="Times New Roman" w:hAnsi="Times New Roman"/>
          <w:sz w:val="32"/>
          <w:szCs w:val="32"/>
          <w:highlight w:val="none"/>
          <w:lang w:eastAsia="zh-CN"/>
        </w:rPr>
        <w:t>（</w:t>
      </w:r>
      <w:r>
        <w:rPr>
          <w:rFonts w:hint="eastAsia" w:ascii="Times New Roman" w:hAnsi="Times New Roman"/>
          <w:sz w:val="32"/>
          <w:szCs w:val="32"/>
          <w:highlight w:val="none"/>
          <w:lang w:val="en-US" w:eastAsia="zh-CN"/>
        </w:rPr>
        <w:t>一、三批</w:t>
      </w:r>
      <w:r>
        <w:rPr>
          <w:rFonts w:hint="eastAsia" w:ascii="Times New Roman" w:hAnsi="Times New Roman"/>
          <w:sz w:val="32"/>
          <w:szCs w:val="32"/>
          <w:highlight w:val="none"/>
          <w:lang w:eastAsia="zh-CN"/>
        </w:rPr>
        <w:t>）</w:t>
      </w:r>
      <w:r>
        <w:rPr>
          <w:rFonts w:hint="eastAsia" w:ascii="Times New Roman" w:hAnsi="Times New Roman"/>
          <w:sz w:val="32"/>
          <w:szCs w:val="32"/>
          <w:highlight w:val="none"/>
        </w:rPr>
        <w:t>共</w:t>
      </w:r>
      <w:r>
        <w:rPr>
          <w:rFonts w:hint="eastAsia" w:ascii="Times New Roman" w:hAnsi="Times New Roman"/>
          <w:sz w:val="32"/>
          <w:szCs w:val="32"/>
          <w:highlight w:val="none"/>
          <w:lang w:val="en-US" w:eastAsia="zh-CN"/>
        </w:rPr>
        <w:t>3380</w:t>
      </w:r>
      <w:r>
        <w:rPr>
          <w:rFonts w:hint="eastAsia" w:ascii="Times New Roman" w:hAnsi="Times New Roman"/>
          <w:sz w:val="32"/>
          <w:szCs w:val="32"/>
          <w:highlight w:val="none"/>
        </w:rPr>
        <w:t>万元，资金执行334</w:t>
      </w:r>
      <w:r>
        <w:rPr>
          <w:rFonts w:hint="eastAsia" w:ascii="Times New Roman" w:hAnsi="Times New Roman"/>
          <w:sz w:val="32"/>
          <w:szCs w:val="32"/>
          <w:highlight w:val="none"/>
          <w:lang w:val="en-US" w:eastAsia="zh-CN"/>
        </w:rPr>
        <w:t>3</w:t>
      </w:r>
      <w:r>
        <w:rPr>
          <w:rFonts w:hint="eastAsia" w:ascii="Times New Roman" w:hAnsi="Times New Roman"/>
          <w:sz w:val="32"/>
          <w:szCs w:val="32"/>
          <w:highlight w:val="none"/>
        </w:rPr>
        <w:t>.</w:t>
      </w:r>
      <w:r>
        <w:rPr>
          <w:rFonts w:hint="eastAsia" w:ascii="Times New Roman" w:hAnsi="Times New Roman"/>
          <w:sz w:val="32"/>
          <w:szCs w:val="32"/>
          <w:highlight w:val="none"/>
          <w:lang w:val="en-US" w:eastAsia="zh-CN"/>
        </w:rPr>
        <w:t>85</w:t>
      </w:r>
      <w:r>
        <w:rPr>
          <w:rFonts w:hint="eastAsia" w:ascii="Times New Roman" w:hAnsi="Times New Roman"/>
          <w:sz w:val="32"/>
          <w:szCs w:val="32"/>
          <w:highlight w:val="none"/>
        </w:rPr>
        <w:t>万元，资金执行率</w:t>
      </w:r>
      <w:r>
        <w:rPr>
          <w:rFonts w:hint="eastAsia" w:ascii="Times New Roman" w:hAnsi="Times New Roman"/>
          <w:sz w:val="32"/>
          <w:szCs w:val="32"/>
          <w:highlight w:val="none"/>
          <w:lang w:val="en-US" w:eastAsia="zh-CN"/>
        </w:rPr>
        <w:t>98.93</w:t>
      </w:r>
      <w:r>
        <w:rPr>
          <w:rFonts w:hint="eastAsia" w:ascii="Times New Roman" w:hAnsi="Times New Roman"/>
          <w:sz w:val="32"/>
          <w:szCs w:val="32"/>
          <w:highlight w:val="none"/>
        </w:rPr>
        <w:t>%</w:t>
      </w:r>
      <w:r>
        <w:rPr>
          <w:rFonts w:hint="eastAsia" w:ascii="Times New Roman" w:hAnsi="Times New Roman"/>
          <w:sz w:val="32"/>
          <w:szCs w:val="32"/>
          <w:highlight w:val="none"/>
          <w:lang w:eastAsia="zh-CN"/>
        </w:rPr>
        <w:t>。</w:t>
      </w:r>
      <w:r>
        <w:rPr>
          <w:rFonts w:hint="eastAsia" w:ascii="Times New Roman" w:hAnsi="Times New Roman"/>
          <w:sz w:val="32"/>
          <w:szCs w:val="32"/>
          <w:highlight w:val="none"/>
        </w:rPr>
        <w:t>农业防灾救灾和水利救灾资金</w:t>
      </w:r>
      <w:r>
        <w:rPr>
          <w:rFonts w:hint="eastAsia" w:ascii="Times New Roman" w:hAnsi="Times New Roman"/>
          <w:sz w:val="32"/>
          <w:szCs w:val="32"/>
          <w:highlight w:val="none"/>
          <w:lang w:eastAsia="zh-CN"/>
        </w:rPr>
        <w:t>（</w:t>
      </w:r>
      <w:r>
        <w:rPr>
          <w:rFonts w:hint="eastAsia" w:ascii="Times New Roman" w:hAnsi="Times New Roman"/>
          <w:sz w:val="32"/>
          <w:szCs w:val="32"/>
          <w:highlight w:val="none"/>
          <w:lang w:val="en-US" w:eastAsia="zh-CN"/>
        </w:rPr>
        <w:t>第十四批</w:t>
      </w:r>
      <w:r>
        <w:rPr>
          <w:rFonts w:hint="eastAsia" w:ascii="Times New Roman" w:hAnsi="Times New Roman"/>
          <w:sz w:val="32"/>
          <w:szCs w:val="32"/>
          <w:highlight w:val="none"/>
          <w:lang w:eastAsia="zh-CN"/>
        </w:rPr>
        <w:t>）</w:t>
      </w:r>
      <w:r>
        <w:rPr>
          <w:rFonts w:hint="eastAsia" w:ascii="Times New Roman" w:hAnsi="Times New Roman"/>
          <w:sz w:val="32"/>
          <w:szCs w:val="32"/>
          <w:highlight w:val="none"/>
          <w:lang w:val="en-US" w:eastAsia="zh-CN"/>
        </w:rPr>
        <w:t>资金9820万元，资金执行0万元，资金执行率0%。</w:t>
      </w:r>
    </w:p>
    <w:p>
      <w:pPr>
        <w:pStyle w:val="13"/>
        <w:adjustRightInd w:val="0"/>
        <w:spacing w:after="0" w:line="560" w:lineRule="exact"/>
        <w:ind w:left="0" w:leftChars="0" w:firstLine="640"/>
        <w:rPr>
          <w:rFonts w:ascii="Times New Roman" w:hAnsi="Times New Roman"/>
          <w:sz w:val="32"/>
          <w:szCs w:val="32"/>
        </w:rPr>
      </w:pPr>
      <w:r>
        <w:rPr>
          <w:rFonts w:hint="eastAsia" w:ascii="Times New Roman" w:hAnsi="Times New Roman"/>
          <w:sz w:val="32"/>
          <w:szCs w:val="32"/>
        </w:rPr>
        <w:t>动物防疫补助资金</w:t>
      </w:r>
      <w:r>
        <w:rPr>
          <w:rFonts w:hint="eastAsia" w:ascii="Times New Roman" w:hAnsi="Times New Roman"/>
          <w:sz w:val="32"/>
          <w:szCs w:val="32"/>
          <w:lang w:eastAsia="zh-CN"/>
        </w:rPr>
        <w:t>（</w:t>
      </w:r>
      <w:r>
        <w:rPr>
          <w:rFonts w:hint="eastAsia" w:ascii="Times New Roman" w:hAnsi="Times New Roman"/>
          <w:sz w:val="32"/>
          <w:szCs w:val="32"/>
          <w:lang w:val="en-US" w:eastAsia="zh-CN"/>
        </w:rPr>
        <w:t>含配套</w:t>
      </w:r>
      <w:r>
        <w:rPr>
          <w:rFonts w:hint="eastAsia" w:ascii="Times New Roman" w:hAnsi="Times New Roman"/>
          <w:sz w:val="32"/>
          <w:szCs w:val="32"/>
          <w:lang w:eastAsia="zh-CN"/>
        </w:rPr>
        <w:t>）</w:t>
      </w:r>
      <w:r>
        <w:rPr>
          <w:rFonts w:hint="eastAsia" w:ascii="Times New Roman" w:hAnsi="Times New Roman"/>
          <w:sz w:val="32"/>
          <w:szCs w:val="32"/>
        </w:rPr>
        <w:t>共29482.74</w:t>
      </w:r>
      <w:r>
        <w:rPr>
          <w:rFonts w:hint="eastAsia" w:ascii="Times New Roman" w:hAnsi="Times New Roman"/>
          <w:sz w:val="32"/>
          <w:szCs w:val="32"/>
          <w:lang w:val="en-US" w:eastAsia="zh-CN"/>
        </w:rPr>
        <w:t>万元</w:t>
      </w:r>
      <w:r>
        <w:rPr>
          <w:rFonts w:hint="eastAsia" w:ascii="Times New Roman" w:hAnsi="Times New Roman"/>
          <w:sz w:val="32"/>
          <w:szCs w:val="32"/>
        </w:rPr>
        <w:t>，资金执行28018.82</w:t>
      </w:r>
      <w:r>
        <w:rPr>
          <w:rFonts w:ascii="Times New Roman" w:hAnsi="Times New Roman"/>
          <w:sz w:val="32"/>
          <w:szCs w:val="32"/>
        </w:rPr>
        <w:t>万元</w:t>
      </w:r>
      <w:r>
        <w:rPr>
          <w:rFonts w:hint="eastAsia" w:ascii="Times New Roman" w:hAnsi="Times New Roman"/>
          <w:sz w:val="32"/>
          <w:szCs w:val="32"/>
        </w:rPr>
        <w:t>，资金执行率</w:t>
      </w:r>
      <w:r>
        <w:rPr>
          <w:rFonts w:hint="eastAsia" w:ascii="Times New Roman" w:hAnsi="Times New Roman"/>
          <w:sz w:val="32"/>
          <w:szCs w:val="32"/>
          <w:lang w:val="en-US" w:eastAsia="zh-CN"/>
        </w:rPr>
        <w:t>97.65</w:t>
      </w:r>
      <w:r>
        <w:rPr>
          <w:rFonts w:hint="eastAsia" w:ascii="Times New Roman" w:hAnsi="Times New Roman"/>
          <w:sz w:val="32"/>
          <w:szCs w:val="32"/>
        </w:rPr>
        <w:t>%。</w:t>
      </w:r>
      <w:r>
        <w:rPr>
          <w:rFonts w:ascii="Times New Roman" w:hAnsi="Times New Roman"/>
          <w:sz w:val="32"/>
          <w:szCs w:val="32"/>
        </w:rPr>
        <w:t>各地州资金执行情况详见下表：</w:t>
      </w:r>
    </w:p>
    <w:p>
      <w:pPr>
        <w:pStyle w:val="18"/>
        <w:spacing w:line="560" w:lineRule="exact"/>
        <w:ind w:firstLine="441" w:firstLineChars="200"/>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w:t>
      </w:r>
      <w:r>
        <w:rPr>
          <w:rFonts w:hint="eastAsia" w:ascii="Times New Roman" w:hAnsi="Times New Roman"/>
          <w:b/>
          <w:bCs/>
          <w:sz w:val="22"/>
        </w:rPr>
        <w:t>农业防灾救灾和水利救灾</w:t>
      </w:r>
      <w:r>
        <w:rPr>
          <w:rFonts w:ascii="Times New Roman" w:hAnsi="Times New Roman"/>
          <w:b/>
          <w:bCs/>
          <w:sz w:val="22"/>
        </w:rPr>
        <w:t>各地州资金执行情况表</w:t>
      </w:r>
    </w:p>
    <w:p>
      <w:pPr>
        <w:pStyle w:val="13"/>
        <w:adjustRightInd w:val="0"/>
        <w:spacing w:after="0" w:line="560" w:lineRule="exact"/>
        <w:ind w:left="0" w:leftChars="0" w:firstLine="440"/>
        <w:jc w:val="right"/>
        <w:rPr>
          <w:rFonts w:ascii="Times New Roman" w:hAnsi="Times New Roman"/>
          <w:b/>
          <w:bCs/>
          <w:sz w:val="22"/>
          <w:szCs w:val="22"/>
        </w:rPr>
      </w:pPr>
      <w:r>
        <w:rPr>
          <w:rFonts w:ascii="Times New Roman" w:hAnsi="Times New Roman"/>
          <w:b/>
          <w:bCs/>
          <w:sz w:val="22"/>
          <w:szCs w:val="22"/>
        </w:rPr>
        <w:t>单位：万元</w:t>
      </w:r>
    </w:p>
    <w:tbl>
      <w:tblPr>
        <w:tblStyle w:val="14"/>
        <w:tblW w:w="85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4"/>
        <w:gridCol w:w="1675"/>
        <w:gridCol w:w="2525"/>
        <w:gridCol w:w="1344"/>
        <w:gridCol w:w="15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8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167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地州/单位</w:t>
            </w:r>
          </w:p>
        </w:tc>
        <w:tc>
          <w:tcPr>
            <w:tcW w:w="252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一、三分配金额</w:t>
            </w:r>
          </w:p>
        </w:tc>
        <w:tc>
          <w:tcPr>
            <w:tcW w:w="1344"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执行数</w:t>
            </w:r>
          </w:p>
        </w:tc>
        <w:tc>
          <w:tcPr>
            <w:tcW w:w="15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伊犁州</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328</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327.99</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塔城地区</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256</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256</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阿勒泰地区</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93</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88.17%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昌吉州</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151</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151</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乌鲁木齐市</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克拉玛依市</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博州</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53</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53</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吐鲁番市</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14.85</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14.85</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哈密市</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巴州</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57</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57</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11</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阿克苏地区</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920.67</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xml:space="preserve">917.25 </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99.63%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克州</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670.03</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color w:val="000000"/>
                <w:sz w:val="20"/>
                <w:szCs w:val="20"/>
                <w:u w:val="none"/>
                <w:lang w:val="en-US" w:eastAsia="zh-CN"/>
              </w:rPr>
            </w:pPr>
            <w:r>
              <w:rPr>
                <w:rFonts w:hint="eastAsia" w:asciiTheme="minorEastAsia" w:hAnsiTheme="minorEastAsia" w:eastAsiaTheme="minorEastAsia" w:cstheme="minorEastAsia"/>
                <w:i w:val="0"/>
                <w:color w:val="000000"/>
                <w:sz w:val="20"/>
                <w:szCs w:val="20"/>
                <w:u w:val="none"/>
                <w:lang w:val="en-US" w:eastAsia="zh-CN"/>
              </w:rPr>
              <w:t>650.31</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97.06</w:t>
            </w:r>
            <w:r>
              <w:rPr>
                <w:rFonts w:hint="eastAsia" w:asciiTheme="minorEastAsia" w:hAnsiTheme="minorEastAsia" w:eastAsiaTheme="minorEastAsia" w:cstheme="minorEastAsia"/>
                <w:i w:val="0"/>
                <w:color w:val="000000"/>
                <w:sz w:val="20"/>
                <w:szCs w:val="20"/>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13</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喀什地区</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682.45</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680.45</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99.71%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14</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和田地区</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132</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132</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384"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17</w:t>
            </w:r>
          </w:p>
        </w:tc>
        <w:tc>
          <w:tcPr>
            <w:tcW w:w="1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20"/>
                <w:szCs w:val="20"/>
                <w:u w:val="none"/>
              </w:rPr>
            </w:pPr>
            <w:r>
              <w:rPr>
                <w:rFonts w:hint="eastAsia" w:asciiTheme="minorEastAsia" w:hAnsiTheme="minorEastAsia" w:eastAsiaTheme="minorEastAsia" w:cstheme="minorEastAsia"/>
                <w:b/>
                <w:i w:val="0"/>
                <w:color w:val="000000"/>
                <w:kern w:val="0"/>
                <w:sz w:val="20"/>
                <w:szCs w:val="20"/>
                <w:u w:val="none"/>
                <w:lang w:val="en-US" w:eastAsia="zh-CN" w:bidi="ar"/>
              </w:rPr>
              <w:t>合计</w:t>
            </w:r>
          </w:p>
        </w:tc>
        <w:tc>
          <w:tcPr>
            <w:tcW w:w="2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3380</w:t>
            </w:r>
          </w:p>
        </w:tc>
        <w:tc>
          <w:tcPr>
            <w:tcW w:w="134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3343.85</w:t>
            </w:r>
          </w:p>
        </w:tc>
        <w:tc>
          <w:tcPr>
            <w:tcW w:w="159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98.9</w:t>
            </w:r>
            <w:r>
              <w:rPr>
                <w:rFonts w:hint="eastAsia" w:asciiTheme="minorEastAsia" w:hAnsiTheme="minorEastAsia" w:eastAsiaTheme="minorEastAsia" w:cstheme="minorEastAsia"/>
                <w:i w:val="0"/>
                <w:color w:val="000000"/>
                <w:sz w:val="20"/>
                <w:szCs w:val="20"/>
                <w:u w:val="none"/>
                <w:lang w:val="en-US" w:eastAsia="zh-CN"/>
              </w:rPr>
              <w:t>3</w:t>
            </w:r>
            <w:r>
              <w:rPr>
                <w:rFonts w:hint="eastAsia" w:asciiTheme="minorEastAsia" w:hAnsiTheme="minorEastAsia" w:eastAsiaTheme="minorEastAsia" w:cstheme="minorEastAsia"/>
                <w:i w:val="0"/>
                <w:color w:val="000000"/>
                <w:sz w:val="20"/>
                <w:szCs w:val="20"/>
                <w:u w:val="none"/>
              </w:rPr>
              <w:t>%</w:t>
            </w:r>
          </w:p>
        </w:tc>
      </w:tr>
    </w:tbl>
    <w:p>
      <w:pPr>
        <w:rPr>
          <w:rFonts w:ascii="Times New Roman" w:hAnsi="Times New Roman"/>
          <w:b/>
          <w:bCs/>
          <w:sz w:val="22"/>
        </w:rPr>
      </w:pPr>
      <w:r>
        <w:rPr>
          <w:rFonts w:ascii="Times New Roman" w:hAnsi="Times New Roman"/>
          <w:b/>
          <w:bCs/>
          <w:sz w:val="22"/>
        </w:rPr>
        <w:br w:type="page"/>
      </w:r>
    </w:p>
    <w:p>
      <w:pPr>
        <w:pStyle w:val="18"/>
        <w:keepNext w:val="0"/>
        <w:keepLines w:val="0"/>
        <w:pageBreakBefore w:val="0"/>
        <w:widowControl w:val="0"/>
        <w:kinsoku/>
        <w:wordWrap/>
        <w:overflowPunct/>
        <w:topLinePunct w:val="0"/>
        <w:autoSpaceDE/>
        <w:autoSpaceDN/>
        <w:bidi w:val="0"/>
        <w:adjustRightInd/>
        <w:snapToGrid/>
        <w:spacing w:line="560" w:lineRule="exact"/>
        <w:ind w:firstLine="441" w:firstLineChars="200"/>
        <w:jc w:val="center"/>
        <w:textAlignment w:val="auto"/>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w:t>
      </w:r>
      <w:r>
        <w:rPr>
          <w:rFonts w:hint="eastAsia" w:ascii="Times New Roman" w:hAnsi="Times New Roman"/>
          <w:b/>
          <w:bCs/>
          <w:sz w:val="22"/>
        </w:rPr>
        <w:t>农业防灾救灾和水利救灾</w:t>
      </w:r>
      <w:r>
        <w:rPr>
          <w:rFonts w:hint="eastAsia" w:ascii="Times New Roman" w:hAnsi="Times New Roman"/>
          <w:b/>
          <w:bCs/>
          <w:sz w:val="22"/>
          <w:lang w:eastAsia="zh-CN"/>
        </w:rPr>
        <w:t>（</w:t>
      </w:r>
      <w:r>
        <w:rPr>
          <w:rFonts w:hint="eastAsia" w:ascii="Times New Roman" w:hAnsi="Times New Roman"/>
          <w:b/>
          <w:bCs/>
          <w:sz w:val="22"/>
          <w:lang w:val="en-US" w:eastAsia="zh-CN"/>
        </w:rPr>
        <w:t>第十四批</w:t>
      </w:r>
      <w:r>
        <w:rPr>
          <w:rFonts w:hint="eastAsia" w:ascii="Times New Roman" w:hAnsi="Times New Roman"/>
          <w:b/>
          <w:bCs/>
          <w:sz w:val="22"/>
          <w:lang w:eastAsia="zh-CN"/>
        </w:rPr>
        <w:t>）</w:t>
      </w:r>
      <w:r>
        <w:rPr>
          <w:rFonts w:ascii="Times New Roman" w:hAnsi="Times New Roman"/>
          <w:b/>
          <w:bCs/>
          <w:sz w:val="22"/>
        </w:rPr>
        <w:t>各地州资金执行情况表</w:t>
      </w:r>
    </w:p>
    <w:p>
      <w:pPr>
        <w:pStyle w:val="13"/>
        <w:adjustRightInd w:val="0"/>
        <w:spacing w:after="0" w:line="560" w:lineRule="exact"/>
        <w:ind w:left="0" w:leftChars="0" w:firstLine="440"/>
        <w:jc w:val="right"/>
        <w:rPr>
          <w:rFonts w:ascii="Times New Roman" w:hAnsi="Times New Roman" w:cs="Times New Roman"/>
          <w:b/>
          <w:bCs/>
          <w:sz w:val="22"/>
          <w:szCs w:val="22"/>
        </w:rPr>
      </w:pPr>
      <w:r>
        <w:rPr>
          <w:rFonts w:ascii="Times New Roman" w:hAnsi="Times New Roman" w:cs="Times New Roman"/>
          <w:b/>
          <w:bCs/>
          <w:sz w:val="22"/>
          <w:szCs w:val="22"/>
        </w:rPr>
        <w:t>单位：万元</w:t>
      </w:r>
    </w:p>
    <w:tbl>
      <w:tblPr>
        <w:tblStyle w:val="14"/>
        <w:tblW w:w="88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9"/>
        <w:gridCol w:w="2431"/>
        <w:gridCol w:w="2167"/>
        <w:gridCol w:w="1381"/>
        <w:gridCol w:w="22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序号</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地</w:t>
            </w:r>
            <w:r>
              <w:rPr>
                <w:rFonts w:hint="default" w:ascii="宋体" w:hAnsi="宋体" w:eastAsia="宋体" w:cs="宋体"/>
                <w:b/>
                <w:i w:val="0"/>
                <w:color w:val="000000"/>
                <w:kern w:val="0"/>
                <w:sz w:val="20"/>
                <w:szCs w:val="20"/>
                <w:u w:val="none"/>
                <w:lang w:val="en-US" w:eastAsia="zh-CN" w:bidi="ar"/>
              </w:rPr>
              <w:t xml:space="preserve">  </w:t>
            </w:r>
            <w:r>
              <w:rPr>
                <w:rFonts w:hint="eastAsia" w:ascii="宋体" w:hAnsi="宋体" w:eastAsia="宋体" w:cs="宋体"/>
                <w:b/>
                <w:i w:val="0"/>
                <w:color w:val="000000"/>
                <w:kern w:val="0"/>
                <w:sz w:val="20"/>
                <w:szCs w:val="20"/>
                <w:u w:val="none"/>
                <w:lang w:val="en-US" w:eastAsia="zh-CN" w:bidi="ar"/>
              </w:rPr>
              <w:t>州</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第十四批分配金额</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执行资金</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jc w:val="center"/>
        </w:trPr>
        <w:tc>
          <w:tcPr>
            <w:tcW w:w="30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合计</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9820</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0.0</w:t>
            </w:r>
            <w:r>
              <w:rPr>
                <w:rFonts w:hint="default" w:ascii="宋体" w:hAnsi="宋体" w:eastAsia="宋体" w:cs="宋体"/>
                <w:b w:val="0"/>
                <w:bCs/>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乌鲁木齐市</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140</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2</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伊犁州</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1462</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3</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塔城地区</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801</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4</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阿勒泰地区</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942</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5</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克拉玛依市</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43</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6</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博州</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348</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7</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昌吉州</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445</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8</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哈密</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215</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9</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吐鲁番</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110</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10</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巴州</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677</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11</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阿克苏地区</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979</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0.0</w:t>
            </w:r>
            <w:r>
              <w:rPr>
                <w:rFonts w:hint="default" w:ascii="宋体" w:hAnsi="宋体" w:eastAsia="宋体" w:cs="宋体"/>
                <w:b w:val="0"/>
                <w:bCs/>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12</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克 州</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845</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0.0</w:t>
            </w:r>
            <w:r>
              <w:rPr>
                <w:rFonts w:hint="default" w:ascii="宋体" w:hAnsi="宋体" w:eastAsia="宋体" w:cs="宋体"/>
                <w:b w:val="0"/>
                <w:bCs/>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13</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喀什地区</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1698</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14</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和田地区</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785</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15</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新疆畜牧科学院</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130</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6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16</w:t>
            </w:r>
          </w:p>
        </w:tc>
        <w:tc>
          <w:tcPr>
            <w:tcW w:w="2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自治区动物疾病预防控制中心</w:t>
            </w:r>
          </w:p>
        </w:tc>
        <w:tc>
          <w:tcPr>
            <w:tcW w:w="21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200</w:t>
            </w:r>
          </w:p>
        </w:tc>
        <w:tc>
          <w:tcPr>
            <w:tcW w:w="13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0</w:t>
            </w:r>
          </w:p>
        </w:tc>
        <w:tc>
          <w:tcPr>
            <w:tcW w:w="2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0"/>
                <w:szCs w:val="20"/>
                <w:u w:val="none"/>
                <w:lang w:val="en-US" w:eastAsia="zh-CN" w:bidi="ar"/>
              </w:rPr>
            </w:pPr>
            <w:r>
              <w:rPr>
                <w:rFonts w:hint="default" w:ascii="宋体" w:hAnsi="宋体" w:eastAsia="宋体" w:cs="宋体"/>
                <w:b w:val="0"/>
                <w:bCs/>
                <w:i w:val="0"/>
                <w:color w:val="000000"/>
                <w:kern w:val="0"/>
                <w:sz w:val="20"/>
                <w:szCs w:val="20"/>
                <w:u w:val="none"/>
                <w:lang w:val="en-US" w:eastAsia="zh-CN" w:bidi="ar"/>
              </w:rPr>
              <w:t>0.0%</w:t>
            </w:r>
          </w:p>
        </w:tc>
      </w:tr>
    </w:tbl>
    <w:p>
      <w:pPr>
        <w:rPr>
          <w:rFonts w:ascii="Times New Roman" w:hAnsi="Times New Roman"/>
          <w:b/>
          <w:bCs/>
          <w:sz w:val="22"/>
        </w:rPr>
      </w:pPr>
      <w:r>
        <w:rPr>
          <w:rFonts w:ascii="Times New Roman" w:hAnsi="Times New Roman"/>
          <w:b/>
          <w:bCs/>
          <w:sz w:val="22"/>
        </w:rPr>
        <w:br w:type="page"/>
      </w:r>
    </w:p>
    <w:p>
      <w:pPr>
        <w:pStyle w:val="18"/>
        <w:keepNext w:val="0"/>
        <w:keepLines w:val="0"/>
        <w:pageBreakBefore w:val="0"/>
        <w:widowControl w:val="0"/>
        <w:kinsoku/>
        <w:wordWrap/>
        <w:overflowPunct/>
        <w:topLinePunct w:val="0"/>
        <w:autoSpaceDE/>
        <w:autoSpaceDN/>
        <w:bidi w:val="0"/>
        <w:adjustRightInd/>
        <w:snapToGrid/>
        <w:spacing w:line="560" w:lineRule="exact"/>
        <w:ind w:firstLine="441" w:firstLineChars="200"/>
        <w:jc w:val="center"/>
        <w:textAlignment w:val="auto"/>
        <w:rPr>
          <w:rFonts w:hint="eastAsia"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w:t>
      </w:r>
      <w:r>
        <w:rPr>
          <w:rFonts w:hint="eastAsia" w:ascii="Times New Roman" w:hAnsi="Times New Roman"/>
          <w:b/>
          <w:bCs/>
          <w:sz w:val="22"/>
        </w:rPr>
        <w:t>农业防灾救灾和水利救灾动物防疫补助包含自治区配套强制扑杀补助</w:t>
      </w:r>
    </w:p>
    <w:p>
      <w:pPr>
        <w:pStyle w:val="18"/>
        <w:keepNext w:val="0"/>
        <w:keepLines w:val="0"/>
        <w:pageBreakBefore w:val="0"/>
        <w:widowControl w:val="0"/>
        <w:kinsoku/>
        <w:wordWrap/>
        <w:overflowPunct/>
        <w:topLinePunct w:val="0"/>
        <w:autoSpaceDE/>
        <w:autoSpaceDN/>
        <w:bidi w:val="0"/>
        <w:adjustRightInd/>
        <w:snapToGrid/>
        <w:spacing w:line="560" w:lineRule="exact"/>
        <w:ind w:firstLine="441" w:firstLineChars="200"/>
        <w:jc w:val="center"/>
        <w:textAlignment w:val="auto"/>
        <w:rPr>
          <w:rFonts w:ascii="Times New Roman" w:hAnsi="Times New Roman"/>
          <w:b/>
          <w:bCs/>
          <w:sz w:val="22"/>
        </w:rPr>
      </w:pPr>
      <w:r>
        <w:rPr>
          <w:rFonts w:hint="eastAsia" w:ascii="Times New Roman" w:hAnsi="Times New Roman"/>
          <w:b/>
          <w:bCs/>
          <w:sz w:val="22"/>
        </w:rPr>
        <w:t>经费）</w:t>
      </w:r>
      <w:r>
        <w:rPr>
          <w:rFonts w:ascii="Times New Roman" w:hAnsi="Times New Roman"/>
          <w:b/>
          <w:bCs/>
          <w:sz w:val="22"/>
        </w:rPr>
        <w:t>各地州资金执行情况表</w:t>
      </w:r>
    </w:p>
    <w:p>
      <w:pPr>
        <w:pStyle w:val="13"/>
        <w:adjustRightInd w:val="0"/>
        <w:spacing w:after="0" w:line="560" w:lineRule="exact"/>
        <w:ind w:left="0" w:leftChars="0" w:firstLine="440"/>
        <w:jc w:val="right"/>
        <w:rPr>
          <w:rFonts w:ascii="Times New Roman" w:hAnsi="Times New Roman"/>
          <w:b/>
          <w:bCs/>
          <w:sz w:val="22"/>
          <w:szCs w:val="22"/>
        </w:rPr>
      </w:pPr>
      <w:r>
        <w:rPr>
          <w:rFonts w:ascii="Times New Roman" w:hAnsi="Times New Roman"/>
          <w:b/>
          <w:bCs/>
          <w:sz w:val="22"/>
          <w:szCs w:val="22"/>
        </w:rPr>
        <w:t>单位：万元</w:t>
      </w:r>
    </w:p>
    <w:tbl>
      <w:tblPr>
        <w:tblStyle w:val="14"/>
        <w:tblW w:w="8444" w:type="dxa"/>
        <w:tblInd w:w="0" w:type="dxa"/>
        <w:tblLayout w:type="fixed"/>
        <w:tblCellMar>
          <w:top w:w="0" w:type="dxa"/>
          <w:left w:w="0" w:type="dxa"/>
          <w:bottom w:w="0" w:type="dxa"/>
          <w:right w:w="0" w:type="dxa"/>
        </w:tblCellMar>
      </w:tblPr>
      <w:tblGrid>
        <w:gridCol w:w="819"/>
        <w:gridCol w:w="1560"/>
        <w:gridCol w:w="1677"/>
        <w:gridCol w:w="2518"/>
        <w:gridCol w:w="1870"/>
      </w:tblGrid>
      <w:tr>
        <w:tblPrEx>
          <w:tblCellMar>
            <w:top w:w="0" w:type="dxa"/>
            <w:left w:w="0" w:type="dxa"/>
            <w:bottom w:w="0" w:type="dxa"/>
            <w:right w:w="0" w:type="dxa"/>
          </w:tblCellMar>
        </w:tblPrEx>
        <w:trPr>
          <w:trHeight w:val="11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Theme="minorEastAsia" w:hAnsiTheme="minorEastAsia" w:eastAsiaTheme="minorEastAsia" w:cstheme="minorEastAsia"/>
                <w:b/>
                <w:color w:val="000000"/>
                <w:sz w:val="20"/>
                <w:szCs w:val="20"/>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地区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补助经费金额（包含自治区配套强制扑杀补助经费）</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已执行金额</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执行率</w:t>
            </w:r>
          </w:p>
        </w:tc>
      </w:tr>
      <w:tr>
        <w:tblPrEx>
          <w:tblCellMar>
            <w:top w:w="0" w:type="dxa"/>
            <w:left w:w="0" w:type="dxa"/>
            <w:bottom w:w="0" w:type="dxa"/>
            <w:right w:w="0" w:type="dxa"/>
          </w:tblCellMar>
        </w:tblPrEx>
        <w:trPr>
          <w:trHeight w:val="700" w:hRule="atLeast"/>
        </w:trPr>
        <w:tc>
          <w:tcPr>
            <w:tcW w:w="237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 xml:space="preserve">29482.74 </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 xml:space="preserve">28018.82 </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97.65%</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乌鲁木齐市</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525.56</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525.56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100.00%</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2</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伊犁州</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4582.82</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4487.84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97.93%</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塔城地区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1947</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1943.42395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99.82%</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阿勒泰地区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2189.555</w:t>
            </w:r>
          </w:p>
        </w:tc>
        <w:tc>
          <w:tcPr>
            <w:tcW w:w="2518" w:type="dxa"/>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sz w:val="20"/>
                <w:szCs w:val="20"/>
              </w:rPr>
            </w:pPr>
            <w:r>
              <w:rPr>
                <w:rFonts w:hint="eastAsia"/>
                <w:sz w:val="20"/>
                <w:szCs w:val="20"/>
              </w:rPr>
              <w:t>2146.89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97.97%</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克拉玛依市</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186.87</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186.26878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99.68%</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博州</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811</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809.1026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99.77%</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7</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昌吉州</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2315.78</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2239.6779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96.71%</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8</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哈密市</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1629.59</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1627.84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99.89%</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9</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吐鲁番市</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425.21</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425.21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100.00%</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巴州</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2715.6</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2610.37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96.12%</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11</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阿克苏地区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4170.05</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4170.05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100.00%</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12</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克州</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1014.2</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1013.35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99.92%</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13</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喀什地区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3540.25</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3408.93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96.29%</w:t>
            </w:r>
          </w:p>
        </w:tc>
      </w:tr>
      <w:tr>
        <w:tblPrEx>
          <w:tblCellMar>
            <w:top w:w="0" w:type="dxa"/>
            <w:left w:w="0" w:type="dxa"/>
            <w:bottom w:w="0" w:type="dxa"/>
            <w:right w:w="0"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14</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和田地区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3229.25</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2996.71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92.40%</w:t>
            </w:r>
          </w:p>
        </w:tc>
      </w:tr>
      <w:tr>
        <w:tblPrEx>
          <w:tblCellMar>
            <w:top w:w="0" w:type="dxa"/>
            <w:left w:w="0" w:type="dxa"/>
            <w:bottom w:w="0" w:type="dxa"/>
            <w:right w:w="0" w:type="dxa"/>
          </w:tblCellMar>
        </w:tblPrEx>
        <w:trPr>
          <w:trHeight w:val="14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15</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自治区动物疾病预防控制中心</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165</w:t>
            </w:r>
          </w:p>
        </w:tc>
        <w:tc>
          <w:tcPr>
            <w:tcW w:w="25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165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100.00%</w:t>
            </w:r>
          </w:p>
        </w:tc>
      </w:tr>
      <w:tr>
        <w:tblPrEx>
          <w:tblCellMar>
            <w:top w:w="0" w:type="dxa"/>
            <w:left w:w="0" w:type="dxa"/>
            <w:bottom w:w="0" w:type="dxa"/>
            <w:right w:w="0" w:type="dxa"/>
          </w:tblCellMar>
        </w:tblPrEx>
        <w:trPr>
          <w:trHeight w:val="10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eastAsia="宋体"/>
                <w:color w:val="000000"/>
                <w:sz w:val="20"/>
                <w:szCs w:val="20"/>
              </w:rPr>
            </w:pPr>
            <w:r>
              <w:rPr>
                <w:rFonts w:eastAsia="宋体"/>
                <w:color w:val="000000"/>
                <w:kern w:val="0"/>
                <w:sz w:val="20"/>
                <w:szCs w:val="20"/>
                <w:lang w:bidi="ar"/>
              </w:rPr>
              <w:t>16</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新疆畜牧科学院兽医研究所</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35</w:t>
            </w:r>
          </w:p>
        </w:tc>
        <w:tc>
          <w:tcPr>
            <w:tcW w:w="25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sz w:val="20"/>
                <w:szCs w:val="20"/>
              </w:rPr>
            </w:pPr>
            <w:r>
              <w:rPr>
                <w:rFonts w:hint="eastAsia"/>
                <w:sz w:val="20"/>
                <w:szCs w:val="20"/>
              </w:rPr>
              <w:t>35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100.00%</w:t>
            </w:r>
          </w:p>
        </w:tc>
      </w:tr>
    </w:tbl>
    <w:p>
      <w:pPr>
        <w:spacing w:line="560" w:lineRule="exact"/>
        <w:ind w:firstLine="642" w:firstLineChars="200"/>
        <w:rPr>
          <w:b/>
          <w:bCs/>
          <w:sz w:val="32"/>
          <w:szCs w:val="32"/>
        </w:rPr>
      </w:pPr>
    </w:p>
    <w:p>
      <w:pPr>
        <w:spacing w:line="560" w:lineRule="exact"/>
        <w:ind w:firstLine="642" w:firstLineChars="200"/>
        <w:rPr>
          <w:b/>
          <w:bCs/>
          <w:sz w:val="32"/>
          <w:szCs w:val="32"/>
        </w:rPr>
      </w:pPr>
      <w:r>
        <w:rPr>
          <w:b/>
          <w:bCs/>
          <w:sz w:val="32"/>
          <w:szCs w:val="32"/>
        </w:rPr>
        <w:t>（二）项目资金管理情况分析</w:t>
      </w:r>
    </w:p>
    <w:p>
      <w:pPr>
        <w:spacing w:line="560" w:lineRule="exact"/>
        <w:ind w:firstLine="640" w:firstLineChars="200"/>
        <w:rPr>
          <w:b/>
          <w:bCs/>
          <w:sz w:val="32"/>
          <w:szCs w:val="32"/>
        </w:rPr>
      </w:pPr>
      <w:r>
        <w:rPr>
          <w:sz w:val="32"/>
          <w:szCs w:val="32"/>
          <w:shd w:val="clear" w:color="auto" w:fill="FFFFFF"/>
        </w:rPr>
        <w:t>按照</w:t>
      </w:r>
      <w:r>
        <w:rPr>
          <w:sz w:val="32"/>
          <w:szCs w:val="32"/>
        </w:rPr>
        <w:t>《财政部农业农村</w:t>
      </w:r>
      <w:r>
        <w:rPr>
          <w:rFonts w:hint="eastAsia"/>
          <w:sz w:val="32"/>
          <w:szCs w:val="32"/>
        </w:rPr>
        <w:t>厅</w:t>
      </w:r>
      <w:r>
        <w:rPr>
          <w:sz w:val="32"/>
          <w:szCs w:val="32"/>
        </w:rPr>
        <w:t>水利部关于印发《农业生产和水利救灾资金管理办法》的通知》</w:t>
      </w:r>
      <w:r>
        <w:rPr>
          <w:sz w:val="32"/>
          <w:szCs w:val="32"/>
          <w:shd w:val="clear" w:color="auto" w:fill="FFFFFF"/>
        </w:rPr>
        <w:t>、《关于印发&lt;新疆维吾尔自治区农业相关转移支付资金绩效管理办法实施细则&gt;的通知》（新财规〔2020〕15号）</w:t>
      </w:r>
      <w:r>
        <w:rPr>
          <w:rFonts w:hint="eastAsia"/>
          <w:sz w:val="32"/>
          <w:szCs w:val="32"/>
          <w:shd w:val="clear" w:color="auto" w:fill="FFFFFF"/>
          <w:lang w:eastAsia="zh-CN"/>
        </w:rPr>
        <w:t>要求</w:t>
      </w:r>
      <w:r>
        <w:rPr>
          <w:rFonts w:hint="eastAsia"/>
          <w:sz w:val="32"/>
          <w:szCs w:val="32"/>
          <w:shd w:val="clear" w:color="auto" w:fill="FFFFFF"/>
          <w:lang w:val="en-US" w:eastAsia="zh-CN"/>
        </w:rPr>
        <w:t>,</w:t>
      </w:r>
      <w:r>
        <w:rPr>
          <w:rFonts w:hint="eastAsia"/>
          <w:sz w:val="32"/>
          <w:szCs w:val="32"/>
          <w:shd w:val="clear" w:color="auto" w:fill="FFFFFF"/>
        </w:rPr>
        <w:t>本项目资金的整体管理水平，做到了专款专用、及时拨付、规范支付，保障农业防灾救灾和水利救灾资金</w:t>
      </w:r>
      <w:r>
        <w:rPr>
          <w:rFonts w:hint="eastAsia"/>
          <w:sz w:val="32"/>
          <w:szCs w:val="32"/>
          <w:shd w:val="clear" w:color="auto" w:fill="FFFFFF"/>
          <w:lang w:eastAsia="zh-CN"/>
        </w:rPr>
        <w:t>及</w:t>
      </w:r>
      <w:r>
        <w:rPr>
          <w:rFonts w:hint="eastAsia"/>
          <w:sz w:val="32"/>
          <w:szCs w:val="32"/>
          <w:shd w:val="clear" w:color="auto" w:fill="FFFFFF"/>
        </w:rPr>
        <w:t>动物防疫补助资金支付需求，确保农业防灾救灾和水利救灾资金</w:t>
      </w:r>
      <w:r>
        <w:rPr>
          <w:rFonts w:hint="eastAsia"/>
          <w:sz w:val="32"/>
          <w:szCs w:val="32"/>
          <w:shd w:val="clear" w:color="auto" w:fill="FFFFFF"/>
          <w:lang w:eastAsia="zh-CN"/>
        </w:rPr>
        <w:t>及</w:t>
      </w:r>
      <w:r>
        <w:rPr>
          <w:rFonts w:hint="eastAsia"/>
          <w:sz w:val="32"/>
          <w:szCs w:val="32"/>
          <w:shd w:val="clear" w:color="auto" w:fill="FFFFFF"/>
        </w:rPr>
        <w:t>动物防疫补助资金项目顺利实施。</w:t>
      </w:r>
    </w:p>
    <w:p>
      <w:pPr>
        <w:spacing w:line="560" w:lineRule="exact"/>
        <w:ind w:firstLine="642" w:firstLineChars="200"/>
        <w:rPr>
          <w:sz w:val="32"/>
          <w:szCs w:val="32"/>
        </w:rPr>
      </w:pPr>
      <w:r>
        <w:rPr>
          <w:b/>
          <w:bCs/>
          <w:sz w:val="32"/>
          <w:szCs w:val="32"/>
        </w:rPr>
        <w:t>1.资金分配科学性：</w:t>
      </w:r>
      <w:r>
        <w:rPr>
          <w:rFonts w:hint="eastAsia"/>
          <w:sz w:val="32"/>
          <w:szCs w:val="32"/>
        </w:rPr>
        <w:t>一是</w:t>
      </w:r>
      <w:r>
        <w:rPr>
          <w:sz w:val="32"/>
          <w:szCs w:val="32"/>
        </w:rPr>
        <w:t>根据《财政部关于下达202</w:t>
      </w:r>
      <w:r>
        <w:rPr>
          <w:rFonts w:hint="eastAsia"/>
          <w:sz w:val="32"/>
          <w:szCs w:val="32"/>
        </w:rPr>
        <w:t>4</w:t>
      </w:r>
      <w:r>
        <w:rPr>
          <w:sz w:val="32"/>
          <w:szCs w:val="32"/>
        </w:rPr>
        <w:t>年农业防灾减灾和水利救灾资金预算（防灾减灾第</w:t>
      </w:r>
      <w:r>
        <w:rPr>
          <w:rFonts w:hint="eastAsia"/>
          <w:sz w:val="32"/>
          <w:szCs w:val="32"/>
        </w:rPr>
        <w:t>三</w:t>
      </w:r>
      <w:r>
        <w:rPr>
          <w:sz w:val="32"/>
          <w:szCs w:val="32"/>
        </w:rPr>
        <w:t>批）的通知》（财农〔202</w:t>
      </w:r>
      <w:r>
        <w:rPr>
          <w:rFonts w:hint="eastAsia"/>
          <w:sz w:val="32"/>
          <w:szCs w:val="32"/>
        </w:rPr>
        <w:t>4</w:t>
      </w:r>
      <w:r>
        <w:rPr>
          <w:sz w:val="32"/>
          <w:szCs w:val="32"/>
        </w:rPr>
        <w:t>〕</w:t>
      </w:r>
      <w:r>
        <w:rPr>
          <w:rFonts w:hint="eastAsia"/>
          <w:sz w:val="32"/>
          <w:szCs w:val="32"/>
        </w:rPr>
        <w:t>20</w:t>
      </w:r>
      <w:r>
        <w:rPr>
          <w:sz w:val="32"/>
          <w:szCs w:val="32"/>
        </w:rPr>
        <w:t>号）</w:t>
      </w:r>
      <w:r>
        <w:rPr>
          <w:rFonts w:hint="eastAsia"/>
          <w:sz w:val="32"/>
          <w:szCs w:val="32"/>
        </w:rPr>
        <w:t>拨付</w:t>
      </w:r>
      <w:r>
        <w:rPr>
          <w:sz w:val="32"/>
          <w:szCs w:val="32"/>
        </w:rPr>
        <w:t>我区农业生产救灾资金</w:t>
      </w:r>
      <w:r>
        <w:rPr>
          <w:rFonts w:hint="eastAsia"/>
          <w:sz w:val="32"/>
          <w:szCs w:val="32"/>
        </w:rPr>
        <w:t>1750</w:t>
      </w:r>
      <w:r>
        <w:rPr>
          <w:sz w:val="32"/>
          <w:szCs w:val="32"/>
        </w:rPr>
        <w:t>万元</w:t>
      </w:r>
      <w:r>
        <w:rPr>
          <w:rFonts w:hint="eastAsia"/>
          <w:sz w:val="32"/>
          <w:szCs w:val="32"/>
        </w:rPr>
        <w:t>，主要用于</w:t>
      </w:r>
      <w:r>
        <w:rPr>
          <w:sz w:val="32"/>
          <w:szCs w:val="32"/>
        </w:rPr>
        <w:t>支持小麦、玉米重大病虫害以及农区蝗虫等农作物重大病虫疫情防控，重发区域病虫疫情得到有效控制，新发突发重大农业植物疫情有效处置，不出现大面积绝收成灾，有力保障粮食安全和农业生产安全。</w:t>
      </w:r>
      <w:r>
        <w:rPr>
          <w:rFonts w:hint="eastAsia"/>
          <w:sz w:val="32"/>
          <w:szCs w:val="32"/>
        </w:rPr>
        <w:t>二是</w:t>
      </w:r>
      <w:r>
        <w:rPr>
          <w:sz w:val="32"/>
          <w:szCs w:val="32"/>
        </w:rPr>
        <w:t>根据</w:t>
      </w:r>
      <w:r>
        <w:rPr>
          <w:rFonts w:hint="eastAsia"/>
          <w:sz w:val="32"/>
          <w:szCs w:val="32"/>
        </w:rPr>
        <w:t>《</w:t>
      </w:r>
      <w:r>
        <w:rPr>
          <w:sz w:val="32"/>
          <w:szCs w:val="32"/>
        </w:rPr>
        <w:t>财政部关于下达202</w:t>
      </w:r>
      <w:r>
        <w:rPr>
          <w:rFonts w:hint="eastAsia"/>
          <w:sz w:val="32"/>
          <w:szCs w:val="32"/>
        </w:rPr>
        <w:t>4</w:t>
      </w:r>
      <w:r>
        <w:rPr>
          <w:sz w:val="32"/>
          <w:szCs w:val="32"/>
        </w:rPr>
        <w:t>年农业防灾减灾和水利救灾资金预算（防灾减灾第</w:t>
      </w:r>
      <w:r>
        <w:rPr>
          <w:rFonts w:hint="eastAsia"/>
          <w:sz w:val="32"/>
          <w:szCs w:val="32"/>
        </w:rPr>
        <w:t>三</w:t>
      </w:r>
      <w:r>
        <w:rPr>
          <w:sz w:val="32"/>
          <w:szCs w:val="32"/>
        </w:rPr>
        <w:t>批）的通知》（财农〔202</w:t>
      </w:r>
      <w:r>
        <w:rPr>
          <w:rFonts w:hint="eastAsia"/>
          <w:sz w:val="32"/>
          <w:szCs w:val="32"/>
        </w:rPr>
        <w:t>4</w:t>
      </w:r>
      <w:r>
        <w:rPr>
          <w:sz w:val="32"/>
          <w:szCs w:val="32"/>
        </w:rPr>
        <w:t>〕</w:t>
      </w:r>
      <w:r>
        <w:rPr>
          <w:rFonts w:hint="eastAsia"/>
          <w:sz w:val="32"/>
          <w:szCs w:val="32"/>
        </w:rPr>
        <w:t>3</w:t>
      </w:r>
      <w:r>
        <w:rPr>
          <w:sz w:val="32"/>
          <w:szCs w:val="32"/>
        </w:rPr>
        <w:t>号），主要用于支持新疆开展</w:t>
      </w:r>
      <w:r>
        <w:rPr>
          <w:rFonts w:hint="eastAsia"/>
          <w:sz w:val="32"/>
          <w:szCs w:val="32"/>
        </w:rPr>
        <w:t>雨雪、冰冻、</w:t>
      </w:r>
      <w:r>
        <w:rPr>
          <w:sz w:val="32"/>
          <w:szCs w:val="32"/>
        </w:rPr>
        <w:t>低温救灾等相关工作。根据各地农作物受灾情况和设施大棚损毁情况，予以分配资金。</w:t>
      </w:r>
    </w:p>
    <w:p>
      <w:pPr>
        <w:spacing w:line="560" w:lineRule="exact"/>
        <w:ind w:firstLine="642" w:firstLineChars="200"/>
        <w:rPr>
          <w:sz w:val="32"/>
          <w:szCs w:val="32"/>
        </w:rPr>
      </w:pPr>
      <w:r>
        <w:rPr>
          <w:b/>
          <w:bCs/>
          <w:sz w:val="32"/>
          <w:szCs w:val="32"/>
        </w:rPr>
        <w:t>2.资金下达及时性：</w:t>
      </w:r>
      <w:r>
        <w:rPr>
          <w:sz w:val="32"/>
          <w:szCs w:val="32"/>
          <w:shd w:val="clear" w:color="auto" w:fill="FFFFFF"/>
        </w:rPr>
        <w:t>202</w:t>
      </w:r>
      <w:r>
        <w:rPr>
          <w:rFonts w:hint="eastAsia"/>
          <w:sz w:val="32"/>
          <w:szCs w:val="32"/>
          <w:shd w:val="clear" w:color="auto" w:fill="FFFFFF"/>
        </w:rPr>
        <w:t>4</w:t>
      </w:r>
      <w:r>
        <w:rPr>
          <w:sz w:val="32"/>
          <w:szCs w:val="32"/>
          <w:shd w:val="clear" w:color="auto" w:fill="FFFFFF"/>
        </w:rPr>
        <w:t>年度，中央财政分</w:t>
      </w:r>
      <w:r>
        <w:rPr>
          <w:rFonts w:hint="eastAsia"/>
          <w:sz w:val="32"/>
          <w:szCs w:val="32"/>
          <w:shd w:val="clear" w:color="auto" w:fill="FFFFFF"/>
        </w:rPr>
        <w:t>三</w:t>
      </w:r>
      <w:r>
        <w:rPr>
          <w:sz w:val="32"/>
          <w:szCs w:val="32"/>
          <w:shd w:val="clear" w:color="auto" w:fill="FFFFFF"/>
        </w:rPr>
        <w:t>批下达我区农业防灾减灾资金，第一批资金于202</w:t>
      </w:r>
      <w:r>
        <w:rPr>
          <w:rFonts w:hint="eastAsia"/>
          <w:sz w:val="32"/>
          <w:szCs w:val="32"/>
          <w:shd w:val="clear" w:color="auto" w:fill="FFFFFF"/>
        </w:rPr>
        <w:t>4</w:t>
      </w:r>
      <w:r>
        <w:rPr>
          <w:sz w:val="32"/>
          <w:szCs w:val="32"/>
          <w:shd w:val="clear" w:color="auto" w:fill="FFFFFF"/>
        </w:rPr>
        <w:t>年</w:t>
      </w:r>
      <w:r>
        <w:rPr>
          <w:rFonts w:hint="eastAsia"/>
          <w:sz w:val="32"/>
          <w:szCs w:val="32"/>
          <w:shd w:val="clear" w:color="auto" w:fill="FFFFFF"/>
        </w:rPr>
        <w:t>3</w:t>
      </w:r>
      <w:r>
        <w:rPr>
          <w:sz w:val="32"/>
          <w:szCs w:val="32"/>
          <w:shd w:val="clear" w:color="auto" w:fill="FFFFFF"/>
        </w:rPr>
        <w:t>月下达，第</w:t>
      </w:r>
      <w:r>
        <w:rPr>
          <w:rFonts w:hint="eastAsia"/>
          <w:sz w:val="32"/>
          <w:szCs w:val="32"/>
          <w:shd w:val="clear" w:color="auto" w:fill="FFFFFF"/>
        </w:rPr>
        <w:t>三</w:t>
      </w:r>
      <w:r>
        <w:rPr>
          <w:sz w:val="32"/>
          <w:szCs w:val="32"/>
          <w:shd w:val="clear" w:color="auto" w:fill="FFFFFF"/>
        </w:rPr>
        <w:t>批资金于202</w:t>
      </w:r>
      <w:r>
        <w:rPr>
          <w:rFonts w:hint="eastAsia"/>
          <w:sz w:val="32"/>
          <w:szCs w:val="32"/>
          <w:shd w:val="clear" w:color="auto" w:fill="FFFFFF"/>
        </w:rPr>
        <w:t>4</w:t>
      </w:r>
      <w:r>
        <w:rPr>
          <w:sz w:val="32"/>
          <w:szCs w:val="32"/>
          <w:shd w:val="clear" w:color="auto" w:fill="FFFFFF"/>
        </w:rPr>
        <w:t>年</w:t>
      </w:r>
      <w:r>
        <w:rPr>
          <w:rFonts w:hint="eastAsia"/>
          <w:sz w:val="32"/>
          <w:szCs w:val="32"/>
          <w:shd w:val="clear" w:color="auto" w:fill="FFFFFF"/>
        </w:rPr>
        <w:t>4</w:t>
      </w:r>
      <w:r>
        <w:rPr>
          <w:sz w:val="32"/>
          <w:szCs w:val="32"/>
          <w:shd w:val="clear" w:color="auto" w:fill="FFFFFF"/>
        </w:rPr>
        <w:t>月下达。</w:t>
      </w:r>
      <w:r>
        <w:rPr>
          <w:rFonts w:hint="eastAsia"/>
          <w:sz w:val="32"/>
          <w:szCs w:val="32"/>
          <w:shd w:val="clear" w:color="auto" w:fill="FFFFFF"/>
        </w:rPr>
        <w:t>第三批资金于2024年12月下达</w:t>
      </w:r>
      <w:r>
        <w:rPr>
          <w:sz w:val="32"/>
          <w:szCs w:val="32"/>
          <w:shd w:val="clear" w:color="auto" w:fill="FFFFFF"/>
        </w:rPr>
        <w:t>根据财政部、</w:t>
      </w:r>
      <w:r>
        <w:rPr>
          <w:rFonts w:hint="eastAsia"/>
          <w:sz w:val="32"/>
          <w:szCs w:val="32"/>
          <w:shd w:val="clear" w:color="auto" w:fill="FFFFFF"/>
        </w:rPr>
        <w:t>农业农村</w:t>
      </w:r>
      <w:r>
        <w:rPr>
          <w:sz w:val="32"/>
          <w:szCs w:val="32"/>
          <w:shd w:val="clear" w:color="auto" w:fill="FFFFFF"/>
        </w:rPr>
        <w:t>部有关要求，农业农村厅收到资金文件后，在规定时限内，按管理办法规定提出具体资金分配方案，经厅党组审议同意后，正式行文报财政厅申请下达资金</w:t>
      </w:r>
      <w:r>
        <w:rPr>
          <w:rFonts w:hint="eastAsia"/>
          <w:sz w:val="32"/>
          <w:szCs w:val="32"/>
          <w:shd w:val="clear" w:color="auto" w:fill="FFFFFF"/>
        </w:rPr>
        <w:t>。</w:t>
      </w:r>
      <w:r>
        <w:rPr>
          <w:sz w:val="32"/>
          <w:szCs w:val="32"/>
        </w:rPr>
        <w:t>专项资金及时拨付至各地县市，</w:t>
      </w:r>
      <w:r>
        <w:rPr>
          <w:kern w:val="0"/>
          <w:sz w:val="32"/>
          <w:szCs w:val="32"/>
          <w:lang w:bidi="ar"/>
        </w:rPr>
        <w:t>资金分解下达及时</w:t>
      </w:r>
      <w:r>
        <w:rPr>
          <w:rFonts w:hint="eastAsia"/>
          <w:kern w:val="0"/>
          <w:sz w:val="32"/>
          <w:szCs w:val="32"/>
          <w:lang w:bidi="ar"/>
        </w:rPr>
        <w:t>。</w:t>
      </w:r>
    </w:p>
    <w:p>
      <w:pPr>
        <w:spacing w:line="560" w:lineRule="exact"/>
        <w:ind w:firstLine="642" w:firstLineChars="200"/>
        <w:rPr>
          <w:sz w:val="32"/>
          <w:szCs w:val="32"/>
        </w:rPr>
      </w:pPr>
      <w:r>
        <w:rPr>
          <w:b/>
          <w:bCs/>
          <w:sz w:val="32"/>
          <w:szCs w:val="32"/>
        </w:rPr>
        <w:t>3.资金拨付合规性：</w:t>
      </w:r>
      <w:r>
        <w:rPr>
          <w:sz w:val="32"/>
          <w:szCs w:val="32"/>
        </w:rPr>
        <w:t>按照《财政部农业农村</w:t>
      </w:r>
      <w:r>
        <w:rPr>
          <w:rFonts w:hint="eastAsia"/>
          <w:sz w:val="32"/>
          <w:szCs w:val="32"/>
        </w:rPr>
        <w:t>厅</w:t>
      </w:r>
      <w:r>
        <w:rPr>
          <w:sz w:val="32"/>
          <w:szCs w:val="32"/>
        </w:rPr>
        <w:t>水利部关于印发《农业生产和水利救灾资金管理办法》的通知》（财农〔2022〕79号）。根据灾情基本情况、受灾农作物种植面积、受灾畜禽数量、饲草料缺口、受灾水产养殖面积及产量、农牧渔业生产设施损毁情况等。农作物受灾，按受灾成灾、绝收面积测算补助;畜禽和水产养殖受灾，根据灾情程度和因灾损失等给予适当补助。农业生物灾害补助，分配因素主要包括本年度农作物病虫害防治任务面积、上年度地方病虫害防控投入、实际防控面积、病虫害发生率等。农业自然灾害、农业生物灾害灾前预防，根据实际措施、成本、规模等给予适当补助，资金拨付合规。</w:t>
      </w:r>
    </w:p>
    <w:p>
      <w:pPr>
        <w:spacing w:line="560" w:lineRule="exact"/>
        <w:ind w:firstLine="642" w:firstLineChars="200"/>
        <w:rPr>
          <w:sz w:val="32"/>
          <w:szCs w:val="32"/>
        </w:rPr>
      </w:pPr>
      <w:r>
        <w:rPr>
          <w:b/>
          <w:bCs/>
          <w:sz w:val="32"/>
          <w:szCs w:val="32"/>
        </w:rPr>
        <w:t>4.资金使用规范性：</w:t>
      </w:r>
      <w:r>
        <w:rPr>
          <w:sz w:val="32"/>
          <w:szCs w:val="32"/>
        </w:rPr>
        <w:t>根据《财政部农业农村部水利部关于印发《农业生产和水利救灾资金管理办法》的通知》（财农〔2022〕79号），资金主要用于：农业生物灾害防治和恢复农业生产所需的物资材料及服务补助，包括购买药剂、药械、燃油、肥料、种子</w:t>
      </w:r>
      <w:r>
        <w:rPr>
          <w:rFonts w:hint="eastAsia"/>
          <w:sz w:val="32"/>
          <w:szCs w:val="32"/>
        </w:rPr>
        <w:t>（</w:t>
      </w:r>
      <w:r>
        <w:rPr>
          <w:sz w:val="32"/>
          <w:szCs w:val="32"/>
        </w:rPr>
        <w:t>植物种苗、水产种苗</w:t>
      </w:r>
      <w:r>
        <w:rPr>
          <w:rFonts w:hint="eastAsia"/>
          <w:sz w:val="32"/>
          <w:szCs w:val="32"/>
        </w:rPr>
        <w:t>）</w:t>
      </w:r>
      <w:r>
        <w:rPr>
          <w:sz w:val="32"/>
          <w:szCs w:val="32"/>
        </w:rPr>
        <w:t>，应用生物防治、综合防治、生态控制技术，修复诱虫灯等监控设施器械及调运、检疫处理、技术指导培训、根据受灾畜禽数量、饲草料缺口等费用，统筹安排资金用于农业防灾减灾防灾救灾，资金符合中央农业防灾减灾资金使用范围要求，</w:t>
      </w:r>
      <w:r>
        <w:rPr>
          <w:kern w:val="0"/>
          <w:sz w:val="32"/>
          <w:szCs w:val="32"/>
          <w:lang w:bidi="ar"/>
        </w:rPr>
        <w:t>在中央巡视、各级审计和财政监督中未发现问题</w:t>
      </w:r>
      <w:r>
        <w:rPr>
          <w:rFonts w:hint="eastAsia"/>
          <w:kern w:val="0"/>
          <w:sz w:val="32"/>
          <w:szCs w:val="32"/>
          <w:lang w:bidi="ar"/>
        </w:rPr>
        <w:t>，资金使用规范。</w:t>
      </w:r>
    </w:p>
    <w:p>
      <w:pPr>
        <w:spacing w:line="560" w:lineRule="exact"/>
        <w:ind w:firstLine="642" w:firstLineChars="200"/>
        <w:rPr>
          <w:sz w:val="32"/>
          <w:szCs w:val="32"/>
        </w:rPr>
      </w:pPr>
      <w:r>
        <w:rPr>
          <w:b/>
          <w:bCs/>
          <w:sz w:val="32"/>
          <w:szCs w:val="32"/>
        </w:rPr>
        <w:t>5.资金执行准确性</w:t>
      </w:r>
      <w:r>
        <w:rPr>
          <w:sz w:val="32"/>
          <w:szCs w:val="32"/>
        </w:rPr>
        <w:t>：依据农业农村部</w:t>
      </w:r>
      <w:r>
        <w:rPr>
          <w:rFonts w:hint="eastAsia"/>
          <w:sz w:val="32"/>
          <w:szCs w:val="32"/>
        </w:rPr>
        <w:t>下达的资金及储备调运饲草料任务数量，测算每吨平均不高于180元的补助上限，结合南北疆调运成本、饲草料缺口，对喀什地区、和田地区、克州三地州购买、调运防灾饲草料每吨补助160元，其中：塔什库尔干县每吨补助180元；其他地（州、市）及新疆畜牧科学院（南山种羊场）每吨补助120元；种畜禽按照不超过市场平均价的50%进行补贴；重建棚圈按照平均每座补贴不超过10000元标准补贴</w:t>
      </w:r>
      <w:r>
        <w:rPr>
          <w:sz w:val="32"/>
          <w:szCs w:val="32"/>
        </w:rPr>
        <w:t>。明确项目实施内容、补助方式及资金使用范围，切实提高项目实施准确性。</w:t>
      </w:r>
      <w:r>
        <w:rPr>
          <w:rFonts w:hint="eastAsia"/>
          <w:sz w:val="32"/>
          <w:szCs w:val="32"/>
        </w:rPr>
        <w:t>同时，</w:t>
      </w:r>
      <w:r>
        <w:rPr>
          <w:sz w:val="32"/>
          <w:szCs w:val="32"/>
        </w:rPr>
        <w:t>按照《财政部 农业农村部 水利部关于印发&lt;农业防灾减灾和水利救灾资金管理办法&gt;的通知》</w:t>
      </w:r>
      <w:r>
        <w:rPr>
          <w:rFonts w:hint="eastAsia"/>
          <w:sz w:val="32"/>
          <w:szCs w:val="32"/>
        </w:rPr>
        <w:t>（</w:t>
      </w:r>
      <w:r>
        <w:rPr>
          <w:sz w:val="32"/>
          <w:szCs w:val="32"/>
        </w:rPr>
        <w:t>财农〔2023〕13号）的“第四章绩效管理和资金监督”要求，按照上级下达和本级预算安排的金额执行，不存在挪用、徇私舞弊等违法违规问题</w:t>
      </w:r>
      <w:r>
        <w:rPr>
          <w:rFonts w:hint="eastAsia"/>
          <w:sz w:val="32"/>
          <w:szCs w:val="32"/>
        </w:rPr>
        <w:t>。</w:t>
      </w:r>
    </w:p>
    <w:p>
      <w:pPr>
        <w:spacing w:line="560" w:lineRule="exact"/>
        <w:ind w:firstLine="642" w:firstLineChars="200"/>
        <w:rPr>
          <w:sz w:val="32"/>
          <w:szCs w:val="32"/>
        </w:rPr>
      </w:pPr>
      <w:r>
        <w:rPr>
          <w:b/>
          <w:bCs/>
          <w:sz w:val="32"/>
          <w:szCs w:val="32"/>
        </w:rPr>
        <w:t>6.预算绩效管理情况：</w:t>
      </w:r>
      <w:r>
        <w:rPr>
          <w:sz w:val="32"/>
          <w:szCs w:val="32"/>
          <w:shd w:val="clear" w:color="auto" w:fill="FFFFFF"/>
        </w:rPr>
        <w:t>按照《中共中央国务院关于全面实施预算绩效管理的意见》、《关于印发&lt;自治区本级部门预算绩效目标管理办法&gt;的通知》（新财预〔2017〕21号</w:t>
      </w:r>
      <w:r>
        <w:rPr>
          <w:rFonts w:hint="eastAsia"/>
          <w:sz w:val="32"/>
          <w:szCs w:val="32"/>
          <w:shd w:val="clear" w:color="auto" w:fill="FFFFFF"/>
        </w:rPr>
        <w:t>）</w:t>
      </w:r>
      <w:r>
        <w:rPr>
          <w:sz w:val="32"/>
          <w:szCs w:val="32"/>
          <w:shd w:val="clear" w:color="auto" w:fill="FFFFFF"/>
        </w:rPr>
        <w:t>、《关于印发&lt;新疆维吾尔自治区农业相关转移支付资金绩效管理办法实施细则&gt;的通知》（新财规〔2020〕15号）等相关文件要求，自治区农业农村厅强化资金使用监管，严格执行有关财经制度，进一步加强预算绩效管理，在预算执行中做好绩效监控，预算执行完做好绩效评价，切实提高财政资金使用效益，资金安全规范使用，如期实现年度绩效目标</w:t>
      </w:r>
      <w:r>
        <w:rPr>
          <w:rFonts w:hint="eastAsia"/>
          <w:sz w:val="32"/>
          <w:szCs w:val="32"/>
          <w:shd w:val="clear" w:color="auto" w:fill="FFFFFF"/>
        </w:rPr>
        <w:t>。</w:t>
      </w:r>
    </w:p>
    <w:p>
      <w:pPr>
        <w:pStyle w:val="13"/>
        <w:spacing w:after="0" w:line="560" w:lineRule="exact"/>
        <w:ind w:left="0" w:leftChars="0" w:firstLine="640"/>
        <w:rPr>
          <w:rFonts w:ascii="Times New Roman" w:hAnsi="Times New Roman"/>
          <w:sz w:val="32"/>
          <w:szCs w:val="32"/>
          <w:shd w:val="clear" w:color="auto" w:fill="FFFFFF"/>
        </w:rPr>
      </w:pPr>
      <w:r>
        <w:rPr>
          <w:rFonts w:ascii="Times New Roman" w:hAnsi="Times New Roman"/>
          <w:b/>
          <w:bCs/>
          <w:sz w:val="32"/>
          <w:szCs w:val="32"/>
        </w:rPr>
        <w:t>7.支出责任履行情况：</w:t>
      </w:r>
      <w:r>
        <w:rPr>
          <w:rFonts w:ascii="Times New Roman" w:hAnsi="Times New Roman"/>
          <w:sz w:val="32"/>
          <w:szCs w:val="32"/>
          <w:shd w:val="clear" w:color="auto" w:fill="FFFFFF"/>
        </w:rPr>
        <w:t>对共同财政事权转移支付，按照财政事权和支出责任划分有关规定，足额安排资金履行本级支出责任，支出责任履行情况良好。</w:t>
      </w:r>
    </w:p>
    <w:p>
      <w:pPr>
        <w:pStyle w:val="13"/>
        <w:spacing w:after="0" w:line="560" w:lineRule="exact"/>
        <w:ind w:left="0" w:leftChars="0" w:firstLine="640"/>
        <w:rPr>
          <w:rFonts w:ascii="Times New Roman" w:hAnsi="Times New Roman"/>
          <w:color w:val="FF0000"/>
          <w:sz w:val="32"/>
          <w:szCs w:val="32"/>
        </w:rPr>
      </w:pPr>
      <w:r>
        <w:rPr>
          <w:rFonts w:ascii="Times New Roman" w:hAnsi="Times New Roman"/>
          <w:sz w:val="32"/>
          <w:szCs w:val="32"/>
          <w:lang w:eastAsia="zh-Hans"/>
        </w:rPr>
        <w:t>项目实施乡镇人民政府为直接责任人，地州市县农业农村局为项目主管部门对项目资金使用、监督和验收负主体责任；单位主要领导为项目监督和实施第一责任人</w:t>
      </w:r>
      <w:r>
        <w:rPr>
          <w:rFonts w:ascii="Times New Roman" w:hAnsi="Times New Roman"/>
          <w:sz w:val="32"/>
          <w:szCs w:val="32"/>
        </w:rPr>
        <w:t>，</w:t>
      </w:r>
      <w:r>
        <w:rPr>
          <w:rFonts w:ascii="Times New Roman" w:hAnsi="Times New Roman"/>
          <w:sz w:val="32"/>
          <w:szCs w:val="32"/>
          <w:lang w:eastAsia="zh-Hans"/>
        </w:rPr>
        <w:t>主动与财政部门做好项目资金对接落实工作，确保资金及时到位，安全使用；</w:t>
      </w:r>
      <w:r>
        <w:rPr>
          <w:rFonts w:ascii="Times New Roman" w:hAnsi="Times New Roman"/>
          <w:sz w:val="32"/>
          <w:szCs w:val="32"/>
        </w:rPr>
        <w:t>自治区农业农村厅</w:t>
      </w:r>
      <w:r>
        <w:rPr>
          <w:rFonts w:ascii="Times New Roman" w:hAnsi="Times New Roman"/>
          <w:sz w:val="32"/>
          <w:szCs w:val="32"/>
          <w:lang w:eastAsia="zh-Hans"/>
        </w:rPr>
        <w:t>建立项目执行定期调度督导机制，及时掌握项目执行和资金使用情况，</w:t>
      </w:r>
      <w:r>
        <w:rPr>
          <w:rFonts w:ascii="Times New Roman" w:hAnsi="Times New Roman"/>
          <w:sz w:val="32"/>
          <w:szCs w:val="32"/>
        </w:rPr>
        <w:t>不断总结经验和问题，</w:t>
      </w:r>
      <w:r>
        <w:rPr>
          <w:rFonts w:ascii="Times New Roman" w:hAnsi="Times New Roman"/>
          <w:sz w:val="32"/>
          <w:szCs w:val="32"/>
          <w:lang w:eastAsia="zh-Hans"/>
        </w:rPr>
        <w:t>确保项目执行到位、资金使用规范。</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（三）总体绩效目标完成情况分析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2"/>
          <w:lang w:eastAsia="zh-CN"/>
        </w:rPr>
      </w:pPr>
      <w:r>
        <w:rPr>
          <w:rFonts w:hint="eastAsia" w:ascii="仿宋_GB2312" w:hAnsi="仿宋_GB2312" w:cs="仿宋_GB2312"/>
          <w:sz w:val="32"/>
          <w:szCs w:val="32"/>
        </w:rPr>
        <w:t>中央农业防灾减灾和水利救灾资金预算（第一批次）：</w:t>
      </w:r>
      <w:r>
        <w:rPr>
          <w:rFonts w:hint="eastAsia"/>
          <w:sz w:val="32"/>
          <w:szCs w:val="32"/>
        </w:rPr>
        <w:t>2024</w:t>
      </w:r>
      <w:r>
        <w:rPr>
          <w:rFonts w:hint="eastAsia" w:ascii="仿宋_GB2312" w:hAnsi="仿宋_GB2312" w:cs="仿宋_GB2312"/>
          <w:sz w:val="32"/>
          <w:szCs w:val="32"/>
        </w:rPr>
        <w:t>年，通过实施项目，支持因地震、大风等受损设施大棚进行修复和加固，设施大棚生产环境得到优化，农业生产秩序迅速恢复，</w:t>
      </w:r>
      <w:r>
        <w:rPr>
          <w:rFonts w:hint="eastAsia"/>
          <w:sz w:val="32"/>
          <w:szCs w:val="32"/>
        </w:rPr>
        <w:t>2024年</w:t>
      </w:r>
      <w:r>
        <w:rPr>
          <w:sz w:val="32"/>
          <w:szCs w:val="32"/>
        </w:rPr>
        <w:t>完成</w:t>
      </w:r>
      <w:r>
        <w:rPr>
          <w:rFonts w:hint="eastAsia"/>
          <w:sz w:val="32"/>
          <w:szCs w:val="32"/>
        </w:rPr>
        <w:t>40148平方米倒塌受损棚圈的修缮</w:t>
      </w:r>
      <w:r>
        <w:rPr>
          <w:sz w:val="32"/>
          <w:szCs w:val="32"/>
        </w:rPr>
        <w:t>，对农牧民、养殖场户等调运饲草料，受灾户恢复生产购置种畜（禽）</w:t>
      </w:r>
      <w:r>
        <w:rPr>
          <w:rFonts w:hint="eastAsia"/>
          <w:sz w:val="32"/>
          <w:szCs w:val="32"/>
        </w:rPr>
        <w:t>、区地县乡四级防灾应急饲草料储备库运行维护</w:t>
      </w:r>
      <w:r>
        <w:rPr>
          <w:sz w:val="32"/>
          <w:szCs w:val="32"/>
        </w:rPr>
        <w:t>等给予补助，极大缓解了农牧民等生产主体防灾及恢复生产的资金压力，提升主动防灾救灾能力</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中央农业防灾减灾和水利救灾资金预算（第三批次）：</w:t>
      </w:r>
      <w:r>
        <w:rPr>
          <w:sz w:val="32"/>
          <w:szCs w:val="32"/>
        </w:rPr>
        <w:t>项目对小麦、玉米重大病虫害以及农区蝗虫等农作物重大病虫疫情防控提供了防治资金的支持，使重发区域病虫疫情得到有效控制，新发突发重大农业植物疫情有效处置，</w:t>
      </w:r>
      <w:r>
        <w:rPr>
          <w:rFonts w:hint="eastAsia"/>
          <w:sz w:val="32"/>
          <w:szCs w:val="32"/>
        </w:rPr>
        <w:t>不</w:t>
      </w:r>
      <w:r>
        <w:rPr>
          <w:sz w:val="32"/>
          <w:szCs w:val="32"/>
        </w:rPr>
        <w:t>出现大面积绝收成灾，有力保障粮食安全和农业生产安全</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中央农业防灾减灾和水利救灾资金预算（第十四批次）：2024年12月15日财政部下达农业防灾减灾和水利救灾资金（防灾救灾第十四批）9820万元，</w:t>
      </w:r>
      <w:r>
        <w:rPr>
          <w:rFonts w:hint="eastAsia"/>
          <w:sz w:val="32"/>
          <w:szCs w:val="32"/>
          <w:lang w:val="en-US" w:eastAsia="zh-CN"/>
        </w:rPr>
        <w:t>因资金发放较晚，资金结余到2025年开展</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lang w:val="en-US" w:eastAsia="zh-CN"/>
        </w:rPr>
      </w:pPr>
      <w:r>
        <w:rPr>
          <w:sz w:val="32"/>
          <w:szCs w:val="32"/>
        </w:rPr>
        <w:t>202</w:t>
      </w:r>
      <w:r>
        <w:rPr>
          <w:rFonts w:hint="eastAsia"/>
          <w:sz w:val="32"/>
          <w:szCs w:val="32"/>
        </w:rPr>
        <w:t>4</w:t>
      </w:r>
      <w:r>
        <w:rPr>
          <w:sz w:val="32"/>
          <w:szCs w:val="32"/>
        </w:rPr>
        <w:t>年，</w:t>
      </w:r>
      <w:r>
        <w:rPr>
          <w:rFonts w:hint="eastAsia"/>
          <w:sz w:val="32"/>
          <w:szCs w:val="32"/>
        </w:rPr>
        <w:t>中央农业防灾减灾和水利救灾资金预算（动物防疫补助）方向：2024全年强制免疫、强制扑杀和养殖环节病死猪无害化处理均按国家要求较好完成，不发生大规模</w:t>
      </w:r>
      <w:r>
        <w:rPr>
          <w:rFonts w:hint="eastAsia"/>
          <w:sz w:val="32"/>
          <w:szCs w:val="32"/>
          <w:lang w:eastAsia="zh-CN"/>
        </w:rPr>
        <w:t>随意堆弃病死猪</w:t>
      </w:r>
      <w:r>
        <w:rPr>
          <w:rFonts w:hint="eastAsia"/>
          <w:sz w:val="32"/>
          <w:szCs w:val="32"/>
        </w:rPr>
        <w:t>事件、无资金使用重大违规违纪问题、不发生因扑杀不及时造成重大动物疫情扩散，且补助对象对政策实施的满意度为≥90%</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（四）绩效指标完成情况分析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中央农业防灾减灾和水利救灾资金预算</w:t>
      </w:r>
      <w:r>
        <w:rPr>
          <w:rFonts w:hint="eastAsia" w:eastAsia="楷体"/>
          <w:b/>
          <w:bCs/>
          <w:sz w:val="32"/>
          <w:szCs w:val="32"/>
        </w:rPr>
        <w:t>（第一批</w:t>
      </w:r>
      <w:r>
        <w:rPr>
          <w:rFonts w:hint="eastAsia" w:eastAsia="楷体"/>
          <w:b/>
          <w:bCs/>
          <w:sz w:val="32"/>
          <w:szCs w:val="32"/>
          <w:lang w:val="en-US" w:eastAsia="zh-CN"/>
        </w:rPr>
        <w:t>次）1630万元</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eastAsia="zh-CN"/>
        </w:rPr>
      </w:pPr>
      <w:r>
        <w:rPr>
          <w:rFonts w:hint="eastAsia"/>
          <w:sz w:val="32"/>
          <w:szCs w:val="36"/>
        </w:rPr>
        <w:t>1.产出指标完成情况分析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宋体"/>
          <w:sz w:val="32"/>
          <w:szCs w:val="36"/>
        </w:rPr>
      </w:pPr>
      <w:r>
        <w:rPr>
          <w:rFonts w:hint="eastAsia"/>
          <w:sz w:val="32"/>
          <w:szCs w:val="36"/>
        </w:rPr>
        <w:t>a.财政部随文下达支持灾后设施恢复和农作物恢复生长(万亩)指标，指标值为≥0.52万亩，我区实际完成0.53万亩，完成率101.92%，偏差率1.92%</w:t>
      </w:r>
      <w:r>
        <w:rPr>
          <w:rFonts w:hint="eastAsia" w:ascii="宋体" w:hAnsi="宋体" w:eastAsia="宋体" w:cs="宋体"/>
          <w:spacing w:val="1"/>
          <w:sz w:val="16"/>
          <w:szCs w:val="1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6"/>
        </w:rPr>
        <w:t>b．</w:t>
      </w:r>
      <w:r>
        <w:rPr>
          <w:rFonts w:hint="eastAsia"/>
          <w:sz w:val="32"/>
          <w:szCs w:val="32"/>
        </w:rPr>
        <w:t>财政部</w:t>
      </w:r>
      <w:r>
        <w:rPr>
          <w:sz w:val="32"/>
        </w:rPr>
        <w:t>随文下达</w:t>
      </w:r>
      <w:r>
        <w:rPr>
          <w:rFonts w:hint="eastAsia"/>
          <w:sz w:val="32"/>
          <w:szCs w:val="36"/>
        </w:rPr>
        <w:t>修复畜禽养殖圈舍（平方米）</w:t>
      </w:r>
      <w:r>
        <w:rPr>
          <w:sz w:val="32"/>
          <w:szCs w:val="36"/>
        </w:rPr>
        <w:t>指标，指标值为≥</w:t>
      </w:r>
      <w:r>
        <w:rPr>
          <w:rFonts w:hint="eastAsia"/>
          <w:sz w:val="32"/>
          <w:szCs w:val="36"/>
        </w:rPr>
        <w:t>24870</w:t>
      </w:r>
      <w:r>
        <w:rPr>
          <w:sz w:val="32"/>
          <w:szCs w:val="36"/>
        </w:rPr>
        <w:t>，</w:t>
      </w:r>
      <w:r>
        <w:rPr>
          <w:rFonts w:hint="eastAsia"/>
          <w:sz w:val="32"/>
          <w:szCs w:val="36"/>
        </w:rPr>
        <w:t>我区</w:t>
      </w:r>
      <w:r>
        <w:rPr>
          <w:sz w:val="32"/>
          <w:szCs w:val="36"/>
        </w:rPr>
        <w:t>实际完成</w:t>
      </w:r>
      <w:r>
        <w:rPr>
          <w:rFonts w:hint="eastAsia"/>
          <w:sz w:val="32"/>
          <w:szCs w:val="36"/>
        </w:rPr>
        <w:t>40148</w:t>
      </w:r>
      <w:r>
        <w:rPr>
          <w:sz w:val="32"/>
          <w:szCs w:val="36"/>
        </w:rPr>
        <w:t>，完成率1</w:t>
      </w:r>
      <w:r>
        <w:rPr>
          <w:rFonts w:hint="eastAsia"/>
          <w:sz w:val="32"/>
          <w:szCs w:val="36"/>
        </w:rPr>
        <w:t>61</w:t>
      </w:r>
      <w:r>
        <w:rPr>
          <w:sz w:val="32"/>
          <w:szCs w:val="36"/>
        </w:rPr>
        <w:t>%，偏差率</w:t>
      </w:r>
      <w:r>
        <w:rPr>
          <w:rFonts w:hint="eastAsia"/>
          <w:sz w:val="32"/>
          <w:szCs w:val="36"/>
        </w:rPr>
        <w:t>61</w:t>
      </w:r>
      <w:r>
        <w:rPr>
          <w:sz w:val="32"/>
          <w:szCs w:val="36"/>
        </w:rPr>
        <w:t>%</w:t>
      </w:r>
      <w:r>
        <w:rPr>
          <w:rFonts w:hint="eastAsia"/>
          <w:sz w:val="32"/>
          <w:szCs w:val="36"/>
        </w:rPr>
        <w:t>。偏差原因：按照不超过实际建造成本进行补贴的要求，按照每座不低于30平方米、10000元的标准对修复畜禽养殖棚圈给予补贴，但为满足实际生产需求，阿合奇县、乌什县修复的畜禽养殖棚圈每座在30—100平方米，最终补贴实际面积达到40148平方米，</w:t>
      </w:r>
      <w:r>
        <w:rPr>
          <w:sz w:val="32"/>
          <w:szCs w:val="32"/>
        </w:rPr>
        <w:t>故完成率偏高</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（2）质量指标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财政部随文下达用于农业生产防灾减灾救灾相关支出的比例（</w:t>
      </w:r>
      <w:r>
        <w:rPr>
          <w:sz w:val="32"/>
          <w:szCs w:val="36"/>
        </w:rPr>
        <w:t>%</w:t>
      </w:r>
      <w:r>
        <w:rPr>
          <w:rFonts w:hint="eastAsia"/>
          <w:sz w:val="32"/>
          <w:szCs w:val="36"/>
        </w:rPr>
        <w:t>）指标，指标值为</w:t>
      </w:r>
      <w:r>
        <w:rPr>
          <w:sz w:val="32"/>
          <w:szCs w:val="36"/>
        </w:rPr>
        <w:t>100%</w:t>
      </w:r>
      <w:r>
        <w:rPr>
          <w:rFonts w:hint="eastAsia"/>
          <w:sz w:val="32"/>
          <w:szCs w:val="36"/>
        </w:rPr>
        <w:t>，我区实际完成100</w:t>
      </w:r>
      <w:r>
        <w:rPr>
          <w:sz w:val="32"/>
          <w:szCs w:val="36"/>
        </w:rPr>
        <w:t>%</w:t>
      </w:r>
      <w:r>
        <w:rPr>
          <w:rFonts w:hint="eastAsia"/>
          <w:sz w:val="32"/>
          <w:szCs w:val="36"/>
        </w:rPr>
        <w:t>，完成率100</w:t>
      </w:r>
      <w:r>
        <w:rPr>
          <w:sz w:val="32"/>
          <w:szCs w:val="36"/>
        </w:rPr>
        <w:t>%</w:t>
      </w:r>
      <w:r>
        <w:rPr>
          <w:rFonts w:hint="eastAsia"/>
          <w:sz w:val="32"/>
          <w:szCs w:val="36"/>
        </w:rPr>
        <w:t>，偏差率</w:t>
      </w:r>
      <w:r>
        <w:rPr>
          <w:sz w:val="32"/>
          <w:szCs w:val="36"/>
        </w:rPr>
        <w:t>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（3）时效指标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sz w:val="32"/>
          <w:szCs w:val="36"/>
        </w:rPr>
        <w:t>财政部随文下达</w:t>
      </w:r>
      <w:r>
        <w:rPr>
          <w:rFonts w:hint="eastAsia"/>
          <w:sz w:val="32"/>
          <w:szCs w:val="36"/>
        </w:rPr>
        <w:t>救灾资金下达到省6个月内预算执行率（%）指标，</w:t>
      </w:r>
      <w:r>
        <w:rPr>
          <w:sz w:val="32"/>
          <w:szCs w:val="36"/>
        </w:rPr>
        <w:t>指标值为</w:t>
      </w:r>
      <w:r>
        <w:rPr>
          <w:rFonts w:hint="eastAsia"/>
          <w:sz w:val="32"/>
          <w:szCs w:val="36"/>
          <w:lang w:val="en-US" w:eastAsia="zh-CN"/>
        </w:rPr>
        <w:t>＞</w:t>
      </w:r>
      <w:r>
        <w:rPr>
          <w:rFonts w:hint="eastAsia"/>
          <w:sz w:val="32"/>
          <w:szCs w:val="36"/>
        </w:rPr>
        <w:t>80%</w:t>
      </w:r>
      <w:r>
        <w:rPr>
          <w:sz w:val="32"/>
          <w:szCs w:val="36"/>
        </w:rPr>
        <w:t>，</w:t>
      </w:r>
      <w:r>
        <w:rPr>
          <w:rFonts w:hint="eastAsia"/>
          <w:sz w:val="32"/>
          <w:szCs w:val="36"/>
        </w:rPr>
        <w:t>我区</w:t>
      </w:r>
      <w:r>
        <w:rPr>
          <w:sz w:val="32"/>
          <w:szCs w:val="36"/>
        </w:rPr>
        <w:t>实际完成</w:t>
      </w:r>
      <w:r>
        <w:rPr>
          <w:rFonts w:hint="eastAsia"/>
          <w:sz w:val="32"/>
          <w:szCs w:val="36"/>
        </w:rPr>
        <w:t>80%</w:t>
      </w:r>
      <w:r>
        <w:rPr>
          <w:sz w:val="32"/>
          <w:szCs w:val="36"/>
        </w:rPr>
        <w:t>，完成率100%，偏差率0%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（4）成本指标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财政部随文下达采购物资或服务价格指标，指标值为不超过市场价格，我区实际完成</w:t>
      </w:r>
      <w:r>
        <w:rPr>
          <w:rFonts w:hint="eastAsia"/>
          <w:sz w:val="32"/>
          <w:szCs w:val="36"/>
          <w:lang w:val="en-US" w:eastAsia="zh-CN"/>
        </w:rPr>
        <w:t>100%</w:t>
      </w:r>
      <w:r>
        <w:rPr>
          <w:rFonts w:hint="eastAsia"/>
          <w:sz w:val="32"/>
          <w:szCs w:val="36"/>
        </w:rPr>
        <w:t>，完成率100%，偏差率0%。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eastAsia="zh-CN"/>
        </w:rPr>
      </w:pPr>
      <w:r>
        <w:rPr>
          <w:rFonts w:hint="eastAsia"/>
          <w:sz w:val="32"/>
          <w:szCs w:val="36"/>
        </w:rPr>
        <w:t>2.效益指标完成情况分析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（1）经济效益指标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a.</w:t>
      </w:r>
      <w:r>
        <w:rPr>
          <w:sz w:val="32"/>
          <w:szCs w:val="36"/>
        </w:rPr>
        <w:t>财政部随文下达</w:t>
      </w:r>
      <w:r>
        <w:rPr>
          <w:rFonts w:hint="eastAsia"/>
          <w:sz w:val="32"/>
          <w:szCs w:val="36"/>
        </w:rPr>
        <w:t>受灾地区设施农业、畜牧业、渔业损失</w:t>
      </w:r>
      <w:r>
        <w:rPr>
          <w:sz w:val="32"/>
          <w:szCs w:val="36"/>
        </w:rPr>
        <w:t>指标，指标值为</w:t>
      </w:r>
      <w:r>
        <w:rPr>
          <w:rFonts w:hint="eastAsia"/>
          <w:sz w:val="32"/>
          <w:szCs w:val="36"/>
        </w:rPr>
        <w:t>减少</w:t>
      </w:r>
      <w:r>
        <w:rPr>
          <w:sz w:val="32"/>
          <w:szCs w:val="36"/>
        </w:rPr>
        <w:t>，</w:t>
      </w:r>
      <w:r>
        <w:rPr>
          <w:rFonts w:hint="eastAsia"/>
          <w:sz w:val="32"/>
          <w:szCs w:val="36"/>
        </w:rPr>
        <w:t>我区</w:t>
      </w:r>
      <w:r>
        <w:rPr>
          <w:sz w:val="32"/>
          <w:szCs w:val="36"/>
        </w:rPr>
        <w:t>实际</w:t>
      </w:r>
      <w:r>
        <w:rPr>
          <w:rFonts w:hint="eastAsia"/>
          <w:sz w:val="32"/>
          <w:szCs w:val="36"/>
          <w:lang w:val="en-US" w:eastAsia="zh-CN"/>
        </w:rPr>
        <w:t>完成100%</w:t>
      </w:r>
      <w:r>
        <w:rPr>
          <w:rFonts w:hint="eastAsia"/>
          <w:sz w:val="32"/>
          <w:szCs w:val="36"/>
        </w:rPr>
        <w:t>，</w:t>
      </w:r>
      <w:r>
        <w:rPr>
          <w:sz w:val="32"/>
          <w:szCs w:val="36"/>
        </w:rPr>
        <w:t>完成率100%，偏差率0%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（2）社会效益指标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a.</w:t>
      </w:r>
      <w:r>
        <w:rPr>
          <w:sz w:val="32"/>
          <w:szCs w:val="36"/>
        </w:rPr>
        <w:t>财政部随文下达</w:t>
      </w:r>
      <w:r>
        <w:rPr>
          <w:rFonts w:hint="eastAsia"/>
          <w:sz w:val="32"/>
          <w:szCs w:val="36"/>
        </w:rPr>
        <w:t>灾区农牧渔业生产秩序恢复</w:t>
      </w:r>
      <w:r>
        <w:rPr>
          <w:sz w:val="32"/>
          <w:szCs w:val="36"/>
        </w:rPr>
        <w:t>指标，指标值为</w:t>
      </w:r>
      <w:r>
        <w:rPr>
          <w:rFonts w:hint="eastAsia"/>
          <w:sz w:val="32"/>
          <w:szCs w:val="36"/>
        </w:rPr>
        <w:t>基本恢复</w:t>
      </w:r>
      <w:r>
        <w:rPr>
          <w:sz w:val="32"/>
          <w:szCs w:val="36"/>
        </w:rPr>
        <w:t>，</w:t>
      </w:r>
      <w:r>
        <w:rPr>
          <w:rFonts w:hint="eastAsia"/>
          <w:sz w:val="32"/>
          <w:szCs w:val="36"/>
        </w:rPr>
        <w:t>我区</w:t>
      </w:r>
      <w:r>
        <w:rPr>
          <w:sz w:val="32"/>
          <w:szCs w:val="36"/>
        </w:rPr>
        <w:t>实际完成100%，完成率100%，偏差率0%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b.财政部随文下达防灾措施保障粮食安全和农业生产安全效果指标，指标值为重发区域病虫害得到有效控制，农作物不出现大范围成灾绝收，我区实际完成100%，偏差率0%。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（3）生态效益指标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a.</w:t>
      </w:r>
      <w:r>
        <w:rPr>
          <w:sz w:val="32"/>
          <w:szCs w:val="36"/>
        </w:rPr>
        <w:t>财政部随文下达</w:t>
      </w:r>
      <w:r>
        <w:rPr>
          <w:rFonts w:hint="eastAsia"/>
          <w:sz w:val="32"/>
          <w:szCs w:val="36"/>
        </w:rPr>
        <w:t>灾区农牧渔业生产能力恢复</w:t>
      </w:r>
      <w:r>
        <w:rPr>
          <w:sz w:val="32"/>
          <w:szCs w:val="36"/>
        </w:rPr>
        <w:t>指标，指标值为</w:t>
      </w:r>
      <w:r>
        <w:rPr>
          <w:rFonts w:hint="eastAsia"/>
          <w:sz w:val="32"/>
          <w:szCs w:val="36"/>
        </w:rPr>
        <w:t>基本恢复，我区实际</w:t>
      </w:r>
      <w:r>
        <w:rPr>
          <w:sz w:val="32"/>
          <w:szCs w:val="36"/>
        </w:rPr>
        <w:t>完成100%，完成率100%，偏差率0%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（4）可持续影响指标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a.</w:t>
      </w:r>
      <w:r>
        <w:rPr>
          <w:sz w:val="32"/>
          <w:szCs w:val="36"/>
        </w:rPr>
        <w:t>财政部随文下达</w:t>
      </w:r>
      <w:r>
        <w:rPr>
          <w:rFonts w:hint="eastAsia"/>
          <w:sz w:val="32"/>
          <w:szCs w:val="36"/>
        </w:rPr>
        <w:t>稳定农民生产积极性</w:t>
      </w:r>
      <w:r>
        <w:rPr>
          <w:sz w:val="32"/>
          <w:szCs w:val="36"/>
        </w:rPr>
        <w:t>指标，指标值为</w:t>
      </w:r>
      <w:r>
        <w:rPr>
          <w:rFonts w:hint="eastAsia"/>
          <w:sz w:val="32"/>
          <w:szCs w:val="36"/>
        </w:rPr>
        <w:t>保持稳定</w:t>
      </w:r>
      <w:r>
        <w:rPr>
          <w:sz w:val="32"/>
          <w:szCs w:val="36"/>
        </w:rPr>
        <w:t>，</w:t>
      </w:r>
      <w:r>
        <w:rPr>
          <w:rFonts w:hint="eastAsia"/>
          <w:sz w:val="32"/>
          <w:szCs w:val="36"/>
        </w:rPr>
        <w:t>我区</w:t>
      </w:r>
      <w:r>
        <w:rPr>
          <w:sz w:val="32"/>
          <w:szCs w:val="36"/>
        </w:rPr>
        <w:t>实际完成100%，完成率100%，偏差率0%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b.财政部随文下达有效保持重大病虫疫情灾快监测预警能力指标，指标值为病虫害防控期内，我区实际完成为病虫害防控期内有效保持，完成率100%，偏差率0%。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eastAsia="zh-CN"/>
        </w:rPr>
      </w:pPr>
      <w:r>
        <w:rPr>
          <w:rFonts w:hint="eastAsia"/>
          <w:sz w:val="32"/>
          <w:szCs w:val="36"/>
        </w:rPr>
        <w:t>3.满意度指标完成情况分析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a.</w:t>
      </w:r>
      <w:r>
        <w:rPr>
          <w:sz w:val="32"/>
          <w:szCs w:val="36"/>
        </w:rPr>
        <w:t>财政部随文下达</w:t>
      </w:r>
      <w:r>
        <w:rPr>
          <w:rFonts w:hint="eastAsia"/>
          <w:sz w:val="32"/>
          <w:szCs w:val="36"/>
        </w:rPr>
        <w:t>指导服务</w:t>
      </w:r>
      <w:r>
        <w:rPr>
          <w:sz w:val="32"/>
          <w:szCs w:val="36"/>
        </w:rPr>
        <w:t>对象对政策实施满意</w:t>
      </w:r>
      <w:r>
        <w:rPr>
          <w:rFonts w:hint="eastAsia"/>
          <w:sz w:val="32"/>
          <w:szCs w:val="36"/>
        </w:rPr>
        <w:t>（%）</w:t>
      </w:r>
      <w:r>
        <w:rPr>
          <w:sz w:val="32"/>
          <w:szCs w:val="36"/>
        </w:rPr>
        <w:t>指标，指标值为≥</w:t>
      </w:r>
      <w:r>
        <w:rPr>
          <w:rFonts w:hint="eastAsia"/>
          <w:sz w:val="32"/>
          <w:szCs w:val="36"/>
        </w:rPr>
        <w:t>85</w:t>
      </w:r>
      <w:r>
        <w:rPr>
          <w:sz w:val="32"/>
          <w:szCs w:val="36"/>
        </w:rPr>
        <w:t>%</w:t>
      </w:r>
      <w:r>
        <w:rPr>
          <w:rFonts w:hint="eastAsia"/>
          <w:sz w:val="32"/>
          <w:szCs w:val="36"/>
        </w:rPr>
        <w:t>，我区</w:t>
      </w:r>
      <w:r>
        <w:rPr>
          <w:sz w:val="32"/>
          <w:szCs w:val="36"/>
        </w:rPr>
        <w:t>实际完成</w:t>
      </w:r>
      <w:r>
        <w:rPr>
          <w:rFonts w:hint="eastAsia"/>
          <w:sz w:val="32"/>
          <w:szCs w:val="36"/>
        </w:rPr>
        <w:t>90</w:t>
      </w:r>
      <w:r>
        <w:rPr>
          <w:sz w:val="32"/>
          <w:szCs w:val="36"/>
        </w:rPr>
        <w:t>%，完成率</w:t>
      </w:r>
      <w:r>
        <w:rPr>
          <w:rFonts w:hint="eastAsia"/>
          <w:sz w:val="32"/>
          <w:szCs w:val="36"/>
        </w:rPr>
        <w:t>105.88</w:t>
      </w:r>
      <w:r>
        <w:rPr>
          <w:sz w:val="32"/>
          <w:szCs w:val="36"/>
        </w:rPr>
        <w:t>%，偏差率</w:t>
      </w:r>
      <w:r>
        <w:rPr>
          <w:rFonts w:hint="eastAsia"/>
          <w:sz w:val="32"/>
          <w:szCs w:val="36"/>
        </w:rPr>
        <w:t>5.88</w:t>
      </w:r>
      <w:r>
        <w:rPr>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rPr>
      </w:pPr>
      <w:r>
        <w:rPr>
          <w:rFonts w:hint="eastAsia"/>
          <w:sz w:val="32"/>
          <w:szCs w:val="36"/>
        </w:rPr>
        <w:t>b.自治区财政厅随文下达受灾农牧民满意度指标，指标值为85%，我区实际完成90%，完成率105.88%，偏差率5.88%。</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default" w:eastAsia="楷体"/>
          <w:sz w:val="32"/>
          <w:szCs w:val="36"/>
          <w:lang w:val="en-US" w:eastAsia="zh-CN"/>
        </w:rPr>
      </w:pPr>
      <w:r>
        <w:rPr>
          <w:rFonts w:eastAsia="楷体"/>
          <w:b/>
          <w:bCs/>
          <w:sz w:val="32"/>
          <w:szCs w:val="32"/>
        </w:rPr>
        <w:t>中央农业防灾减灾和水利救灾资金预算</w:t>
      </w:r>
      <w:r>
        <w:rPr>
          <w:rFonts w:hint="eastAsia" w:eastAsia="楷体"/>
          <w:b/>
          <w:bCs/>
          <w:sz w:val="32"/>
          <w:szCs w:val="32"/>
          <w:lang w:val="en-US" w:eastAsia="zh-CN"/>
        </w:rPr>
        <w:t>(第三批次）1750万元</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lang w:eastAsia="zh-CN"/>
        </w:rPr>
      </w:pPr>
      <w:r>
        <w:rPr>
          <w:rFonts w:hint="eastAsia"/>
          <w:sz w:val="32"/>
          <w:szCs w:val="36"/>
        </w:rPr>
        <w:t>1.产出指标完成情况分析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eastAsia="zh-CN"/>
        </w:rPr>
      </w:pPr>
      <w:r>
        <w:rPr>
          <w:rFonts w:hint="eastAsia"/>
          <w:sz w:val="32"/>
          <w:szCs w:val="36"/>
        </w:rPr>
        <w:t>a.财政部随文下达</w:t>
      </w:r>
      <w:r>
        <w:rPr>
          <w:rFonts w:hint="eastAsia"/>
          <w:sz w:val="32"/>
          <w:szCs w:val="32"/>
        </w:rPr>
        <w:t>重大病虫疫情防控面积指标，指标值为≥1840万亩次，我区实际完成1895.61万亩次，完成率103.02%，偏差率3.02%</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lang w:val="en-US" w:eastAsia="zh-CN"/>
        </w:rPr>
      </w:pPr>
      <w:r>
        <w:rPr>
          <w:rFonts w:hint="eastAsia"/>
          <w:sz w:val="32"/>
          <w:szCs w:val="32"/>
          <w:lang w:eastAsia="zh-CN"/>
        </w:rPr>
        <w:t>（</w:t>
      </w:r>
      <w:r>
        <w:rPr>
          <w:rFonts w:hint="eastAsia"/>
          <w:sz w:val="32"/>
          <w:szCs w:val="32"/>
          <w:lang w:val="en-US" w:eastAsia="zh-CN"/>
        </w:rPr>
        <w:t>2</w:t>
      </w:r>
      <w:r>
        <w:rPr>
          <w:rFonts w:hint="eastAsia"/>
          <w:sz w:val="32"/>
          <w:szCs w:val="32"/>
          <w:lang w:eastAsia="zh-CN"/>
        </w:rPr>
        <w:t>）</w:t>
      </w:r>
      <w:r>
        <w:rPr>
          <w:rFonts w:hint="eastAsia"/>
          <w:sz w:val="32"/>
          <w:szCs w:val="32"/>
          <w:lang w:val="en-US" w:eastAsia="zh-CN"/>
        </w:rPr>
        <w:t>质量指标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eastAsia="zh-CN"/>
        </w:rPr>
      </w:pPr>
      <w:r>
        <w:rPr>
          <w:rFonts w:hint="eastAsia"/>
          <w:sz w:val="32"/>
          <w:szCs w:val="36"/>
          <w:lang w:val="en-US" w:eastAsia="zh-CN"/>
        </w:rPr>
        <w:t>a.</w:t>
      </w:r>
      <w:r>
        <w:rPr>
          <w:rFonts w:hint="eastAsia"/>
          <w:sz w:val="32"/>
          <w:szCs w:val="36"/>
        </w:rPr>
        <w:t>财政部随文下达防控效果指标，指标值为有效遇制县发流行成灾，我区实际完成有效遇制县发流行成灾，完成率100%，偏差率0%</w:t>
      </w:r>
      <w:r>
        <w:rPr>
          <w:rFonts w:hint="eastAsia"/>
          <w:sz w:val="32"/>
          <w:szCs w:val="36"/>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val="en-US" w:eastAsia="zh-CN"/>
        </w:rPr>
      </w:pPr>
      <w:r>
        <w:rPr>
          <w:rFonts w:hint="eastAsia"/>
          <w:sz w:val="32"/>
          <w:szCs w:val="36"/>
          <w:lang w:val="en-US" w:eastAsia="zh-CN"/>
        </w:rPr>
        <w:t>b.</w:t>
      </w:r>
      <w:r>
        <w:rPr>
          <w:rFonts w:hint="eastAsia"/>
          <w:sz w:val="32"/>
          <w:szCs w:val="36"/>
        </w:rPr>
        <w:t>财政部随文下达项目实施区统防统治夜盖率指标，指标值为＞46%，我区实际完成46.3%，完成率100.65%，偏差率0.65%</w:t>
      </w:r>
      <w:r>
        <w:rPr>
          <w:rFonts w:hint="eastAsia"/>
          <w:sz w:val="32"/>
          <w:szCs w:val="36"/>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3</w:t>
      </w:r>
      <w:r>
        <w:rPr>
          <w:rFonts w:hint="eastAsia"/>
          <w:sz w:val="32"/>
          <w:szCs w:val="36"/>
          <w:lang w:eastAsia="zh-CN"/>
        </w:rPr>
        <w:t>）</w:t>
      </w:r>
      <w:r>
        <w:rPr>
          <w:rFonts w:hint="eastAsia"/>
          <w:sz w:val="32"/>
          <w:szCs w:val="36"/>
          <w:lang w:val="en-US" w:eastAsia="zh-CN"/>
        </w:rPr>
        <w:t>时效指标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lang w:eastAsia="zh-CN"/>
        </w:rPr>
      </w:pPr>
      <w:r>
        <w:rPr>
          <w:rFonts w:hint="eastAsia"/>
          <w:sz w:val="32"/>
          <w:szCs w:val="36"/>
        </w:rPr>
        <w:t>财政部随文下达农作物病虫害防治组织实施时效指标，指标值为在农作物病虫害防治及时组织实施，我区实际完成在农作物病虫害防治及时组织实施，完成率100%，偏差率0%</w:t>
      </w:r>
      <w:r>
        <w:rPr>
          <w:rFonts w:hint="eastAsia"/>
          <w:sz w:val="32"/>
          <w:szCs w:val="36"/>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4</w:t>
      </w:r>
      <w:r>
        <w:rPr>
          <w:rFonts w:hint="eastAsia"/>
          <w:sz w:val="32"/>
          <w:szCs w:val="36"/>
          <w:lang w:eastAsia="zh-CN"/>
        </w:rPr>
        <w:t>）</w:t>
      </w:r>
      <w:r>
        <w:rPr>
          <w:rFonts w:hint="eastAsia"/>
          <w:sz w:val="32"/>
          <w:szCs w:val="36"/>
          <w:lang w:val="en-US" w:eastAsia="zh-CN"/>
        </w:rPr>
        <w:t>成本指标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lang w:eastAsia="zh-CN"/>
        </w:rPr>
      </w:pPr>
      <w:r>
        <w:rPr>
          <w:rFonts w:hint="eastAsia"/>
          <w:sz w:val="32"/>
          <w:szCs w:val="36"/>
        </w:rPr>
        <w:t>财政部随文下达采购物资或服务价格指标，指标值为不超过市场价格，我区实际完成不超过市场价格，完成率100%，偏差率0%</w:t>
      </w:r>
      <w:r>
        <w:rPr>
          <w:rFonts w:hint="eastAsia"/>
          <w:sz w:val="32"/>
          <w:szCs w:val="36"/>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val="en-US" w:eastAsia="zh-CN"/>
        </w:rPr>
      </w:pPr>
      <w:r>
        <w:rPr>
          <w:rFonts w:hint="eastAsia"/>
          <w:sz w:val="32"/>
          <w:szCs w:val="36"/>
          <w:lang w:val="en-US" w:eastAsia="zh-CN"/>
        </w:rPr>
        <w:t>2.</w:t>
      </w:r>
      <w:r>
        <w:rPr>
          <w:rFonts w:hint="eastAsia"/>
          <w:sz w:val="32"/>
          <w:szCs w:val="36"/>
        </w:rPr>
        <w:t>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1</w:t>
      </w:r>
      <w:r>
        <w:rPr>
          <w:rFonts w:hint="eastAsia"/>
          <w:sz w:val="32"/>
          <w:szCs w:val="36"/>
          <w:lang w:eastAsia="zh-CN"/>
        </w:rPr>
        <w:t>）</w:t>
      </w:r>
      <w:r>
        <w:rPr>
          <w:rFonts w:hint="eastAsia"/>
          <w:sz w:val="32"/>
          <w:szCs w:val="36"/>
          <w:lang w:val="en-US" w:eastAsia="zh-CN"/>
        </w:rPr>
        <w:t>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lang w:val="en-US" w:eastAsia="zh-CN"/>
        </w:rPr>
      </w:pPr>
      <w:r>
        <w:rPr>
          <w:rFonts w:hint="eastAsia"/>
          <w:sz w:val="32"/>
          <w:szCs w:val="36"/>
          <w:lang w:val="en-US" w:eastAsia="zh-CN"/>
        </w:rPr>
        <w:t>财政部随文下达防灾措施保障粮食安全和农业生产安全效果指标，指标值为重发区域病虫害得到有效控制，农作物不出现大范围成灾绝收。我区实际完成100%，完成率为100%，偏差率为0%。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val="en-US" w:eastAsia="zh-CN"/>
        </w:rPr>
        <w:t>（2）可持续影响指标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lang w:val="en-US" w:eastAsia="zh-CN"/>
        </w:rPr>
      </w:pPr>
      <w:r>
        <w:rPr>
          <w:rFonts w:hint="eastAsia"/>
          <w:sz w:val="32"/>
          <w:szCs w:val="36"/>
          <w:lang w:val="en-US" w:eastAsia="zh-CN"/>
        </w:rPr>
        <w:t>财政部随文下达有效保持重大病虫疫情灾快监测预警能力指标，指标值为病虫害防控期内，我区实际完成100%，完成率为100%，偏差率为0%。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val="en-US" w:eastAsia="zh-CN"/>
        </w:rPr>
      </w:pPr>
      <w:r>
        <w:rPr>
          <w:rFonts w:hint="eastAsia"/>
          <w:sz w:val="32"/>
          <w:szCs w:val="36"/>
          <w:lang w:val="en-US" w:eastAsia="zh-CN"/>
        </w:rPr>
        <w:t>3.满意度</w:t>
      </w:r>
      <w:r>
        <w:rPr>
          <w:rFonts w:hint="eastAsia"/>
          <w:sz w:val="32"/>
          <w:szCs w:val="36"/>
        </w:rPr>
        <w:t>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val="en-US" w:eastAsia="zh-CN"/>
        </w:rPr>
        <w:t>财政部随文下达指导服务对象满意度(%)指标，指标值为≥85%，我区实际完成90%，完成率为105.88%，偏差率为5.88%。</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default" w:eastAsia="楷体"/>
          <w:sz w:val="32"/>
          <w:szCs w:val="36"/>
          <w:lang w:val="en-US" w:eastAsia="zh-CN"/>
        </w:rPr>
      </w:pPr>
      <w:r>
        <w:rPr>
          <w:rFonts w:eastAsia="楷体"/>
          <w:b/>
          <w:bCs/>
          <w:sz w:val="32"/>
          <w:szCs w:val="32"/>
        </w:rPr>
        <w:t>中央农业防灾减灾和水利救灾资金预算</w:t>
      </w:r>
      <w:r>
        <w:rPr>
          <w:rFonts w:hint="eastAsia" w:eastAsia="楷体"/>
          <w:b/>
          <w:bCs/>
          <w:sz w:val="32"/>
          <w:szCs w:val="32"/>
          <w:lang w:eastAsia="zh-CN"/>
        </w:rPr>
        <w:t>（</w:t>
      </w:r>
      <w:r>
        <w:rPr>
          <w:rFonts w:hint="eastAsia" w:eastAsia="楷体"/>
          <w:b/>
          <w:bCs/>
          <w:sz w:val="32"/>
          <w:szCs w:val="32"/>
          <w:lang w:val="en-US" w:eastAsia="zh-CN"/>
        </w:rPr>
        <w:t>第十四批次</w:t>
      </w:r>
      <w:r>
        <w:rPr>
          <w:rFonts w:hint="eastAsia" w:eastAsia="楷体"/>
          <w:b/>
          <w:bCs/>
          <w:sz w:val="32"/>
          <w:szCs w:val="32"/>
          <w:lang w:eastAsia="zh-CN"/>
        </w:rPr>
        <w:t>）</w:t>
      </w:r>
      <w:r>
        <w:rPr>
          <w:rFonts w:hint="eastAsia" w:eastAsia="楷体"/>
          <w:b/>
          <w:bCs/>
          <w:sz w:val="32"/>
          <w:szCs w:val="32"/>
          <w:lang w:val="en-US" w:eastAsia="zh-CN"/>
        </w:rPr>
        <w:t>9820万元</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eastAsia="zh-CN"/>
        </w:rPr>
      </w:pPr>
      <w:r>
        <w:rPr>
          <w:rFonts w:hint="eastAsia"/>
          <w:sz w:val="32"/>
          <w:szCs w:val="36"/>
        </w:rPr>
        <w:t>1.产出指标完成情况分析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1</w:t>
      </w:r>
      <w:r>
        <w:rPr>
          <w:rFonts w:hint="eastAsia"/>
          <w:sz w:val="32"/>
          <w:szCs w:val="36"/>
          <w:lang w:eastAsia="zh-CN"/>
        </w:rPr>
        <w:t>）</w:t>
      </w:r>
      <w:r>
        <w:rPr>
          <w:rFonts w:hint="eastAsia"/>
          <w:sz w:val="32"/>
          <w:szCs w:val="36"/>
          <w:lang w:val="en-US" w:eastAsia="zh-CN"/>
        </w:rPr>
        <w:t>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lang w:val="en-US" w:eastAsia="zh-CN"/>
        </w:rPr>
      </w:pPr>
      <w:r>
        <w:rPr>
          <w:rFonts w:hint="eastAsia"/>
          <w:sz w:val="32"/>
          <w:szCs w:val="36"/>
          <w:lang w:val="en-US" w:eastAsia="zh-CN"/>
        </w:rPr>
        <w:t>财政部随文下达调运和储备饲草料（万吨）指标，指标值为≥55万吨，我区实际完成0万吨，完成率0%，偏差率100%。偏差原因：资金下发较晚，资金暂未执行，结余到2025年开展实施。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rPr>
      </w:pPr>
      <w:r>
        <w:rPr>
          <w:rFonts w:hint="eastAsia"/>
          <w:sz w:val="32"/>
          <w:szCs w:val="36"/>
          <w:lang w:val="en-US" w:eastAsia="zh-CN"/>
        </w:rPr>
        <w:t>（2）质量指标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财政部随文下达用于农业生产救灾相关支出的比例（%）指标，指标值为100%，我区实际完成0%，完成率0%，偏差率100%。偏差原因：资金下发较晚，资金暂未执行，结余到2025年开展实施。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3</w:t>
      </w:r>
      <w:r>
        <w:rPr>
          <w:rFonts w:hint="eastAsia"/>
          <w:sz w:val="32"/>
          <w:szCs w:val="36"/>
          <w:lang w:eastAsia="zh-CN"/>
        </w:rPr>
        <w:t>）</w:t>
      </w:r>
      <w:r>
        <w:rPr>
          <w:rFonts w:hint="eastAsia"/>
          <w:sz w:val="32"/>
          <w:szCs w:val="36"/>
          <w:lang w:val="en-US" w:eastAsia="zh-CN"/>
        </w:rPr>
        <w:t>时效指标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a.财政部随文下达灾后生产恢复时效性指标，指标值为及时恢复正常生产，我区实际完成0%，完成率0%，偏差率100%。偏差原因：资金下发较晚，资金暂未执行，结余到2025年开展实施。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b.财政部随文下达救灾资金下达到自治区3个月内预算执行率（%）指标，指标值为＞80%，我区实际完成0%，完成率0%，偏差率100%。偏差原因：资金下发较晚，资金暂未执行，结余到2025年开展实施。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4</w:t>
      </w:r>
      <w:r>
        <w:rPr>
          <w:rFonts w:hint="eastAsia"/>
          <w:sz w:val="32"/>
          <w:szCs w:val="36"/>
          <w:lang w:eastAsia="zh-CN"/>
        </w:rPr>
        <w:t>）</w:t>
      </w:r>
      <w:r>
        <w:rPr>
          <w:rFonts w:hint="eastAsia"/>
          <w:sz w:val="32"/>
          <w:szCs w:val="36"/>
          <w:lang w:val="en-US" w:eastAsia="zh-CN"/>
        </w:rPr>
        <w:t>成本指标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rPr>
      </w:pPr>
      <w:r>
        <w:rPr>
          <w:rFonts w:hint="eastAsia"/>
          <w:sz w:val="32"/>
          <w:szCs w:val="36"/>
          <w:lang w:val="en-US" w:eastAsia="zh-CN"/>
        </w:rPr>
        <w:t>财政部随文下达严格执行资金预算管理规定，指标值为严格执行，我区实际完成0%，完成率0%，偏差率100%。偏差原因：资金下发较晚，资金暂未执行，结余到2025年开展实施。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val="en-US" w:eastAsia="zh-CN"/>
        </w:rPr>
        <w:t>2.效益指标完成情况分析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1</w:t>
      </w:r>
      <w:r>
        <w:rPr>
          <w:rFonts w:hint="eastAsia"/>
          <w:sz w:val="32"/>
          <w:szCs w:val="36"/>
          <w:lang w:eastAsia="zh-CN"/>
        </w:rPr>
        <w:t>）</w:t>
      </w:r>
      <w:r>
        <w:rPr>
          <w:rFonts w:hint="eastAsia"/>
          <w:sz w:val="32"/>
          <w:szCs w:val="36"/>
          <w:lang w:val="en-US" w:eastAsia="zh-CN"/>
        </w:rPr>
        <w:t>经济效益指标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财政部随文下达受灾地区主要牲畜存栏量减幅指标，指标值为重灾区少减产、轻灾区不减产。我区实际完成0%，完成率0%，偏差率100%。偏差原因：资金下发较晚，资金暂未执行，结余到2025年开展实施。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2</w:t>
      </w:r>
      <w:r>
        <w:rPr>
          <w:rFonts w:hint="eastAsia"/>
          <w:sz w:val="32"/>
          <w:szCs w:val="36"/>
          <w:lang w:eastAsia="zh-CN"/>
        </w:rPr>
        <w:t>）</w:t>
      </w:r>
      <w:r>
        <w:rPr>
          <w:rFonts w:hint="eastAsia"/>
          <w:sz w:val="32"/>
          <w:szCs w:val="36"/>
          <w:lang w:val="en-US" w:eastAsia="zh-CN"/>
        </w:rPr>
        <w:t>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财政部随文下达灾区畜牧业生产秩序恢复指标，指标值为基本恢复。我区实际完成0%，完成率0%，偏差率100%。偏差原因：资金下发较晚，资金暂未执行，结余到2025年开展实施。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3</w:t>
      </w:r>
      <w:r>
        <w:rPr>
          <w:rFonts w:hint="eastAsia"/>
          <w:sz w:val="32"/>
          <w:szCs w:val="36"/>
          <w:lang w:eastAsia="zh-CN"/>
        </w:rPr>
        <w:t>）</w:t>
      </w:r>
      <w:r>
        <w:rPr>
          <w:rFonts w:hint="eastAsia"/>
          <w:sz w:val="32"/>
          <w:szCs w:val="36"/>
          <w:lang w:val="en-US" w:eastAsia="zh-CN"/>
        </w:rPr>
        <w:t>生态效益指标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lang w:eastAsia="zh-CN"/>
        </w:rPr>
      </w:pPr>
      <w:r>
        <w:rPr>
          <w:rFonts w:hint="eastAsia"/>
          <w:sz w:val="32"/>
          <w:szCs w:val="36"/>
          <w:lang w:val="en-US" w:eastAsia="zh-CN"/>
        </w:rPr>
        <w:t>财政部随文下达灾区畜牧业生产能力恢复指标，指标值为基本恢复。我区实际完成0%，完成率0%，偏差率100%。偏差原因：资金下发较晚，资金暂未执行，结余到2025年开展实施。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eastAsia="zh-CN"/>
        </w:rPr>
        <w:t>（</w:t>
      </w:r>
      <w:r>
        <w:rPr>
          <w:rFonts w:hint="eastAsia"/>
          <w:sz w:val="32"/>
          <w:szCs w:val="36"/>
          <w:lang w:val="en-US" w:eastAsia="zh-CN"/>
        </w:rPr>
        <w:t>4</w:t>
      </w:r>
      <w:r>
        <w:rPr>
          <w:rFonts w:hint="eastAsia"/>
          <w:sz w:val="32"/>
          <w:szCs w:val="36"/>
          <w:lang w:eastAsia="zh-CN"/>
        </w:rPr>
        <w:t>）</w:t>
      </w:r>
      <w:r>
        <w:rPr>
          <w:rFonts w:hint="eastAsia"/>
          <w:sz w:val="32"/>
          <w:szCs w:val="36"/>
          <w:lang w:val="en-US" w:eastAsia="zh-CN"/>
        </w:rPr>
        <w:t>可持续影响指标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a.财政部随文下达稳定农民畜牧生产积极性指标，指标值为保持稳定。我区实际完成0%，完成率0%，偏差率100%。偏差原因：资金下发较晚，资金暂未执行，结余到2025年开展实施。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eastAsia="zh-CN"/>
        </w:rPr>
      </w:pPr>
      <w:r>
        <w:rPr>
          <w:rFonts w:hint="eastAsia"/>
          <w:sz w:val="32"/>
          <w:szCs w:val="36"/>
          <w:lang w:val="en-US" w:eastAsia="zh-CN"/>
        </w:rPr>
        <w:t>b.财政部随文下达保证主要畜禽存栏量稳定指标，指标值为保持稳定。我区实际完成0%，完成率0%，偏差率100%。偏差原因：资金下发较晚，资金暂未执行，结余到2025年开展实施。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6"/>
          <w:lang w:val="en-US" w:eastAsia="zh-CN"/>
        </w:rPr>
      </w:pPr>
      <w:r>
        <w:rPr>
          <w:rFonts w:hint="eastAsia"/>
          <w:sz w:val="32"/>
          <w:szCs w:val="36"/>
          <w:lang w:val="en-US" w:eastAsia="zh-CN"/>
        </w:rPr>
        <w:t>3.满意度指标完成情况分析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sz w:val="32"/>
          <w:szCs w:val="36"/>
          <w:lang w:val="en-US"/>
        </w:rPr>
      </w:pPr>
      <w:r>
        <w:rPr>
          <w:rFonts w:hint="eastAsia"/>
          <w:sz w:val="32"/>
          <w:szCs w:val="36"/>
          <w:lang w:val="en-US" w:eastAsia="zh-CN"/>
        </w:rPr>
        <w:t>财政部随文下达指导服务对象满意度指标，指标值为≥85%，我区实际完成0%，完成率0%，偏差率100%。偏差原因：资金下发较晚，资金暂未执行，结余到2025年开展实施。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中央农业防灾减灾和水利救灾资金预算（</w:t>
      </w:r>
      <w:r>
        <w:rPr>
          <w:rFonts w:hint="eastAsia" w:eastAsia="楷体"/>
          <w:b/>
          <w:bCs/>
          <w:sz w:val="32"/>
          <w:szCs w:val="32"/>
        </w:rPr>
        <w:t>动物防疫补助</w:t>
      </w:r>
      <w:r>
        <w:rPr>
          <w:rFonts w:eastAsia="楷体"/>
          <w:b/>
          <w:bCs/>
          <w:sz w:val="32"/>
          <w:szCs w:val="32"/>
        </w:rPr>
        <w:t>）</w:t>
      </w:r>
      <w:r>
        <w:rPr>
          <w:rFonts w:hint="eastAsia" w:eastAsia="楷体"/>
          <w:b/>
          <w:bCs/>
          <w:sz w:val="32"/>
          <w:szCs w:val="32"/>
        </w:rPr>
        <w:t>2</w:t>
      </w:r>
      <w:r>
        <w:rPr>
          <w:rFonts w:hint="eastAsia" w:eastAsia="楷体"/>
          <w:b/>
          <w:bCs/>
          <w:sz w:val="32"/>
          <w:szCs w:val="32"/>
          <w:lang w:val="en-US" w:eastAsia="zh-CN"/>
        </w:rPr>
        <w:t>9147</w:t>
      </w:r>
      <w:r>
        <w:rPr>
          <w:rFonts w:hint="eastAsia" w:eastAsia="楷体"/>
          <w:b/>
          <w:bCs/>
          <w:sz w:val="32"/>
          <w:szCs w:val="32"/>
        </w:rPr>
        <w:t>万元</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hint="eastAsia" w:eastAsia="楷体"/>
          <w:b/>
          <w:bCs/>
          <w:sz w:val="32"/>
          <w:szCs w:val="32"/>
        </w:rPr>
        <w:t>1.</w:t>
      </w:r>
      <w:r>
        <w:rPr>
          <w:rFonts w:eastAsia="楷体"/>
          <w:b/>
          <w:bCs/>
          <w:sz w:val="32"/>
          <w:szCs w:val="32"/>
        </w:rPr>
        <w:t>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仿宋_GB2312" w:hAnsi="仿宋_GB2312" w:cs="仿宋_GB2312"/>
          <w:sz w:val="32"/>
          <w:szCs w:val="32"/>
        </w:rPr>
      </w:pPr>
      <w:r>
        <w:rPr>
          <w:sz w:val="32"/>
          <w:szCs w:val="32"/>
        </w:rPr>
        <w:t>a.财政部随文下达强制扑杀补助数量（头、只）指标，指标值为</w:t>
      </w:r>
      <w:r>
        <w:rPr>
          <w:rFonts w:hint="eastAsia"/>
          <w:sz w:val="32"/>
          <w:szCs w:val="32"/>
        </w:rPr>
        <w:t>12382</w:t>
      </w:r>
      <w:r>
        <w:rPr>
          <w:sz w:val="32"/>
          <w:szCs w:val="32"/>
        </w:rPr>
        <w:t>（头、只），</w:t>
      </w:r>
      <w:r>
        <w:rPr>
          <w:rFonts w:hint="eastAsia"/>
          <w:sz w:val="32"/>
          <w:szCs w:val="32"/>
        </w:rPr>
        <w:t>我区</w:t>
      </w:r>
      <w:r>
        <w:rPr>
          <w:sz w:val="32"/>
          <w:szCs w:val="32"/>
        </w:rPr>
        <w:t>实际完成值为</w:t>
      </w:r>
      <w:r>
        <w:rPr>
          <w:rFonts w:hint="eastAsia"/>
          <w:sz w:val="32"/>
          <w:szCs w:val="32"/>
        </w:rPr>
        <w:t>12367</w:t>
      </w:r>
      <w:r>
        <w:rPr>
          <w:sz w:val="32"/>
          <w:szCs w:val="32"/>
        </w:rPr>
        <w:t>（头、只），完成率为</w:t>
      </w:r>
      <w:r>
        <w:rPr>
          <w:rFonts w:hint="eastAsia"/>
          <w:sz w:val="32"/>
          <w:szCs w:val="32"/>
        </w:rPr>
        <w:t>99.88</w:t>
      </w:r>
      <w:r>
        <w:rPr>
          <w:sz w:val="32"/>
          <w:szCs w:val="32"/>
        </w:rPr>
        <w:t>%，偏差率为</w:t>
      </w:r>
      <w:r>
        <w:rPr>
          <w:rFonts w:hint="eastAsia"/>
          <w:sz w:val="32"/>
          <w:szCs w:val="32"/>
        </w:rPr>
        <w:t>0.12</w:t>
      </w:r>
      <w:r>
        <w:rPr>
          <w:sz w:val="32"/>
          <w:szCs w:val="32"/>
        </w:rPr>
        <w:t>%。</w:t>
      </w:r>
      <w:r>
        <w:rPr>
          <w:rFonts w:hint="eastAsia"/>
          <w:sz w:val="32"/>
          <w:szCs w:val="32"/>
          <w:lang w:eastAsia="zh-Hans"/>
        </w:rPr>
        <w:t>偏差</w:t>
      </w:r>
      <w:r>
        <w:rPr>
          <w:sz w:val="32"/>
          <w:szCs w:val="32"/>
        </w:rPr>
        <w:t>原因：</w:t>
      </w:r>
      <w:r>
        <w:rPr>
          <w:rFonts w:hint="eastAsia"/>
          <w:sz w:val="32"/>
          <w:szCs w:val="32"/>
        </w:rPr>
        <w:t>一是自治区财政厅随文下达强制扑杀补助数量(头、只)指标，指标值为1161(头、只)，未完成原因为:阿勒泰市在疫情监测平台数据上报时在2022年至2023年强制扑杀的15头奶牛重复统计</w:t>
      </w:r>
      <w:r>
        <w:rPr>
          <w:rFonts w:hint="eastAsia" w:ascii="仿宋_GB2312" w:hAnsi="仿宋_GB2312" w:cs="仿宋_GB2312"/>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rPr>
      </w:pPr>
      <w:r>
        <w:rPr>
          <w:rFonts w:hint="eastAsia"/>
          <w:sz w:val="32"/>
          <w:szCs w:val="32"/>
        </w:rPr>
        <w:t>b</w:t>
      </w:r>
      <w:r>
        <w:rPr>
          <w:sz w:val="32"/>
          <w:szCs w:val="32"/>
        </w:rPr>
        <w:t>.财政部随文下达养殖环节病死猪无害化处理补助头数指标，指标值为</w:t>
      </w:r>
      <w:r>
        <w:rPr>
          <w:rFonts w:hint="eastAsia"/>
          <w:sz w:val="32"/>
          <w:szCs w:val="32"/>
        </w:rPr>
        <w:t>115867</w:t>
      </w:r>
      <w:r>
        <w:rPr>
          <w:sz w:val="32"/>
          <w:szCs w:val="32"/>
        </w:rPr>
        <w:t>头，</w:t>
      </w:r>
      <w:r>
        <w:rPr>
          <w:rFonts w:hint="eastAsia"/>
          <w:sz w:val="32"/>
          <w:szCs w:val="32"/>
        </w:rPr>
        <w:t>我区</w:t>
      </w:r>
      <w:r>
        <w:rPr>
          <w:sz w:val="32"/>
          <w:szCs w:val="32"/>
        </w:rPr>
        <w:t>实际完成值为</w:t>
      </w:r>
      <w:r>
        <w:rPr>
          <w:rFonts w:hint="eastAsia"/>
          <w:sz w:val="32"/>
          <w:szCs w:val="32"/>
        </w:rPr>
        <w:t>112647</w:t>
      </w:r>
      <w:r>
        <w:rPr>
          <w:sz w:val="32"/>
          <w:szCs w:val="32"/>
        </w:rPr>
        <w:t>头，完成率</w:t>
      </w:r>
      <w:r>
        <w:rPr>
          <w:rFonts w:hint="eastAsia"/>
          <w:sz w:val="32"/>
          <w:szCs w:val="32"/>
        </w:rPr>
        <w:t>97.22</w:t>
      </w:r>
      <w:r>
        <w:rPr>
          <w:sz w:val="32"/>
          <w:szCs w:val="32"/>
        </w:rPr>
        <w:t>%，偏差率为</w:t>
      </w:r>
      <w:r>
        <w:rPr>
          <w:rFonts w:hint="eastAsia"/>
          <w:sz w:val="32"/>
          <w:szCs w:val="32"/>
        </w:rPr>
        <w:t>2.78</w:t>
      </w:r>
      <w:r>
        <w:rPr>
          <w:sz w:val="32"/>
          <w:szCs w:val="32"/>
        </w:rPr>
        <w:t>%。</w:t>
      </w:r>
      <w:r>
        <w:rPr>
          <w:rFonts w:hint="eastAsia"/>
          <w:sz w:val="32"/>
          <w:szCs w:val="32"/>
          <w:lang w:eastAsia="zh-Hans"/>
        </w:rPr>
        <w:t>偏差</w:t>
      </w:r>
      <w:r>
        <w:rPr>
          <w:sz w:val="32"/>
          <w:szCs w:val="32"/>
        </w:rPr>
        <w:t>原因：</w:t>
      </w:r>
      <w:r>
        <w:rPr>
          <w:rFonts w:hint="eastAsia"/>
          <w:sz w:val="32"/>
          <w:szCs w:val="32"/>
        </w:rPr>
        <w:t>克州养殖环节病死畜禽无害化处理补助头数，阿克陶县在制定2024年度“养殖环节病死猪无害化处理补助头数”指标时，将指标值设定为210头，而在实际执行过程中最终完成无害化处理补助头数仅为59头，导致实际完成数据与所设指标值存在较大差距。因实际完成的病死畜禽无害化处理补助头数远低于设定指标值。</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2"/>
        </w:rPr>
        <w:t>c</w:t>
      </w:r>
      <w:r>
        <w:rPr>
          <w:sz w:val="32"/>
          <w:szCs w:val="32"/>
        </w:rPr>
        <w:t>.财政部随文下达重大动物疫情应扑杀动物扑杀率，指标值为100%，</w:t>
      </w:r>
      <w:r>
        <w:rPr>
          <w:rFonts w:hint="eastAsia"/>
          <w:sz w:val="32"/>
          <w:szCs w:val="32"/>
        </w:rPr>
        <w:t>我区</w:t>
      </w:r>
      <w:r>
        <w:rPr>
          <w:sz w:val="32"/>
          <w:szCs w:val="32"/>
        </w:rPr>
        <w:t>实际完成值为</w:t>
      </w:r>
      <w:r>
        <w:rPr>
          <w:rFonts w:hint="eastAsia"/>
          <w:sz w:val="32"/>
          <w:szCs w:val="32"/>
        </w:rPr>
        <w:t>100</w:t>
      </w:r>
      <w:r>
        <w:rPr>
          <w:sz w:val="32"/>
          <w:szCs w:val="32"/>
        </w:rPr>
        <w:t>%，完成率为100%，偏差率0%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（2）</w:t>
      </w:r>
      <w:r>
        <w:rPr>
          <w:rFonts w:hint="eastAsia"/>
          <w:sz w:val="32"/>
        </w:rPr>
        <w:t>质量</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a.财政部随文下达依法对重大动物疫情处置率指标，指标值为100%，</w:t>
      </w:r>
      <w:r>
        <w:rPr>
          <w:rFonts w:hint="eastAsia"/>
          <w:sz w:val="32"/>
          <w:szCs w:val="32"/>
        </w:rPr>
        <w:t>我区</w:t>
      </w:r>
      <w:r>
        <w:rPr>
          <w:sz w:val="32"/>
          <w:szCs w:val="32"/>
        </w:rPr>
        <w:t>实际发生、查堵并依法完成处置的重大动物疫情共</w:t>
      </w:r>
      <w:r>
        <w:rPr>
          <w:rFonts w:hint="eastAsia"/>
          <w:sz w:val="32"/>
          <w:szCs w:val="32"/>
        </w:rPr>
        <w:t>0</w:t>
      </w:r>
      <w:r>
        <w:rPr>
          <w:sz w:val="32"/>
          <w:szCs w:val="32"/>
        </w:rPr>
        <w:t>起，完成率为100%，偏差率0%。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w:t>
      </w:r>
      <w:r>
        <w:rPr>
          <w:sz w:val="32"/>
          <w:szCs w:val="32"/>
        </w:rPr>
        <w:t>.财政部随文下达春秋防检查免疫抗体合格率（除布病外其他病种的平均免疫抗体合格率）指标，指标值为≥70%，</w:t>
      </w:r>
      <w:r>
        <w:rPr>
          <w:rFonts w:hint="eastAsia"/>
          <w:sz w:val="32"/>
          <w:szCs w:val="32"/>
        </w:rPr>
        <w:t>我区</w:t>
      </w:r>
      <w:r>
        <w:rPr>
          <w:sz w:val="32"/>
          <w:szCs w:val="32"/>
        </w:rPr>
        <w:t>实际完成值为70%，完成率为100%，偏差率0%。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2"/>
        </w:rPr>
        <w:t>c</w:t>
      </w:r>
      <w:r>
        <w:rPr>
          <w:sz w:val="32"/>
          <w:szCs w:val="32"/>
        </w:rPr>
        <w:t>.财政部随文下达春秋防检查养殖场户免疫密度合格率指标，指标值为≥</w:t>
      </w:r>
      <w:r>
        <w:rPr>
          <w:rFonts w:hint="eastAsia"/>
          <w:sz w:val="32"/>
          <w:szCs w:val="32"/>
        </w:rPr>
        <w:t>9</w:t>
      </w:r>
      <w:r>
        <w:rPr>
          <w:sz w:val="32"/>
          <w:szCs w:val="32"/>
        </w:rPr>
        <w:t>0%，</w:t>
      </w:r>
      <w:r>
        <w:rPr>
          <w:rFonts w:hint="eastAsia"/>
          <w:sz w:val="32"/>
          <w:szCs w:val="32"/>
        </w:rPr>
        <w:t>我区</w:t>
      </w:r>
      <w:r>
        <w:rPr>
          <w:sz w:val="32"/>
          <w:szCs w:val="32"/>
        </w:rPr>
        <w:t>实际完成值为</w:t>
      </w:r>
      <w:r>
        <w:rPr>
          <w:rFonts w:hint="eastAsia"/>
          <w:sz w:val="32"/>
          <w:szCs w:val="32"/>
        </w:rPr>
        <w:t>9</w:t>
      </w:r>
      <w:r>
        <w:rPr>
          <w:sz w:val="32"/>
          <w:szCs w:val="32"/>
        </w:rPr>
        <w:t>0%，完成率为100%，偏差率0%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（3）</w:t>
      </w:r>
      <w:r>
        <w:rPr>
          <w:rFonts w:hint="eastAsia"/>
          <w:sz w:val="32"/>
        </w:rPr>
        <w:t>时效</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a.财政部随文下达重大动物疫情及时报告率指标，指标值为100%，</w:t>
      </w:r>
      <w:r>
        <w:rPr>
          <w:rFonts w:hint="eastAsia"/>
          <w:sz w:val="32"/>
          <w:szCs w:val="32"/>
        </w:rPr>
        <w:t>我区报告发生</w:t>
      </w:r>
      <w:r>
        <w:rPr>
          <w:sz w:val="32"/>
          <w:szCs w:val="32"/>
        </w:rPr>
        <w:t>重大动物疫情共</w:t>
      </w:r>
      <w:r>
        <w:rPr>
          <w:rFonts w:hint="eastAsia"/>
          <w:sz w:val="32"/>
          <w:szCs w:val="32"/>
        </w:rPr>
        <w:t>0</w:t>
      </w:r>
      <w:r>
        <w:rPr>
          <w:sz w:val="32"/>
          <w:szCs w:val="32"/>
        </w:rPr>
        <w:t>起，</w:t>
      </w:r>
      <w:r>
        <w:rPr>
          <w:rFonts w:hint="eastAsia"/>
          <w:sz w:val="32"/>
          <w:szCs w:val="32"/>
        </w:rPr>
        <w:t>均依法及时上报，</w:t>
      </w:r>
      <w:r>
        <w:rPr>
          <w:sz w:val="32"/>
          <w:szCs w:val="32"/>
        </w:rPr>
        <w:t>完成率为100%，偏差率0%。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（4）成本指标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财政部随文未下达成本指标。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2.效益指标完成情况分析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w:t>
      </w:r>
      <w:r>
        <w:rPr>
          <w:rFonts w:hint="eastAsia"/>
          <w:sz w:val="32"/>
          <w:szCs w:val="32"/>
        </w:rPr>
        <w:t>1</w:t>
      </w:r>
      <w:r>
        <w:rPr>
          <w:sz w:val="32"/>
          <w:szCs w:val="32"/>
        </w:rPr>
        <w:t>）社会效益指标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a.财政部随文下达大规模随意抛弃病死猪事件发生率指标，指标值为</w:t>
      </w:r>
      <w:r>
        <w:rPr>
          <w:rFonts w:hint="eastAsia"/>
          <w:sz w:val="32"/>
          <w:szCs w:val="32"/>
        </w:rPr>
        <w:t>不发生</w:t>
      </w:r>
      <w:r>
        <w:rPr>
          <w:sz w:val="32"/>
          <w:szCs w:val="32"/>
        </w:rPr>
        <w:t>，</w:t>
      </w:r>
      <w:r>
        <w:rPr>
          <w:rFonts w:hint="eastAsia"/>
          <w:sz w:val="32"/>
          <w:szCs w:val="32"/>
        </w:rPr>
        <w:t>我区</w:t>
      </w:r>
      <w:r>
        <w:rPr>
          <w:sz w:val="32"/>
          <w:szCs w:val="32"/>
        </w:rPr>
        <w:t>实际完成值为</w:t>
      </w:r>
      <w:r>
        <w:rPr>
          <w:rFonts w:hint="eastAsia"/>
          <w:sz w:val="32"/>
          <w:szCs w:val="32"/>
          <w:lang w:val="en-US" w:eastAsia="zh-CN"/>
        </w:rPr>
        <w:t>100%</w:t>
      </w:r>
      <w:r>
        <w:rPr>
          <w:sz w:val="32"/>
          <w:szCs w:val="32"/>
        </w:rPr>
        <w:t>，完成率100%，偏差率为0%。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b.财政部随文下达资金使用重大违规违纪问题指标，指标值无，</w:t>
      </w:r>
      <w:r>
        <w:rPr>
          <w:rFonts w:hint="eastAsia"/>
          <w:sz w:val="32"/>
          <w:szCs w:val="32"/>
        </w:rPr>
        <w:t>我区</w:t>
      </w:r>
      <w:r>
        <w:rPr>
          <w:sz w:val="32"/>
          <w:szCs w:val="32"/>
        </w:rPr>
        <w:t>实际完成值为无，完成率100%，偏差率为0%。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rFonts w:hint="eastAsia"/>
          <w:sz w:val="32"/>
          <w:szCs w:val="32"/>
        </w:rPr>
        <w:t>c</w:t>
      </w:r>
      <w:r>
        <w:rPr>
          <w:sz w:val="32"/>
          <w:szCs w:val="32"/>
        </w:rPr>
        <w:t>.财政部随文下达因扑杀不及时造成重大动物疫情扩散，指标值为</w:t>
      </w:r>
      <w:r>
        <w:rPr>
          <w:rFonts w:hint="eastAsia"/>
          <w:sz w:val="32"/>
          <w:szCs w:val="32"/>
        </w:rPr>
        <w:t>不发生</w:t>
      </w:r>
      <w:r>
        <w:rPr>
          <w:sz w:val="32"/>
          <w:szCs w:val="32"/>
        </w:rPr>
        <w:t>，</w:t>
      </w:r>
      <w:r>
        <w:rPr>
          <w:rFonts w:hint="eastAsia"/>
          <w:sz w:val="32"/>
          <w:szCs w:val="32"/>
        </w:rPr>
        <w:t>我区</w:t>
      </w:r>
      <w:r>
        <w:rPr>
          <w:sz w:val="32"/>
          <w:szCs w:val="32"/>
        </w:rPr>
        <w:t>实际完成值为</w:t>
      </w:r>
      <w:r>
        <w:rPr>
          <w:rFonts w:hint="eastAsia"/>
          <w:sz w:val="32"/>
          <w:szCs w:val="32"/>
          <w:lang w:val="en-US" w:eastAsia="zh-CN"/>
        </w:rPr>
        <w:t>100%</w:t>
      </w:r>
      <w:r>
        <w:rPr>
          <w:sz w:val="32"/>
          <w:szCs w:val="32"/>
        </w:rPr>
        <w:t>，完成率100%，偏差率为0%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3.满意度指标完成情况分析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szCs w:val="32"/>
        </w:rPr>
        <w:t>财政部随文下达补助对象对</w:t>
      </w:r>
      <w:r>
        <w:rPr>
          <w:rFonts w:hint="eastAsia"/>
          <w:sz w:val="32"/>
          <w:szCs w:val="32"/>
        </w:rPr>
        <w:t>政策</w:t>
      </w:r>
      <w:r>
        <w:rPr>
          <w:sz w:val="32"/>
          <w:szCs w:val="32"/>
        </w:rPr>
        <w:t>实施满意</w:t>
      </w:r>
      <w:r>
        <w:rPr>
          <w:rFonts w:hint="eastAsia"/>
          <w:sz w:val="32"/>
          <w:szCs w:val="32"/>
        </w:rPr>
        <w:t>度</w:t>
      </w:r>
      <w:r>
        <w:rPr>
          <w:sz w:val="32"/>
          <w:szCs w:val="32"/>
        </w:rPr>
        <w:t>指标，指标值≥90%，</w:t>
      </w:r>
      <w:r>
        <w:rPr>
          <w:rFonts w:hint="eastAsia"/>
          <w:sz w:val="32"/>
          <w:szCs w:val="32"/>
        </w:rPr>
        <w:t>我区</w:t>
      </w:r>
      <w:r>
        <w:rPr>
          <w:sz w:val="32"/>
          <w:szCs w:val="32"/>
        </w:rPr>
        <w:t>实际完成值为90%，完成率100%，偏差率为0%</w:t>
      </w:r>
      <w:r>
        <w:rPr>
          <w:sz w:val="32"/>
        </w:rPr>
        <w:t>。</w:t>
      </w:r>
    </w:p>
    <w:p>
      <w:pPr>
        <w:numPr>
          <w:ilvl w:val="0"/>
          <w:numId w:val="1"/>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bCs/>
          <w:sz w:val="32"/>
          <w:szCs w:val="32"/>
        </w:rPr>
      </w:pPr>
      <w:r>
        <w:rPr>
          <w:rFonts w:eastAsia="黑体"/>
          <w:bCs/>
          <w:sz w:val="32"/>
          <w:szCs w:val="32"/>
        </w:rPr>
        <w:t>偏离绩效目标的原因和下一步改进措施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一</w:t>
      </w:r>
      <w:r>
        <w:rPr>
          <w:rFonts w:hint="eastAsia"/>
          <w:b/>
          <w:bCs/>
          <w:sz w:val="32"/>
          <w:szCs w:val="32"/>
          <w:lang w:eastAsia="zh-CN"/>
        </w:rPr>
        <w:t>）</w:t>
      </w:r>
      <w:r>
        <w:rPr>
          <w:b/>
          <w:bCs/>
          <w:sz w:val="32"/>
          <w:szCs w:val="32"/>
        </w:rPr>
        <w:t>偏离的绩效目标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a.财政部随文下达强制扑杀补助数量（头、只）指标，指标值为</w:t>
      </w:r>
      <w:r>
        <w:rPr>
          <w:rFonts w:hint="eastAsia"/>
          <w:sz w:val="32"/>
          <w:szCs w:val="32"/>
        </w:rPr>
        <w:t>12382</w:t>
      </w:r>
      <w:r>
        <w:rPr>
          <w:sz w:val="32"/>
          <w:szCs w:val="32"/>
        </w:rPr>
        <w:t>（头、只），</w:t>
      </w:r>
      <w:r>
        <w:rPr>
          <w:rFonts w:hint="eastAsia"/>
          <w:sz w:val="32"/>
          <w:szCs w:val="32"/>
        </w:rPr>
        <w:t>我区</w:t>
      </w:r>
      <w:r>
        <w:rPr>
          <w:sz w:val="32"/>
          <w:szCs w:val="32"/>
        </w:rPr>
        <w:t>实际完成值为</w:t>
      </w:r>
      <w:r>
        <w:rPr>
          <w:rFonts w:hint="eastAsia"/>
          <w:sz w:val="32"/>
          <w:szCs w:val="32"/>
        </w:rPr>
        <w:t>12367</w:t>
      </w:r>
      <w:r>
        <w:rPr>
          <w:sz w:val="32"/>
          <w:szCs w:val="32"/>
        </w:rPr>
        <w:t>（头、只），完成率为</w:t>
      </w:r>
      <w:r>
        <w:rPr>
          <w:rFonts w:hint="eastAsia"/>
          <w:sz w:val="32"/>
          <w:szCs w:val="32"/>
        </w:rPr>
        <w:t>99.88</w:t>
      </w:r>
      <w:r>
        <w:rPr>
          <w:sz w:val="32"/>
          <w:szCs w:val="32"/>
        </w:rPr>
        <w:t>%，偏差率为</w:t>
      </w:r>
      <w:r>
        <w:rPr>
          <w:rFonts w:hint="eastAsia"/>
          <w:sz w:val="32"/>
          <w:szCs w:val="32"/>
        </w:rPr>
        <w:t>0.12</w:t>
      </w:r>
      <w:r>
        <w:rPr>
          <w:sz w:val="32"/>
          <w:szCs w:val="32"/>
        </w:rPr>
        <w:t>%。</w:t>
      </w:r>
      <w:r>
        <w:rPr>
          <w:rFonts w:hint="eastAsia"/>
          <w:sz w:val="32"/>
          <w:szCs w:val="32"/>
          <w:lang w:eastAsia="zh-Hans"/>
        </w:rPr>
        <w:t>偏差</w:t>
      </w:r>
      <w:r>
        <w:rPr>
          <w:sz w:val="32"/>
          <w:szCs w:val="32"/>
        </w:rPr>
        <w:t>原因：</w:t>
      </w:r>
      <w:r>
        <w:rPr>
          <w:rFonts w:hint="eastAsia" w:ascii="仿宋_GB2312" w:hAnsi="仿宋_GB2312" w:cs="仿宋_GB2312"/>
          <w:sz w:val="32"/>
          <w:szCs w:val="32"/>
        </w:rPr>
        <w:t>一是自治区财政厅随文下达强制扑杀补助数量(头、只)指标</w:t>
      </w:r>
      <w:r>
        <w:rPr>
          <w:rFonts w:hint="eastAsia" w:ascii="仿宋_GB2312" w:hAnsi="仿宋_GB2312" w:cs="仿宋_GB2312"/>
          <w:b/>
          <w:bCs/>
          <w:sz w:val="32"/>
          <w:szCs w:val="32"/>
        </w:rPr>
        <w:t>，</w:t>
      </w:r>
      <w:r>
        <w:rPr>
          <w:rFonts w:hint="eastAsia" w:ascii="仿宋_GB2312" w:hAnsi="仿宋_GB2312" w:cs="仿宋_GB2312"/>
          <w:sz w:val="32"/>
          <w:szCs w:val="32"/>
        </w:rPr>
        <w:t>指标值为1161(头、只)，未完成原因为:阿勒泰市在疫情监测平台数据上报时在2022年至2023年强制扑杀的15头奶牛重复统计。</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仿宋_GB2312" w:hAnsi="仿宋_GB2312" w:cs="仿宋_GB2312"/>
          <w:sz w:val="32"/>
          <w:szCs w:val="32"/>
        </w:rPr>
      </w:pPr>
      <w:r>
        <w:rPr>
          <w:rFonts w:hint="eastAsia"/>
          <w:sz w:val="32"/>
          <w:szCs w:val="32"/>
        </w:rPr>
        <w:t>b</w:t>
      </w:r>
      <w:r>
        <w:rPr>
          <w:sz w:val="32"/>
          <w:szCs w:val="32"/>
        </w:rPr>
        <w:t>.财政部随文下达养殖环节病死猪无害化处理补助头数指标，指标值为</w:t>
      </w:r>
      <w:r>
        <w:rPr>
          <w:rFonts w:hint="eastAsia"/>
          <w:sz w:val="32"/>
          <w:szCs w:val="32"/>
        </w:rPr>
        <w:t>115867</w:t>
      </w:r>
      <w:r>
        <w:rPr>
          <w:sz w:val="32"/>
          <w:szCs w:val="32"/>
        </w:rPr>
        <w:t>头，</w:t>
      </w:r>
      <w:r>
        <w:rPr>
          <w:rFonts w:hint="eastAsia"/>
          <w:sz w:val="32"/>
          <w:szCs w:val="32"/>
        </w:rPr>
        <w:t>我区</w:t>
      </w:r>
      <w:r>
        <w:rPr>
          <w:sz w:val="32"/>
          <w:szCs w:val="32"/>
        </w:rPr>
        <w:t>实际完成值为</w:t>
      </w:r>
      <w:r>
        <w:rPr>
          <w:rFonts w:hint="eastAsia"/>
          <w:sz w:val="32"/>
          <w:szCs w:val="32"/>
        </w:rPr>
        <w:t>112647</w:t>
      </w:r>
      <w:r>
        <w:rPr>
          <w:sz w:val="32"/>
          <w:szCs w:val="32"/>
        </w:rPr>
        <w:t>头，完成率</w:t>
      </w:r>
      <w:r>
        <w:rPr>
          <w:rFonts w:hint="eastAsia"/>
          <w:sz w:val="32"/>
          <w:szCs w:val="32"/>
        </w:rPr>
        <w:t>97.22</w:t>
      </w:r>
      <w:r>
        <w:rPr>
          <w:sz w:val="32"/>
          <w:szCs w:val="32"/>
        </w:rPr>
        <w:t>%，偏差率为</w:t>
      </w:r>
      <w:r>
        <w:rPr>
          <w:rFonts w:hint="eastAsia"/>
          <w:sz w:val="32"/>
          <w:szCs w:val="32"/>
        </w:rPr>
        <w:t>2.78</w:t>
      </w:r>
      <w:r>
        <w:rPr>
          <w:sz w:val="32"/>
          <w:szCs w:val="32"/>
        </w:rPr>
        <w:t>%。</w:t>
      </w:r>
      <w:r>
        <w:rPr>
          <w:rFonts w:hint="eastAsia"/>
          <w:sz w:val="32"/>
          <w:szCs w:val="32"/>
          <w:lang w:eastAsia="zh-Hans"/>
        </w:rPr>
        <w:t>偏差</w:t>
      </w:r>
      <w:r>
        <w:rPr>
          <w:sz w:val="32"/>
          <w:szCs w:val="32"/>
        </w:rPr>
        <w:t>原因：</w:t>
      </w:r>
      <w:r>
        <w:rPr>
          <w:rFonts w:hint="eastAsia" w:ascii="仿宋_GB2312" w:hAnsi="仿宋_GB2312" w:cs="仿宋_GB2312"/>
          <w:sz w:val="32"/>
          <w:szCs w:val="32"/>
        </w:rPr>
        <w:t>克州养殖环节病死畜禽无害化处理补助头数，阿克陶县在制定2024年度“养殖环节病死猪无害化处理补助头数”指标时，将指标值设定为210头，而在实际执行过程中最终完成无害化处理补助头数仅为59头，导致实际完成数据与所设指标值存在较大差距。因实际完成的病死畜禽无害化处理补助头数远低于设定指标值。</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pPr>
      <w:r>
        <w:rPr>
          <w:rFonts w:hint="eastAsia" w:ascii="仿宋_GB2312" w:hAnsi="仿宋_GB2312" w:cs="仿宋_GB2312"/>
          <w:b/>
          <w:bCs/>
          <w:sz w:val="32"/>
          <w:szCs w:val="32"/>
        </w:rPr>
        <w:t>完成率超过</w:t>
      </w:r>
      <w:r>
        <w:rPr>
          <w:rFonts w:hint="eastAsia"/>
          <w:sz w:val="32"/>
          <w:szCs w:val="36"/>
        </w:rPr>
        <w:t>30%</w:t>
      </w:r>
      <w:r>
        <w:rPr>
          <w:rFonts w:hint="eastAsia" w:ascii="仿宋_GB2312" w:hAnsi="仿宋_GB2312" w:cs="仿宋_GB2312"/>
          <w:b/>
          <w:bCs/>
          <w:sz w:val="32"/>
          <w:szCs w:val="32"/>
        </w:rPr>
        <w:t>的指标</w:t>
      </w:r>
      <w:r>
        <w:rPr>
          <w:rFonts w:hint="eastAsia" w:ascii="仿宋_GB2312" w:hAnsi="仿宋_GB2312" w:cs="仿宋_GB2312"/>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a.财政部</w:t>
      </w:r>
      <w:r>
        <w:rPr>
          <w:sz w:val="32"/>
        </w:rPr>
        <w:t>随文下达</w:t>
      </w:r>
      <w:r>
        <w:rPr>
          <w:rFonts w:hint="eastAsia"/>
          <w:sz w:val="32"/>
          <w:szCs w:val="36"/>
        </w:rPr>
        <w:t>修复畜禽养殖圈舍（平方米）</w:t>
      </w:r>
      <w:r>
        <w:rPr>
          <w:sz w:val="32"/>
          <w:szCs w:val="36"/>
        </w:rPr>
        <w:t>指标，指标值为≥</w:t>
      </w:r>
      <w:r>
        <w:rPr>
          <w:rFonts w:hint="eastAsia"/>
          <w:sz w:val="32"/>
          <w:szCs w:val="36"/>
        </w:rPr>
        <w:t>24870平方米</w:t>
      </w:r>
      <w:r>
        <w:rPr>
          <w:sz w:val="32"/>
          <w:szCs w:val="36"/>
        </w:rPr>
        <w:t>，</w:t>
      </w:r>
      <w:r>
        <w:rPr>
          <w:rFonts w:hint="eastAsia"/>
          <w:sz w:val="32"/>
          <w:szCs w:val="36"/>
        </w:rPr>
        <w:t>我区</w:t>
      </w:r>
      <w:r>
        <w:rPr>
          <w:sz w:val="32"/>
          <w:szCs w:val="36"/>
        </w:rPr>
        <w:t>实际完成</w:t>
      </w:r>
      <w:r>
        <w:rPr>
          <w:rFonts w:hint="eastAsia"/>
          <w:sz w:val="32"/>
          <w:szCs w:val="36"/>
        </w:rPr>
        <w:t>40148平方米</w:t>
      </w:r>
      <w:r>
        <w:rPr>
          <w:sz w:val="32"/>
          <w:szCs w:val="36"/>
        </w:rPr>
        <w:t>，完成率1</w:t>
      </w:r>
      <w:r>
        <w:rPr>
          <w:rFonts w:hint="eastAsia"/>
          <w:sz w:val="32"/>
          <w:szCs w:val="36"/>
        </w:rPr>
        <w:t>61</w:t>
      </w:r>
      <w:r>
        <w:rPr>
          <w:sz w:val="32"/>
          <w:szCs w:val="36"/>
        </w:rPr>
        <w:t>%，偏差率</w:t>
      </w:r>
      <w:r>
        <w:rPr>
          <w:rFonts w:hint="eastAsia"/>
          <w:sz w:val="32"/>
          <w:szCs w:val="36"/>
        </w:rPr>
        <w:t>61</w:t>
      </w:r>
      <w:r>
        <w:rPr>
          <w:sz w:val="32"/>
          <w:szCs w:val="36"/>
        </w:rPr>
        <w:t>%</w:t>
      </w:r>
      <w:r>
        <w:rPr>
          <w:rFonts w:hint="eastAsia"/>
          <w:sz w:val="32"/>
          <w:szCs w:val="36"/>
        </w:rPr>
        <w:t>。偏差原因：按照不超过实际建造成本进行补贴的要求，按照每座不低于30平方米、10000元的标准对修复畜禽养殖棚圈给予补贴，但为满足实际生产需求，阿合奇县、乌什县修复的畜禽养殖棚圈每座在30—100平方米，最终补贴实际面积达到40148平方米，</w:t>
      </w:r>
      <w:r>
        <w:rPr>
          <w:sz w:val="32"/>
          <w:szCs w:val="32"/>
        </w:rPr>
        <w:t>故完成率偏高</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二</w:t>
      </w:r>
      <w:r>
        <w:rPr>
          <w:rFonts w:hint="eastAsia"/>
          <w:b/>
          <w:bCs/>
          <w:sz w:val="32"/>
          <w:szCs w:val="32"/>
          <w:lang w:eastAsia="zh-CN"/>
        </w:rPr>
        <w:t>）</w:t>
      </w:r>
      <w:r>
        <w:rPr>
          <w:b/>
          <w:bCs/>
          <w:sz w:val="32"/>
          <w:szCs w:val="32"/>
        </w:rPr>
        <w:t>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sz w:val="32"/>
          <w:szCs w:val="36"/>
        </w:rPr>
      </w:pPr>
      <w:r>
        <w:rPr>
          <w:rFonts w:hint="eastAsia"/>
          <w:b/>
          <w:bCs/>
          <w:sz w:val="32"/>
          <w:szCs w:val="32"/>
          <w:lang w:val="en-US" w:eastAsia="zh-CN"/>
        </w:rPr>
        <w:t>1.项目实施过程中存在不足</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6"/>
        </w:rPr>
        <w:t>一是资金下达较晚，2024年12月30日，农业防灾减灾和水利救灾资金（防灾救灾第十四批）到达各项目执行县，2024年12月底，我区各级财政年终轧账，无法执行资金。二是地区本级财政购置的饲草、兽药、消毒药正在执行集中采购流程，无法兑付资金；农牧民、养殖场户储备的防灾饲草料，前期维修加固的棚圈，兽药、消毒药品等物资购置还在进行验收，资金还无法兑付。三是项目还在执行中，未开展服务对象满意度测评。</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sz w:val="32"/>
          <w:szCs w:val="32"/>
        </w:rPr>
      </w:pPr>
      <w:r>
        <w:rPr>
          <w:rFonts w:hint="eastAsia"/>
          <w:b/>
          <w:bCs/>
          <w:sz w:val="32"/>
          <w:szCs w:val="32"/>
          <w:lang w:val="en-US" w:eastAsia="zh-CN"/>
        </w:rPr>
        <w:t>2.下一步工作实施改进措施。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自治区农业农村厅将</w:t>
      </w:r>
      <w:r>
        <w:rPr>
          <w:rFonts w:hint="eastAsia"/>
          <w:sz w:val="32"/>
          <w:szCs w:val="32"/>
        </w:rPr>
        <w:t>进一步</w:t>
      </w:r>
      <w:r>
        <w:rPr>
          <w:sz w:val="32"/>
          <w:szCs w:val="32"/>
        </w:rPr>
        <w:t>加强资金使用的督导、推动专项任务按时完成</w:t>
      </w:r>
      <w:bookmarkStart w:id="0" w:name="_Hlk36400345"/>
      <w:r>
        <w:rPr>
          <w:sz w:val="32"/>
          <w:szCs w:val="32"/>
        </w:rPr>
        <w:t>、强化绩效目标管理</w:t>
      </w:r>
      <w:bookmarkEnd w:id="0"/>
      <w:r>
        <w:rPr>
          <w:sz w:val="32"/>
          <w:szCs w:val="32"/>
        </w:rPr>
        <w:t>、提升沟通协调能力等方面有序开展工作，根据实际情况，确保专项补助资金按相关要求执行，进一步提高中央财政相关农业转移支付资金的使用效益。加强资金执行过程管理和制度落实落地。加大项目调度力度。实行常规项目“月调度”、重点项目“周调度”、重大项目“三天一调度”，及时调度各类项目开复工及项目实施进度情况，梳理总结项目执行存在的问题，压实各环节责任，进一步加快项目实施进度和资金支出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pPr>
      <w:r>
        <w:rPr>
          <w:color w:val="000000" w:themeColor="text1"/>
          <w:sz w:val="32"/>
          <w:szCs w:val="32"/>
          <w14:textFill>
            <w14:solidFill>
              <w14:schemeClr w14:val="tx1"/>
            </w14:solidFill>
          </w14:textFill>
        </w:rPr>
        <w:t>加强自查整改</w:t>
      </w:r>
      <w:r>
        <w:rPr>
          <w:b/>
          <w:bCs/>
          <w:color w:val="000000" w:themeColor="text1"/>
          <w:sz w:val="32"/>
          <w:szCs w:val="32"/>
          <w14:textFill>
            <w14:solidFill>
              <w14:schemeClr w14:val="tx1"/>
            </w14:solidFill>
          </w14:textFill>
        </w:rPr>
        <w:t>。</w:t>
      </w:r>
      <w:r>
        <w:rPr>
          <w:color w:val="000000" w:themeColor="text1"/>
          <w:sz w:val="32"/>
          <w:szCs w:val="32"/>
          <w14:textFill>
            <w14:solidFill>
              <w14:schemeClr w14:val="tx1"/>
            </w14:solidFill>
          </w14:textFill>
        </w:rPr>
        <w:t>重点就容易出现漏洞和问题的关键环节进行自查，发现问题及时整改，对专项资金使用管理中发现的挤占、挪用、截留等违规行为第一时间督促责任单位整改，涉及违法犯罪的及时通报纪委监委部门给予坚决查处，由有关部门按照</w:t>
      </w:r>
      <w:r>
        <w:rPr>
          <w:rFonts w:hint="eastAsia"/>
          <w:color w:val="000000" w:themeColor="text1"/>
          <w:sz w:val="32"/>
          <w:szCs w:val="32"/>
          <w:lang w:eastAsia="zh-CN"/>
          <w14:textFill>
            <w14:solidFill>
              <w14:schemeClr w14:val="tx1"/>
            </w14:solidFill>
          </w14:textFill>
        </w:rPr>
        <w:t>《中华人民共和国预算法》《财政违法行为处罚处分条例》</w:t>
      </w:r>
      <w:r>
        <w:rPr>
          <w:color w:val="000000" w:themeColor="text1"/>
          <w:sz w:val="32"/>
          <w:szCs w:val="32"/>
          <w14:textFill>
            <w14:solidFill>
              <w14:schemeClr w14:val="tx1"/>
            </w14:solidFill>
          </w14:textFill>
        </w:rPr>
        <w:t>等有关规定追究相应责任，确保专项资金安全规范、有效使用</w:t>
      </w:r>
      <w:r>
        <w:rPr>
          <w:rFonts w:hint="eastAsia"/>
          <w:color w:val="000000" w:themeColor="text1"/>
          <w:sz w:val="32"/>
          <w:szCs w:val="32"/>
          <w14:textFill>
            <w14:solidFill>
              <w14:schemeClr w14:val="tx1"/>
            </w14:solidFill>
          </w14:textFill>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四、绩效自评结果拟应用和公开情况</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1.按照财政部《项目支出绩效评价管理办法》（财预〔2020〕10号）规定，单位自评标准是：预算执行10分，产出指标50分，效益指标30分，服务对象满意度指标10分。经自评，202</w:t>
      </w:r>
      <w:r>
        <w:rPr>
          <w:rFonts w:hint="eastAsia"/>
          <w:sz w:val="32"/>
          <w:szCs w:val="32"/>
        </w:rPr>
        <w:t>4</w:t>
      </w:r>
      <w:r>
        <w:rPr>
          <w:sz w:val="32"/>
          <w:szCs w:val="32"/>
        </w:rPr>
        <w:t>年度</w:t>
      </w:r>
      <w:r>
        <w:rPr>
          <w:rFonts w:hint="eastAsia"/>
          <w:sz w:val="32"/>
          <w:szCs w:val="32"/>
        </w:rPr>
        <w:t>中央农业救灾减灾和水利救灾减灾资金（第一批次）</w:t>
      </w:r>
      <w:r>
        <w:rPr>
          <w:sz w:val="32"/>
          <w:szCs w:val="32"/>
        </w:rPr>
        <w:t>项目综合评价自评得分为</w:t>
      </w:r>
      <w:r>
        <w:rPr>
          <w:rFonts w:hint="eastAsia"/>
          <w:sz w:val="32"/>
          <w:szCs w:val="32"/>
        </w:rPr>
        <w:t>99.67</w:t>
      </w:r>
      <w:r>
        <w:rPr>
          <w:sz w:val="32"/>
          <w:szCs w:val="32"/>
        </w:rPr>
        <w:t>分，其中：预算执行</w:t>
      </w:r>
      <w:r>
        <w:rPr>
          <w:rFonts w:hint="eastAsia"/>
          <w:sz w:val="32"/>
          <w:szCs w:val="32"/>
        </w:rPr>
        <w:t>9.67</w:t>
      </w:r>
      <w:r>
        <w:rPr>
          <w:sz w:val="32"/>
          <w:szCs w:val="32"/>
        </w:rPr>
        <w:t>分、产出指标</w:t>
      </w:r>
      <w:r>
        <w:rPr>
          <w:rFonts w:hint="eastAsia"/>
          <w:sz w:val="32"/>
          <w:szCs w:val="32"/>
        </w:rPr>
        <w:t>50</w:t>
      </w:r>
      <w:r>
        <w:rPr>
          <w:sz w:val="32"/>
          <w:szCs w:val="32"/>
        </w:rPr>
        <w:t>分、效益指标</w:t>
      </w:r>
      <w:r>
        <w:rPr>
          <w:rFonts w:hint="eastAsia"/>
          <w:sz w:val="32"/>
          <w:szCs w:val="32"/>
        </w:rPr>
        <w:t>30</w:t>
      </w:r>
      <w:r>
        <w:rPr>
          <w:sz w:val="32"/>
          <w:szCs w:val="32"/>
        </w:rPr>
        <w:t>分、服务对象满意度指标</w:t>
      </w:r>
      <w:r>
        <w:rPr>
          <w:rFonts w:hint="eastAsia"/>
          <w:sz w:val="32"/>
          <w:szCs w:val="32"/>
        </w:rPr>
        <w:t>10</w:t>
      </w:r>
      <w:r>
        <w:rPr>
          <w:sz w:val="32"/>
          <w:szCs w:val="32"/>
        </w:rPr>
        <w:t>分，自评结果为“</w:t>
      </w:r>
      <w:r>
        <w:rPr>
          <w:rFonts w:hint="eastAsia"/>
          <w:sz w:val="32"/>
          <w:szCs w:val="32"/>
        </w:rPr>
        <w:t>优</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bookmarkStart w:id="1" w:name="OLE_LINK1"/>
      <w:r>
        <w:rPr>
          <w:sz w:val="32"/>
          <w:szCs w:val="32"/>
        </w:rPr>
        <w:t>202</w:t>
      </w:r>
      <w:r>
        <w:rPr>
          <w:rFonts w:hint="eastAsia"/>
          <w:sz w:val="32"/>
          <w:szCs w:val="32"/>
        </w:rPr>
        <w:t>4</w:t>
      </w:r>
      <w:r>
        <w:rPr>
          <w:sz w:val="32"/>
          <w:szCs w:val="32"/>
        </w:rPr>
        <w:t>年度</w:t>
      </w:r>
      <w:r>
        <w:rPr>
          <w:rFonts w:hint="eastAsia"/>
          <w:sz w:val="32"/>
          <w:szCs w:val="32"/>
        </w:rPr>
        <w:t>中央农业救灾减灾和水利救灾减灾资金（第三批次）</w:t>
      </w:r>
      <w:r>
        <w:rPr>
          <w:sz w:val="32"/>
          <w:szCs w:val="32"/>
        </w:rPr>
        <w:t>项目综合评价自评得分为</w:t>
      </w:r>
      <w:r>
        <w:rPr>
          <w:rFonts w:hint="eastAsia"/>
          <w:sz w:val="32"/>
          <w:szCs w:val="32"/>
        </w:rPr>
        <w:t>99.9</w:t>
      </w:r>
      <w:r>
        <w:rPr>
          <w:sz w:val="32"/>
          <w:szCs w:val="32"/>
        </w:rPr>
        <w:t>分，其中：预算执行</w:t>
      </w:r>
      <w:r>
        <w:rPr>
          <w:rFonts w:hint="eastAsia"/>
          <w:sz w:val="32"/>
          <w:szCs w:val="32"/>
        </w:rPr>
        <w:t>9.9</w:t>
      </w:r>
      <w:r>
        <w:rPr>
          <w:sz w:val="32"/>
          <w:szCs w:val="32"/>
        </w:rPr>
        <w:t>分、产出指标</w:t>
      </w:r>
      <w:r>
        <w:rPr>
          <w:rFonts w:hint="eastAsia"/>
          <w:sz w:val="32"/>
          <w:szCs w:val="32"/>
        </w:rPr>
        <w:t>50</w:t>
      </w:r>
      <w:r>
        <w:rPr>
          <w:sz w:val="32"/>
          <w:szCs w:val="32"/>
        </w:rPr>
        <w:t>分、效益指标</w:t>
      </w:r>
      <w:r>
        <w:rPr>
          <w:rFonts w:hint="eastAsia"/>
          <w:sz w:val="32"/>
          <w:szCs w:val="32"/>
        </w:rPr>
        <w:t>30</w:t>
      </w:r>
      <w:r>
        <w:rPr>
          <w:sz w:val="32"/>
          <w:szCs w:val="32"/>
        </w:rPr>
        <w:t>分、服务对象满意度指标</w:t>
      </w:r>
      <w:r>
        <w:rPr>
          <w:rFonts w:hint="eastAsia"/>
          <w:sz w:val="32"/>
          <w:szCs w:val="32"/>
        </w:rPr>
        <w:t>10</w:t>
      </w:r>
      <w:r>
        <w:rPr>
          <w:sz w:val="32"/>
          <w:szCs w:val="32"/>
        </w:rPr>
        <w:t>分，自评结果为“</w:t>
      </w:r>
      <w:r>
        <w:rPr>
          <w:rFonts w:hint="eastAsia"/>
          <w:sz w:val="32"/>
          <w:szCs w:val="32"/>
        </w:rPr>
        <w:t>优</w:t>
      </w:r>
      <w:r>
        <w:rPr>
          <w:sz w:val="32"/>
          <w:szCs w:val="32"/>
        </w:rPr>
        <w:t>”</w:t>
      </w:r>
      <w:r>
        <w:rPr>
          <w:rFonts w:hint="eastAsia"/>
          <w:sz w:val="32"/>
          <w:szCs w:val="32"/>
        </w:rPr>
        <w:t>。</w:t>
      </w:r>
    </w:p>
    <w:bookmarkEnd w:id="1"/>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202</w:t>
      </w:r>
      <w:r>
        <w:rPr>
          <w:rFonts w:hint="eastAsia"/>
          <w:sz w:val="32"/>
          <w:szCs w:val="32"/>
        </w:rPr>
        <w:t>4</w:t>
      </w:r>
      <w:r>
        <w:rPr>
          <w:sz w:val="32"/>
          <w:szCs w:val="32"/>
        </w:rPr>
        <w:t>年</w:t>
      </w:r>
      <w:r>
        <w:rPr>
          <w:rFonts w:hint="eastAsia"/>
          <w:sz w:val="32"/>
          <w:szCs w:val="32"/>
        </w:rPr>
        <w:t>12月30日下达中央农业救灾减灾和水利救灾减灾资金（第十四批次）资金9820万元，项目综合评价自评得分为</w:t>
      </w:r>
      <w:r>
        <w:rPr>
          <w:rFonts w:hint="eastAsia"/>
          <w:sz w:val="32"/>
          <w:szCs w:val="32"/>
          <w:lang w:val="en-US" w:eastAsia="zh-CN"/>
        </w:rPr>
        <w:t>0</w:t>
      </w:r>
      <w:r>
        <w:rPr>
          <w:rFonts w:hint="eastAsia"/>
          <w:sz w:val="32"/>
          <w:szCs w:val="32"/>
        </w:rPr>
        <w:t>分，其中：预算执行</w:t>
      </w:r>
      <w:r>
        <w:rPr>
          <w:rFonts w:hint="eastAsia"/>
          <w:sz w:val="32"/>
          <w:szCs w:val="32"/>
          <w:lang w:val="en-US" w:eastAsia="zh-CN"/>
        </w:rPr>
        <w:t>0</w:t>
      </w:r>
      <w:r>
        <w:rPr>
          <w:rFonts w:hint="eastAsia"/>
          <w:sz w:val="32"/>
          <w:szCs w:val="32"/>
        </w:rPr>
        <w:t>分、产出指标</w:t>
      </w:r>
      <w:r>
        <w:rPr>
          <w:rFonts w:hint="eastAsia"/>
          <w:sz w:val="32"/>
          <w:szCs w:val="32"/>
          <w:lang w:val="en-US" w:eastAsia="zh-CN"/>
        </w:rPr>
        <w:t>0</w:t>
      </w:r>
      <w:r>
        <w:rPr>
          <w:rFonts w:hint="eastAsia"/>
          <w:sz w:val="32"/>
          <w:szCs w:val="32"/>
        </w:rPr>
        <w:t>分、效益指标</w:t>
      </w:r>
      <w:r>
        <w:rPr>
          <w:rFonts w:hint="eastAsia"/>
          <w:sz w:val="32"/>
          <w:szCs w:val="32"/>
          <w:lang w:val="en-US" w:eastAsia="zh-CN"/>
        </w:rPr>
        <w:t>0</w:t>
      </w:r>
      <w:r>
        <w:rPr>
          <w:rFonts w:hint="eastAsia"/>
          <w:sz w:val="32"/>
          <w:szCs w:val="32"/>
        </w:rPr>
        <w:t>分、服务对象满意度指标</w:t>
      </w:r>
      <w:r>
        <w:rPr>
          <w:rFonts w:hint="eastAsia"/>
          <w:sz w:val="32"/>
          <w:szCs w:val="32"/>
          <w:lang w:val="en-US" w:eastAsia="zh-CN"/>
        </w:rPr>
        <w:t>0</w:t>
      </w:r>
      <w:r>
        <w:rPr>
          <w:rFonts w:hint="eastAsia"/>
          <w:sz w:val="32"/>
          <w:szCs w:val="32"/>
        </w:rPr>
        <w:t>分，自评结果为“</w:t>
      </w:r>
      <w:r>
        <w:rPr>
          <w:rFonts w:hint="eastAsia"/>
          <w:sz w:val="32"/>
          <w:szCs w:val="32"/>
          <w:lang w:val="en-US" w:eastAsia="zh-CN"/>
        </w:rPr>
        <w:t>差</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highlight w:val="yellow"/>
        </w:rPr>
      </w:pPr>
      <w:r>
        <w:rPr>
          <w:sz w:val="32"/>
          <w:szCs w:val="32"/>
        </w:rPr>
        <w:t>202</w:t>
      </w:r>
      <w:r>
        <w:rPr>
          <w:rFonts w:hint="eastAsia"/>
          <w:sz w:val="32"/>
          <w:szCs w:val="32"/>
        </w:rPr>
        <w:t>4</w:t>
      </w:r>
      <w:r>
        <w:rPr>
          <w:sz w:val="32"/>
          <w:szCs w:val="32"/>
        </w:rPr>
        <w:t>年度</w:t>
      </w:r>
      <w:r>
        <w:rPr>
          <w:rFonts w:hint="eastAsia"/>
          <w:sz w:val="32"/>
          <w:szCs w:val="32"/>
        </w:rPr>
        <w:t>中央农业救灾减灾和水利救灾减灾资金（动物防疫补助）</w:t>
      </w:r>
      <w:r>
        <w:rPr>
          <w:sz w:val="32"/>
          <w:szCs w:val="32"/>
        </w:rPr>
        <w:t>项目综合评价自评得分为</w:t>
      </w:r>
      <w:r>
        <w:rPr>
          <w:rFonts w:hint="eastAsia"/>
          <w:sz w:val="32"/>
          <w:szCs w:val="32"/>
          <w:lang w:val="en-US" w:eastAsia="zh-CN"/>
        </w:rPr>
        <w:t>99</w:t>
      </w:r>
      <w:r>
        <w:rPr>
          <w:rFonts w:hint="eastAsia"/>
          <w:sz w:val="32"/>
          <w:szCs w:val="32"/>
        </w:rPr>
        <w:t>分，其中：预算执行9.</w:t>
      </w:r>
      <w:r>
        <w:rPr>
          <w:rFonts w:hint="eastAsia"/>
          <w:sz w:val="32"/>
          <w:szCs w:val="32"/>
          <w:lang w:val="en-US" w:eastAsia="zh-CN"/>
        </w:rPr>
        <w:t>7</w:t>
      </w:r>
      <w:r>
        <w:rPr>
          <w:rFonts w:hint="eastAsia"/>
          <w:sz w:val="32"/>
          <w:szCs w:val="32"/>
        </w:rPr>
        <w:t>分、产出指标49.3分、效益指标30分、服务对象满意度指标10分,自评结果为“优”。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自治区农业农村厅高度重视绩效评价结果的应用工作，积极探索建立与预算管理相结合的有效机制，着力提高绩效意识和财政资金使用效益。农业产业发展转移支付资金的绩效自评价结果、执行情况等将作为下一年度安排项目资金的依据，对于绩效自评差的、执行进度慢的地</w:t>
      </w:r>
      <w:r>
        <w:rPr>
          <w:rFonts w:hint="eastAsia"/>
          <w:sz w:val="32"/>
          <w:szCs w:val="32"/>
        </w:rPr>
        <w:t>（</w:t>
      </w:r>
      <w:r>
        <w:rPr>
          <w:sz w:val="32"/>
          <w:szCs w:val="32"/>
        </w:rPr>
        <w:t>州</w:t>
      </w:r>
      <w:r>
        <w:rPr>
          <w:rFonts w:hint="eastAsia"/>
          <w:sz w:val="32"/>
          <w:szCs w:val="32"/>
        </w:rPr>
        <w:t>、市）</w:t>
      </w:r>
      <w:r>
        <w:rPr>
          <w:sz w:val="32"/>
          <w:szCs w:val="32"/>
        </w:rPr>
        <w:t>，将在分配下一年度资金时酌情扣减。同时将不断提升预算管理水平，进一步夯实业务基础，提高我单位绩效人员水平。专门设定对绩效工作人员定职、定岗、定责等相关制度措施，进一步提升我单位绩效管理工作业务水平，扎实做好绩效管理工作。</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3.评价结果将在</w:t>
      </w:r>
      <w:r>
        <w:rPr>
          <w:rFonts w:hint="eastAsia"/>
          <w:sz w:val="32"/>
          <w:szCs w:val="32"/>
        </w:rPr>
        <w:t>自治区农业农村厅、自治区财政厅</w:t>
      </w:r>
      <w:r>
        <w:rPr>
          <w:sz w:val="32"/>
          <w:szCs w:val="32"/>
        </w:rPr>
        <w:t>门户网站进行公示公开，广泛接受社会监督。</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sz w:val="32"/>
          <w:szCs w:val="32"/>
        </w:rPr>
      </w:pPr>
      <w:r>
        <w:rPr>
          <w:rFonts w:eastAsia="黑体"/>
          <w:sz w:val="32"/>
          <w:szCs w:val="32"/>
        </w:rPr>
        <w:t>五、其他需要说明的问题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中央巡视、各级审计和财政监督中未发现问题。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eastAsia="黑体"/>
          <w:sz w:val="32"/>
          <w:szCs w:val="32"/>
        </w:rPr>
        <w:t>六、</w:t>
      </w:r>
      <w:r>
        <w:rPr>
          <w:rFonts w:eastAsia="黑体"/>
          <w:sz w:val="32"/>
          <w:szCs w:val="32"/>
        </w:rPr>
        <w:t>附件</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附件1-</w:t>
      </w:r>
      <w:r>
        <w:rPr>
          <w:rFonts w:hint="eastAsia"/>
          <w:sz w:val="32"/>
          <w:szCs w:val="32"/>
          <w:lang w:val="en-US" w:eastAsia="zh-CN"/>
        </w:rPr>
        <w:t>3</w:t>
      </w:r>
      <w:r>
        <w:rPr>
          <w:rFonts w:hint="eastAsia"/>
          <w:sz w:val="32"/>
          <w:szCs w:val="32"/>
        </w:rPr>
        <w:t>：</w:t>
      </w:r>
      <w:r>
        <w:rPr>
          <w:sz w:val="32"/>
          <w:szCs w:val="32"/>
        </w:rPr>
        <w:t>202</w:t>
      </w:r>
      <w:r>
        <w:rPr>
          <w:rFonts w:hint="eastAsia"/>
          <w:sz w:val="32"/>
          <w:szCs w:val="32"/>
        </w:rPr>
        <w:t>4</w:t>
      </w:r>
      <w:r>
        <w:rPr>
          <w:sz w:val="32"/>
          <w:szCs w:val="32"/>
        </w:rPr>
        <w:t>年中央对地方专项转移支付绩效目标自评表（</w:t>
      </w:r>
      <w:r>
        <w:rPr>
          <w:rFonts w:hint="eastAsia"/>
          <w:sz w:val="32"/>
          <w:szCs w:val="32"/>
        </w:rPr>
        <w:t>农业防灾救灾和水利救灾资金预算自评表</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sectPr>
          <w:pgSz w:w="11906" w:h="16838"/>
          <w:pgMar w:top="1043" w:right="1797" w:bottom="1043" w:left="1797" w:header="851" w:footer="992" w:gutter="0"/>
          <w:cols w:space="0" w:num="1"/>
          <w:rtlGutter w:val="0"/>
          <w:docGrid w:type="lines" w:linePitch="312" w:charSpace="0"/>
        </w:sectPr>
      </w:pPr>
      <w:r>
        <w:rPr>
          <w:rFonts w:hint="eastAsia"/>
          <w:sz w:val="32"/>
          <w:szCs w:val="32"/>
        </w:rPr>
        <w:t>附件</w:t>
      </w:r>
      <w:r>
        <w:rPr>
          <w:rFonts w:hint="eastAsia"/>
          <w:lang w:val="en-US" w:eastAsia="zh-CN"/>
        </w:rPr>
        <w:t>4</w:t>
      </w:r>
      <w:r>
        <w:rPr>
          <w:rFonts w:hint="eastAsia"/>
        </w:rPr>
        <w:t>：2024年中央农业防灾减灾和水利救灾资金（动物防疫补助）转移支付区域（项目）绩效目标自评表</w:t>
      </w:r>
    </w:p>
    <w:p>
      <w:pPr>
        <w:pStyle w:val="12"/>
        <w:spacing w:line="600" w:lineRule="exact"/>
        <w:ind w:firstLine="0" w:firstLineChars="0"/>
        <w:jc w:val="left"/>
        <w:rPr>
          <w:rFonts w:hint="eastAsia" w:ascii="方正黑体_GBK" w:hAnsi="方正黑体_GBK" w:eastAsia="方正黑体_GBK" w:cs="方正黑体_GBK"/>
          <w:kern w:val="0"/>
          <w:sz w:val="32"/>
          <w:lang w:val="en-US"/>
        </w:rPr>
      </w:pPr>
      <w:r>
        <w:rPr>
          <w:rFonts w:hint="eastAsia" w:ascii="方正黑体_GBK" w:hAnsi="方正黑体_GBK" w:eastAsia="方正黑体_GBK" w:cs="方正黑体_GBK"/>
          <w:kern w:val="0"/>
          <w:sz w:val="32"/>
          <w:lang w:val="en-US"/>
        </w:rPr>
        <w:t>附件1：</w:t>
      </w:r>
    </w:p>
    <w:p>
      <w:pPr>
        <w:pStyle w:val="12"/>
        <w:spacing w:line="600" w:lineRule="exact"/>
        <w:ind w:firstLine="0" w:firstLineChars="0"/>
        <w:jc w:val="center"/>
        <w:rPr>
          <w:rFonts w:ascii="Times New Roman" w:hAnsi="Times New Roman" w:cs="Times New Roman"/>
          <w:b/>
          <w:bCs/>
          <w:kern w:val="0"/>
          <w:sz w:val="36"/>
          <w:szCs w:val="36"/>
          <w:lang w:val="en-US"/>
        </w:rPr>
      </w:pPr>
      <w:r>
        <w:rPr>
          <w:rFonts w:hint="eastAsia" w:ascii="Times New Roman" w:hAnsi="Times New Roman" w:cs="Times New Roman"/>
          <w:b/>
          <w:bCs/>
          <w:kern w:val="0"/>
          <w:sz w:val="36"/>
          <w:szCs w:val="36"/>
          <w:lang w:val="en-US"/>
        </w:rPr>
        <w:t>2024年中央对地方专项转移支付绩效目标自评表</w:t>
      </w:r>
    </w:p>
    <w:p>
      <w:pPr>
        <w:pStyle w:val="12"/>
        <w:spacing w:line="600" w:lineRule="exact"/>
        <w:ind w:firstLine="0" w:firstLineChars="0"/>
        <w:jc w:val="center"/>
        <w:rPr>
          <w:rFonts w:ascii="Times New Roman" w:hAnsi="Times New Roman" w:cs="Times New Roman"/>
          <w:b/>
          <w:bCs/>
          <w:kern w:val="0"/>
          <w:sz w:val="36"/>
          <w:szCs w:val="36"/>
          <w:lang w:val="en-US"/>
        </w:rPr>
      </w:pPr>
      <w:r>
        <w:rPr>
          <w:rFonts w:hint="eastAsia" w:ascii="Times New Roman" w:hAnsi="Times New Roman" w:cs="Times New Roman"/>
          <w:b/>
          <w:bCs/>
          <w:kern w:val="0"/>
          <w:sz w:val="36"/>
          <w:szCs w:val="36"/>
          <w:lang w:val="en-US"/>
        </w:rPr>
        <w:t>（农业防灾救灾和水利救灾资金预算自评表）</w:t>
      </w:r>
    </w:p>
    <w:tbl>
      <w:tblPr>
        <w:tblStyle w:val="14"/>
        <w:tblW w:w="9070" w:type="dxa"/>
        <w:jc w:val="center"/>
        <w:tblLayout w:type="fixed"/>
        <w:tblCellMar>
          <w:top w:w="0" w:type="dxa"/>
          <w:left w:w="108" w:type="dxa"/>
          <w:bottom w:w="0" w:type="dxa"/>
          <w:right w:w="108" w:type="dxa"/>
        </w:tblCellMar>
      </w:tblPr>
      <w:tblGrid>
        <w:gridCol w:w="676"/>
        <w:gridCol w:w="1382"/>
        <w:gridCol w:w="1520"/>
        <w:gridCol w:w="1050"/>
        <w:gridCol w:w="918"/>
        <w:gridCol w:w="1451"/>
        <w:gridCol w:w="2073"/>
      </w:tblGrid>
      <w:tr>
        <w:tblPrEx>
          <w:tblCellMar>
            <w:top w:w="0" w:type="dxa"/>
            <w:left w:w="108" w:type="dxa"/>
            <w:bottom w:w="0" w:type="dxa"/>
            <w:right w:w="108" w:type="dxa"/>
          </w:tblCellMar>
        </w:tblPrEx>
        <w:trPr>
          <w:trHeight w:val="521" w:hRule="atLeast"/>
          <w:jc w:val="center"/>
        </w:trPr>
        <w:tc>
          <w:tcPr>
            <w:tcW w:w="205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转移支付（项目）名称</w:t>
            </w:r>
          </w:p>
        </w:tc>
        <w:tc>
          <w:tcPr>
            <w:tcW w:w="7012" w:type="dxa"/>
            <w:gridSpan w:val="5"/>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202</w:t>
            </w:r>
            <w:r>
              <w:rPr>
                <w:rFonts w:hint="eastAsia" w:eastAsia="宋体"/>
                <w:color w:val="000000"/>
                <w:kern w:val="0"/>
                <w:sz w:val="16"/>
                <w:szCs w:val="16"/>
                <w:lang w:bidi="ar"/>
              </w:rPr>
              <w:t>4</w:t>
            </w:r>
            <w:r>
              <w:rPr>
                <w:rFonts w:eastAsia="宋体"/>
                <w:color w:val="000000"/>
                <w:kern w:val="0"/>
                <w:sz w:val="16"/>
                <w:szCs w:val="16"/>
                <w:lang w:bidi="ar"/>
              </w:rPr>
              <w:t>年中央农业防灾减灾和水利救灾资金预算（防灾救灾第一批）</w:t>
            </w:r>
          </w:p>
        </w:tc>
      </w:tr>
      <w:tr>
        <w:tblPrEx>
          <w:tblCellMar>
            <w:top w:w="0" w:type="dxa"/>
            <w:left w:w="108" w:type="dxa"/>
            <w:bottom w:w="0" w:type="dxa"/>
            <w:right w:w="108" w:type="dxa"/>
          </w:tblCellMar>
        </w:tblPrEx>
        <w:trPr>
          <w:trHeight w:val="521"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7012" w:type="dxa"/>
            <w:gridSpan w:val="5"/>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r>
      <w:tr>
        <w:tblPrEx>
          <w:tblCellMar>
            <w:top w:w="0" w:type="dxa"/>
            <w:left w:w="108" w:type="dxa"/>
            <w:bottom w:w="0" w:type="dxa"/>
            <w:right w:w="108" w:type="dxa"/>
          </w:tblCellMar>
        </w:tblPrEx>
        <w:trPr>
          <w:trHeight w:val="28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中央主管部门</w:t>
            </w:r>
          </w:p>
        </w:tc>
        <w:tc>
          <w:tcPr>
            <w:tcW w:w="7012"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财政部、农业农村部</w:t>
            </w:r>
          </w:p>
        </w:tc>
      </w:tr>
      <w:tr>
        <w:tblPrEx>
          <w:tblCellMar>
            <w:top w:w="0" w:type="dxa"/>
            <w:left w:w="108" w:type="dxa"/>
            <w:bottom w:w="0" w:type="dxa"/>
            <w:right w:w="108" w:type="dxa"/>
          </w:tblCellMar>
        </w:tblPrEx>
        <w:trPr>
          <w:trHeight w:val="28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地方主管部门</w:t>
            </w:r>
          </w:p>
        </w:tc>
        <w:tc>
          <w:tcPr>
            <w:tcW w:w="2570"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自治区财政厅、农业农村厅</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资金使用单位</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县市农业农村局</w:t>
            </w:r>
          </w:p>
        </w:tc>
      </w:tr>
      <w:tr>
        <w:tblPrEx>
          <w:tblCellMar>
            <w:top w:w="0" w:type="dxa"/>
            <w:left w:w="108" w:type="dxa"/>
            <w:bottom w:w="0" w:type="dxa"/>
            <w:right w:w="108" w:type="dxa"/>
          </w:tblCellMar>
        </w:tblPrEx>
        <w:trPr>
          <w:trHeight w:val="584" w:hRule="atLeast"/>
          <w:jc w:val="center"/>
        </w:trPr>
        <w:tc>
          <w:tcPr>
            <w:tcW w:w="205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eastAsia="宋体"/>
                <w:color w:val="000000"/>
                <w:kern w:val="0"/>
                <w:sz w:val="16"/>
                <w:szCs w:val="16"/>
                <w:lang w:bidi="ar"/>
              </w:rPr>
              <w:t>资金投入情况</w:t>
            </w:r>
            <w:r>
              <w:rPr>
                <w:rFonts w:eastAsia="宋体"/>
                <w:color w:val="000000"/>
                <w:kern w:val="0"/>
                <w:sz w:val="16"/>
                <w:szCs w:val="16"/>
                <w:lang w:bidi="ar"/>
              </w:rPr>
              <w:br w:type="textWrapping"/>
            </w:r>
            <w:r>
              <w:rPr>
                <w:rFonts w:eastAsia="宋体"/>
                <w:color w:val="000000"/>
                <w:kern w:val="0"/>
                <w:sz w:val="16"/>
                <w:szCs w:val="16"/>
                <w:lang w:bidi="ar"/>
              </w:rPr>
              <w:t>（万元）</w:t>
            </w:r>
          </w:p>
        </w:tc>
        <w:tc>
          <w:tcPr>
            <w:tcW w:w="1520" w:type="dxa"/>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rPr>
            </w:pPr>
          </w:p>
        </w:tc>
        <w:tc>
          <w:tcPr>
            <w:tcW w:w="10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全年预算数（A)</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全年执行数（B)</w:t>
            </w:r>
          </w:p>
        </w:tc>
        <w:tc>
          <w:tcPr>
            <w:tcW w:w="352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eastAsia="宋体"/>
                <w:color w:val="000000"/>
                <w:kern w:val="0"/>
                <w:sz w:val="16"/>
                <w:szCs w:val="16"/>
                <w:lang w:bidi="ar"/>
              </w:rPr>
              <w:t>预算执行率</w:t>
            </w:r>
            <w:r>
              <w:rPr>
                <w:rFonts w:eastAsia="宋体"/>
                <w:color w:val="000000"/>
                <w:kern w:val="0"/>
                <w:sz w:val="16"/>
                <w:szCs w:val="16"/>
                <w:lang w:bidi="ar"/>
              </w:rPr>
              <w:br w:type="textWrapping"/>
            </w:r>
            <w:r>
              <w:rPr>
                <w:rFonts w:eastAsia="宋体"/>
                <w:color w:val="000000"/>
                <w:kern w:val="0"/>
                <w:sz w:val="16"/>
                <w:szCs w:val="16"/>
                <w:lang w:bidi="ar"/>
              </w:rPr>
              <w:t>（B/A×100%）</w:t>
            </w:r>
          </w:p>
        </w:tc>
      </w:tr>
      <w:tr>
        <w:tblPrEx>
          <w:tblCellMar>
            <w:top w:w="0" w:type="dxa"/>
            <w:left w:w="108" w:type="dxa"/>
            <w:bottom w:w="0" w:type="dxa"/>
            <w:right w:w="108" w:type="dxa"/>
          </w:tblCellMar>
        </w:tblPrEx>
        <w:trPr>
          <w:trHeight w:val="28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年度资金总额：</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1630</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1605.65</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98.</w:t>
            </w:r>
            <w:r>
              <w:rPr>
                <w:rFonts w:hint="eastAsia" w:eastAsia="宋体"/>
                <w:color w:val="000000"/>
                <w:kern w:val="0"/>
                <w:sz w:val="16"/>
                <w:szCs w:val="16"/>
                <w:lang w:val="en-US" w:eastAsia="zh-CN" w:bidi="ar"/>
              </w:rPr>
              <w:t>51</w:t>
            </w:r>
            <w:r>
              <w:rPr>
                <w:rFonts w:eastAsia="宋体"/>
                <w:color w:val="000000"/>
                <w:kern w:val="0"/>
                <w:sz w:val="16"/>
                <w:szCs w:val="16"/>
                <w:lang w:bidi="ar"/>
              </w:rPr>
              <w:t>%</w:t>
            </w:r>
          </w:p>
        </w:tc>
      </w:tr>
      <w:tr>
        <w:tblPrEx>
          <w:tblCellMar>
            <w:top w:w="0" w:type="dxa"/>
            <w:left w:w="108" w:type="dxa"/>
            <w:bottom w:w="0" w:type="dxa"/>
            <w:right w:w="108" w:type="dxa"/>
          </w:tblCellMar>
        </w:tblPrEx>
        <w:trPr>
          <w:trHeight w:val="28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其中：中央财政资金</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1630</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1605.65</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98.5</w:t>
            </w:r>
            <w:r>
              <w:rPr>
                <w:rFonts w:hint="eastAsia" w:eastAsia="宋体"/>
                <w:color w:val="000000"/>
                <w:kern w:val="0"/>
                <w:sz w:val="16"/>
                <w:szCs w:val="16"/>
                <w:lang w:val="en-US" w:eastAsia="zh-CN" w:bidi="ar"/>
              </w:rPr>
              <w:t>1</w:t>
            </w:r>
            <w:r>
              <w:rPr>
                <w:rFonts w:eastAsia="宋体"/>
                <w:color w:val="000000"/>
                <w:kern w:val="0"/>
                <w:sz w:val="16"/>
                <w:szCs w:val="16"/>
                <w:lang w:bidi="ar"/>
              </w:rPr>
              <w:t>%</w:t>
            </w:r>
          </w:p>
        </w:tc>
      </w:tr>
      <w:tr>
        <w:tblPrEx>
          <w:tblCellMar>
            <w:top w:w="0" w:type="dxa"/>
            <w:left w:w="108" w:type="dxa"/>
            <w:bottom w:w="0" w:type="dxa"/>
            <w:right w:w="108" w:type="dxa"/>
          </w:tblCellMar>
        </w:tblPrEx>
        <w:trPr>
          <w:trHeight w:val="28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地方资金</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p>
        </w:tc>
      </w:tr>
      <w:tr>
        <w:tblPrEx>
          <w:tblCellMar>
            <w:top w:w="0" w:type="dxa"/>
            <w:left w:w="108" w:type="dxa"/>
            <w:bottom w:w="0" w:type="dxa"/>
            <w:right w:w="108" w:type="dxa"/>
          </w:tblCellMar>
        </w:tblPrEx>
        <w:trPr>
          <w:trHeight w:val="28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其他资金</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r>
      <w:tr>
        <w:tblPrEx>
          <w:tblCellMar>
            <w:top w:w="0" w:type="dxa"/>
            <w:left w:w="108" w:type="dxa"/>
            <w:bottom w:w="0" w:type="dxa"/>
            <w:right w:w="108" w:type="dxa"/>
          </w:tblCellMar>
        </w:tblPrEx>
        <w:trPr>
          <w:trHeight w:val="280" w:hRule="atLeast"/>
          <w:jc w:val="center"/>
        </w:trPr>
        <w:tc>
          <w:tcPr>
            <w:tcW w:w="2058"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资金管理情况</w:t>
            </w:r>
          </w:p>
        </w:tc>
        <w:tc>
          <w:tcPr>
            <w:tcW w:w="1520" w:type="dxa"/>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rPr>
            </w:pPr>
          </w:p>
        </w:tc>
        <w:tc>
          <w:tcPr>
            <w:tcW w:w="196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情况说明</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存在问题和改进措施</w:t>
            </w:r>
          </w:p>
        </w:tc>
      </w:tr>
      <w:tr>
        <w:tblPrEx>
          <w:tblCellMar>
            <w:top w:w="0" w:type="dxa"/>
            <w:left w:w="108" w:type="dxa"/>
            <w:bottom w:w="0" w:type="dxa"/>
            <w:right w:w="108" w:type="dxa"/>
          </w:tblCellMar>
        </w:tblPrEx>
        <w:trPr>
          <w:trHeight w:val="87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分配科学性</w:t>
            </w:r>
          </w:p>
        </w:tc>
        <w:tc>
          <w:tcPr>
            <w:tcW w:w="196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根据全国对新疆小麦、玉米重大农作物病虫害以及农区蝗虫监测防控工作任务安排，结合“虫口夺粮”保丰收目标任务和新疆生产实际，研究制定“202</w:t>
            </w:r>
            <w:r>
              <w:rPr>
                <w:rFonts w:hint="eastAsia" w:eastAsia="宋体"/>
                <w:color w:val="000000"/>
                <w:kern w:val="0"/>
                <w:sz w:val="16"/>
                <w:szCs w:val="16"/>
                <w:lang w:bidi="ar"/>
              </w:rPr>
              <w:t>4</w:t>
            </w:r>
            <w:r>
              <w:rPr>
                <w:rFonts w:eastAsia="宋体"/>
                <w:color w:val="000000"/>
                <w:kern w:val="0"/>
                <w:sz w:val="16"/>
                <w:szCs w:val="16"/>
                <w:lang w:bidi="ar"/>
              </w:rPr>
              <w:t>年农业防灾减灾资金（防灾救灾第一批）建议分配方案、实施方案”，统筹全区病虫害防控工作重点，结合粮食产能任务，测算资金分配额度，将各项任务分解到各地（州、市）。</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100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下达及时性</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202</w:t>
            </w:r>
            <w:r>
              <w:rPr>
                <w:rFonts w:hint="eastAsia" w:eastAsia="宋体"/>
                <w:color w:val="000000"/>
                <w:kern w:val="0"/>
                <w:sz w:val="16"/>
                <w:szCs w:val="16"/>
                <w:lang w:bidi="ar"/>
              </w:rPr>
              <w:t>4</w:t>
            </w:r>
            <w:r>
              <w:rPr>
                <w:rFonts w:eastAsia="宋体"/>
                <w:color w:val="000000"/>
                <w:kern w:val="0"/>
                <w:sz w:val="16"/>
                <w:szCs w:val="16"/>
                <w:lang w:bidi="ar"/>
              </w:rPr>
              <w:t>年4月，《财政部关于下达202</w:t>
            </w:r>
            <w:r>
              <w:rPr>
                <w:rFonts w:hint="eastAsia" w:eastAsia="宋体"/>
                <w:color w:val="000000"/>
                <w:kern w:val="0"/>
                <w:sz w:val="16"/>
                <w:szCs w:val="16"/>
                <w:lang w:bidi="ar"/>
              </w:rPr>
              <w:t>4</w:t>
            </w:r>
            <w:r>
              <w:rPr>
                <w:rFonts w:eastAsia="宋体"/>
                <w:color w:val="000000"/>
                <w:kern w:val="0"/>
                <w:sz w:val="16"/>
                <w:szCs w:val="16"/>
                <w:lang w:bidi="ar"/>
              </w:rPr>
              <w:t>年农业防灾减灾和水利救灾资金预算（防灾救灾第一批）的通知》（财农〔202</w:t>
            </w:r>
            <w:r>
              <w:rPr>
                <w:rFonts w:hint="eastAsia" w:eastAsia="宋体"/>
                <w:color w:val="000000"/>
                <w:kern w:val="0"/>
                <w:sz w:val="16"/>
                <w:szCs w:val="16"/>
                <w:lang w:bidi="ar"/>
              </w:rPr>
              <w:t>4</w:t>
            </w:r>
            <w:r>
              <w:rPr>
                <w:rFonts w:eastAsia="宋体"/>
                <w:color w:val="000000"/>
                <w:kern w:val="0"/>
                <w:sz w:val="16"/>
                <w:szCs w:val="16"/>
                <w:lang w:bidi="ar"/>
              </w:rPr>
              <w:t>〕</w:t>
            </w:r>
            <w:r>
              <w:rPr>
                <w:rFonts w:hint="eastAsia" w:eastAsia="宋体"/>
                <w:color w:val="000000"/>
                <w:kern w:val="0"/>
                <w:sz w:val="16"/>
                <w:szCs w:val="16"/>
                <w:lang w:bidi="ar"/>
              </w:rPr>
              <w:t>3</w:t>
            </w:r>
            <w:r>
              <w:rPr>
                <w:rFonts w:eastAsia="宋体"/>
                <w:color w:val="000000"/>
                <w:kern w:val="0"/>
                <w:sz w:val="16"/>
                <w:szCs w:val="16"/>
                <w:lang w:bidi="ar"/>
              </w:rPr>
              <w:t>号）。202</w:t>
            </w:r>
            <w:r>
              <w:rPr>
                <w:rFonts w:hint="eastAsia" w:eastAsia="宋体"/>
                <w:color w:val="000000"/>
                <w:kern w:val="0"/>
                <w:sz w:val="16"/>
                <w:szCs w:val="16"/>
                <w:lang w:bidi="ar"/>
              </w:rPr>
              <w:t>4</w:t>
            </w:r>
            <w:r>
              <w:rPr>
                <w:rFonts w:eastAsia="宋体"/>
                <w:color w:val="000000"/>
                <w:kern w:val="0"/>
                <w:sz w:val="16"/>
                <w:szCs w:val="16"/>
                <w:lang w:bidi="ar"/>
              </w:rPr>
              <w:t>年</w:t>
            </w:r>
            <w:r>
              <w:rPr>
                <w:rFonts w:hint="eastAsia" w:eastAsia="宋体"/>
                <w:color w:val="000000"/>
                <w:kern w:val="0"/>
                <w:sz w:val="16"/>
                <w:szCs w:val="16"/>
                <w:lang w:bidi="ar"/>
              </w:rPr>
              <w:t>4</w:t>
            </w:r>
            <w:r>
              <w:rPr>
                <w:rFonts w:eastAsia="宋体"/>
                <w:color w:val="000000"/>
                <w:kern w:val="0"/>
                <w:sz w:val="16"/>
                <w:szCs w:val="16"/>
                <w:lang w:bidi="ar"/>
              </w:rPr>
              <w:t>月，印发《关于下达202</w:t>
            </w:r>
            <w:r>
              <w:rPr>
                <w:rFonts w:hint="eastAsia" w:eastAsia="宋体"/>
                <w:color w:val="000000"/>
                <w:kern w:val="0"/>
                <w:sz w:val="16"/>
                <w:szCs w:val="16"/>
                <w:lang w:bidi="ar"/>
              </w:rPr>
              <w:t>4</w:t>
            </w:r>
            <w:r>
              <w:rPr>
                <w:rFonts w:eastAsia="宋体"/>
                <w:color w:val="000000"/>
                <w:kern w:val="0"/>
                <w:sz w:val="16"/>
                <w:szCs w:val="16"/>
                <w:lang w:bidi="ar"/>
              </w:rPr>
              <w:t>年中央农业防灾减灾和水利救灾资金预算（防灾救灾第一批）的通知》（新财农〔202</w:t>
            </w:r>
            <w:r>
              <w:rPr>
                <w:rFonts w:hint="eastAsia" w:eastAsia="宋体"/>
                <w:color w:val="000000"/>
                <w:kern w:val="0"/>
                <w:sz w:val="16"/>
                <w:szCs w:val="16"/>
                <w:lang w:bidi="ar"/>
              </w:rPr>
              <w:t>4</w:t>
            </w:r>
            <w:r>
              <w:rPr>
                <w:rFonts w:eastAsia="宋体"/>
                <w:color w:val="000000"/>
                <w:kern w:val="0"/>
                <w:sz w:val="16"/>
                <w:szCs w:val="16"/>
                <w:lang w:bidi="ar"/>
              </w:rPr>
              <w:t>〕</w:t>
            </w:r>
            <w:r>
              <w:rPr>
                <w:rFonts w:hint="eastAsia" w:eastAsia="宋体"/>
                <w:color w:val="000000"/>
                <w:kern w:val="0"/>
                <w:sz w:val="16"/>
                <w:szCs w:val="16"/>
                <w:lang w:bidi="ar"/>
              </w:rPr>
              <w:t>17</w:t>
            </w:r>
            <w:r>
              <w:rPr>
                <w:rFonts w:eastAsia="宋体"/>
                <w:color w:val="000000"/>
                <w:kern w:val="0"/>
                <w:sz w:val="16"/>
                <w:szCs w:val="16"/>
                <w:lang w:bidi="ar"/>
              </w:rPr>
              <w:t>号）。资金分解下达及时。</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84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拨付合规性</w:t>
            </w:r>
          </w:p>
        </w:tc>
        <w:tc>
          <w:tcPr>
            <w:tcW w:w="196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根据自治区财政厅工作要求，按照《关于下达202</w:t>
            </w:r>
            <w:r>
              <w:rPr>
                <w:rFonts w:hint="eastAsia" w:eastAsia="宋体"/>
                <w:color w:val="000000"/>
                <w:kern w:val="0"/>
                <w:sz w:val="16"/>
                <w:szCs w:val="16"/>
                <w:lang w:bidi="ar"/>
              </w:rPr>
              <w:t>4</w:t>
            </w:r>
            <w:r>
              <w:rPr>
                <w:rFonts w:eastAsia="宋体"/>
                <w:color w:val="000000"/>
                <w:kern w:val="0"/>
                <w:sz w:val="16"/>
                <w:szCs w:val="16"/>
                <w:lang w:bidi="ar"/>
              </w:rPr>
              <w:t>年中央农业防灾减灾和水利救灾资金预算（防灾救灾第一批）的通知》（新财农〔202</w:t>
            </w:r>
            <w:r>
              <w:rPr>
                <w:rFonts w:hint="eastAsia" w:eastAsia="宋体"/>
                <w:color w:val="000000"/>
                <w:kern w:val="0"/>
                <w:sz w:val="16"/>
                <w:szCs w:val="16"/>
                <w:lang w:bidi="ar"/>
              </w:rPr>
              <w:t>4</w:t>
            </w:r>
            <w:r>
              <w:rPr>
                <w:rFonts w:eastAsia="宋体"/>
                <w:color w:val="000000"/>
                <w:kern w:val="0"/>
                <w:sz w:val="16"/>
                <w:szCs w:val="16"/>
                <w:lang w:bidi="ar"/>
              </w:rPr>
              <w:t>〕</w:t>
            </w:r>
            <w:r>
              <w:rPr>
                <w:rFonts w:hint="eastAsia" w:eastAsia="宋体"/>
                <w:color w:val="000000"/>
                <w:kern w:val="0"/>
                <w:sz w:val="16"/>
                <w:szCs w:val="16"/>
                <w:lang w:bidi="ar"/>
              </w:rPr>
              <w:t>17</w:t>
            </w:r>
            <w:r>
              <w:rPr>
                <w:rFonts w:eastAsia="宋体"/>
                <w:color w:val="000000"/>
                <w:kern w:val="0"/>
                <w:sz w:val="16"/>
                <w:szCs w:val="16"/>
                <w:lang w:bidi="ar"/>
              </w:rPr>
              <w:t>号）。落实各地（州、市）资金，资金拨付合规</w:t>
            </w:r>
            <w:r>
              <w:rPr>
                <w:rFonts w:hint="eastAsia" w:eastAsia="宋体"/>
                <w:color w:val="000000"/>
                <w:kern w:val="0"/>
                <w:sz w:val="16"/>
                <w:szCs w:val="16"/>
                <w:lang w:bidi="ar"/>
              </w:rPr>
              <w:t>。</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62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使用规范性</w:t>
            </w:r>
          </w:p>
        </w:tc>
        <w:tc>
          <w:tcPr>
            <w:tcW w:w="196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根据财政部 农业农村部 水利部关于印发《农业生产和水利救灾资金管理办法》的通知（财农〔2022〕79号），资金主要用于：农业生物灾害防治和恢复农业生产所需的物资材料及服务补助，包括购买药剂、药械、燃油、肥料、种子(植物种苗、水产种苗)，应用生物防治、综合防治、生态控制技术，修复诱虫灯等监控设施器械及调运、检疫处理、技术指导培训等费用。</w:t>
            </w:r>
          </w:p>
          <w:p>
            <w:pPr>
              <w:widowControl/>
              <w:jc w:val="left"/>
              <w:textAlignment w:val="center"/>
              <w:rPr>
                <w:rFonts w:eastAsia="宋体"/>
                <w:color w:val="000000"/>
                <w:kern w:val="0"/>
                <w:sz w:val="16"/>
                <w:szCs w:val="16"/>
                <w:lang w:bidi="ar"/>
              </w:rPr>
            </w:pP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62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执行准确性</w:t>
            </w:r>
          </w:p>
        </w:tc>
        <w:tc>
          <w:tcPr>
            <w:tcW w:w="196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依据农业农村部小麦和玉米重大病虫害、农区蝗虫防治资金、防治面积测算内容。小麦重大病虫害防治资金505万元，按照15元/亩补助，补助面积33.7万亩；玉米重大病虫害防治资金575万元，按照15元/亩补助，补助面积38.3万亩；农区蝗虫防治资金250万元，按照10元/亩补助，补助面积25万亩。</w:t>
            </w:r>
          </w:p>
          <w:p>
            <w:pPr>
              <w:widowControl/>
              <w:jc w:val="left"/>
              <w:textAlignment w:val="center"/>
              <w:rPr>
                <w:rFonts w:eastAsia="宋体"/>
                <w:color w:val="000000"/>
                <w:kern w:val="0"/>
                <w:sz w:val="16"/>
                <w:szCs w:val="16"/>
                <w:lang w:bidi="ar"/>
              </w:rPr>
            </w:pP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72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预算绩效管理情况</w:t>
            </w:r>
          </w:p>
        </w:tc>
        <w:tc>
          <w:tcPr>
            <w:tcW w:w="196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一是加强绩效运行监控和评价，确保资金安全有效。在资金执行中,重点监控资金使用是否符合预算批复时确定的绩效目标，对绩效目标完成情况组织开展绩效评价；二是加强对资金的申请、分配、使用、管理情况的监督，实行项目台账管理，充分运用自治区农业农村投资项目资金监督管理平台，加强资金日常监管，及时发现、纠正问题；三是各项目实施单位建立专项档案，将资金工作台账，支持内容、补助金额、采购票据等存档备查，对项目资金执行按月调度。</w:t>
            </w: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120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支出责任履行情况</w:t>
            </w:r>
          </w:p>
        </w:tc>
        <w:tc>
          <w:tcPr>
            <w:tcW w:w="196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对共同财政事权转移支付，按照财政事权和支出责任划分有关规定，足额安排资金履行本级支出责任，支出责任履行情况良好。</w:t>
            </w:r>
          </w:p>
          <w:p>
            <w:pPr>
              <w:widowControl/>
              <w:jc w:val="left"/>
              <w:textAlignment w:val="center"/>
              <w:rPr>
                <w:rFonts w:eastAsia="宋体"/>
                <w:color w:val="000000"/>
                <w:kern w:val="0"/>
                <w:sz w:val="16"/>
                <w:szCs w:val="16"/>
                <w:lang w:eastAsia="zh-Hans" w:bidi="ar"/>
              </w:rPr>
            </w:pPr>
            <w:r>
              <w:rPr>
                <w:rFonts w:eastAsia="宋体"/>
                <w:color w:val="000000"/>
                <w:kern w:val="0"/>
                <w:sz w:val="16"/>
                <w:szCs w:val="16"/>
                <w:lang w:eastAsia="zh-Hans" w:bidi="ar"/>
              </w:rPr>
              <w:t>项目实施乡镇人民政府为直接责任人，地州市县农业农村局为项目主管部门对项目资金使用、监督和验收负主体责任；单位主要领导为项目监督和实施第一责任人</w:t>
            </w:r>
            <w:r>
              <w:rPr>
                <w:rFonts w:eastAsia="宋体"/>
                <w:color w:val="000000"/>
                <w:kern w:val="0"/>
                <w:sz w:val="16"/>
                <w:szCs w:val="16"/>
                <w:lang w:bidi="ar"/>
              </w:rPr>
              <w:t>，</w:t>
            </w:r>
            <w:r>
              <w:rPr>
                <w:rFonts w:eastAsia="宋体"/>
                <w:color w:val="000000"/>
                <w:kern w:val="0"/>
                <w:sz w:val="16"/>
                <w:szCs w:val="16"/>
                <w:lang w:eastAsia="zh-Hans" w:bidi="ar"/>
              </w:rPr>
              <w:t>主动与财政部门做好项目资金对接落实工作，确保资金及时到位，安全使用；</w:t>
            </w:r>
            <w:r>
              <w:rPr>
                <w:rFonts w:eastAsia="宋体"/>
                <w:color w:val="000000"/>
                <w:kern w:val="0"/>
                <w:sz w:val="16"/>
                <w:szCs w:val="16"/>
                <w:lang w:bidi="ar"/>
              </w:rPr>
              <w:t>自治区农业农村厅</w:t>
            </w:r>
            <w:r>
              <w:rPr>
                <w:rFonts w:eastAsia="宋体"/>
                <w:color w:val="000000"/>
                <w:kern w:val="0"/>
                <w:sz w:val="16"/>
                <w:szCs w:val="16"/>
                <w:lang w:eastAsia="zh-Hans" w:bidi="ar"/>
              </w:rPr>
              <w:t>建立项目执行定期调度督导机制，及时掌握项目执行和资金使用情况，</w:t>
            </w:r>
            <w:r>
              <w:rPr>
                <w:rFonts w:eastAsia="宋体"/>
                <w:color w:val="000000"/>
                <w:kern w:val="0"/>
                <w:sz w:val="16"/>
                <w:szCs w:val="16"/>
                <w:lang w:bidi="ar"/>
              </w:rPr>
              <w:t>不断总结经验和问题，</w:t>
            </w:r>
            <w:r>
              <w:rPr>
                <w:rFonts w:eastAsia="宋体"/>
                <w:color w:val="000000"/>
                <w:kern w:val="0"/>
                <w:sz w:val="16"/>
                <w:szCs w:val="16"/>
                <w:lang w:eastAsia="zh-Hans" w:bidi="ar"/>
              </w:rPr>
              <w:t>确保项目执行到位、资金使用规范。</w:t>
            </w:r>
          </w:p>
          <w:p>
            <w:pPr>
              <w:widowControl/>
              <w:jc w:val="left"/>
              <w:textAlignment w:val="center"/>
              <w:rPr>
                <w:rFonts w:eastAsia="宋体"/>
                <w:color w:val="000000"/>
                <w:kern w:val="0"/>
                <w:sz w:val="16"/>
                <w:szCs w:val="16"/>
                <w:lang w:bidi="ar"/>
              </w:rPr>
            </w:pPr>
          </w:p>
        </w:tc>
        <w:tc>
          <w:tcPr>
            <w:tcW w:w="352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CellMar>
            <w:top w:w="0" w:type="dxa"/>
            <w:left w:w="108" w:type="dxa"/>
            <w:bottom w:w="0" w:type="dxa"/>
            <w:right w:w="108" w:type="dxa"/>
          </w:tblCellMar>
        </w:tblPrEx>
        <w:trPr>
          <w:trHeight w:val="280"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eastAsia="宋体"/>
                <w:color w:val="000000"/>
                <w:kern w:val="0"/>
                <w:sz w:val="16"/>
                <w:szCs w:val="16"/>
                <w:lang w:bidi="ar"/>
              </w:rPr>
              <w:t>总体目标完成情况</w:t>
            </w:r>
          </w:p>
        </w:tc>
        <w:tc>
          <w:tcPr>
            <w:tcW w:w="395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总体目标</w:t>
            </w:r>
          </w:p>
        </w:tc>
        <w:tc>
          <w:tcPr>
            <w:tcW w:w="444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全年实际完成情况</w:t>
            </w:r>
          </w:p>
        </w:tc>
      </w:tr>
      <w:tr>
        <w:tblPrEx>
          <w:tblCellMar>
            <w:top w:w="0" w:type="dxa"/>
            <w:left w:w="108" w:type="dxa"/>
            <w:bottom w:w="0" w:type="dxa"/>
            <w:right w:w="108" w:type="dxa"/>
          </w:tblCellMar>
        </w:tblPrEx>
        <w:trPr>
          <w:trHeight w:val="521"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395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eastAsia="宋体"/>
                <w:color w:val="000000"/>
                <w:kern w:val="0"/>
                <w:sz w:val="16"/>
                <w:szCs w:val="16"/>
                <w:lang w:eastAsia="zh-CN" w:bidi="ar"/>
              </w:rPr>
            </w:pPr>
            <w:r>
              <w:rPr>
                <w:rFonts w:eastAsia="宋体"/>
                <w:color w:val="000000"/>
                <w:kern w:val="0"/>
                <w:sz w:val="16"/>
                <w:szCs w:val="16"/>
                <w:lang w:bidi="ar"/>
              </w:rPr>
              <w:t>通过使用救灾资金，减少灾害损失，确保农业生产稳定</w:t>
            </w:r>
            <w:r>
              <w:rPr>
                <w:rFonts w:hint="eastAsia" w:eastAsia="宋体"/>
                <w:color w:val="000000"/>
                <w:kern w:val="0"/>
                <w:sz w:val="16"/>
                <w:szCs w:val="16"/>
                <w:lang w:eastAsia="zh-CN" w:bidi="ar"/>
              </w:rPr>
              <w:t>。</w:t>
            </w:r>
          </w:p>
        </w:tc>
        <w:tc>
          <w:tcPr>
            <w:tcW w:w="444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eastAsia="宋体"/>
                <w:color w:val="000000"/>
                <w:sz w:val="16"/>
                <w:szCs w:val="16"/>
                <w:lang w:eastAsia="zh-CN"/>
              </w:rPr>
            </w:pPr>
            <w:r>
              <w:rPr>
                <w:rFonts w:hint="eastAsia" w:eastAsia="宋体"/>
                <w:color w:val="000000"/>
                <w:sz w:val="16"/>
                <w:szCs w:val="16"/>
              </w:rPr>
              <w:t>2024年，通过实施项目，支持因地震、大风等受损设施大棚进行修复和加固，设施大棚生产环境得到优化，农业生产秩序迅速恢复，2024年完成40148平方米倒塌受损棚圈的修缮，对农牧民、养殖场户等调运饲草料，受灾户恢复生产购置种畜（禽）、区地县乡四级防灾应急饲草料储备库运行维护等给予补助，极大缓解了农牧民等生产主体防灾及恢复生产的资金压力，提升主动防灾救灾能力</w:t>
            </w:r>
            <w:r>
              <w:rPr>
                <w:rFonts w:hint="eastAsia" w:eastAsia="宋体"/>
                <w:color w:val="000000"/>
                <w:sz w:val="16"/>
                <w:szCs w:val="16"/>
                <w:lang w:eastAsia="zh-CN"/>
              </w:rPr>
              <w:t>。</w:t>
            </w:r>
          </w:p>
        </w:tc>
      </w:tr>
      <w:tr>
        <w:tblPrEx>
          <w:tblCellMar>
            <w:top w:w="0" w:type="dxa"/>
            <w:left w:w="108" w:type="dxa"/>
            <w:bottom w:w="0" w:type="dxa"/>
            <w:right w:w="108" w:type="dxa"/>
          </w:tblCellMar>
        </w:tblPrEx>
        <w:trPr>
          <w:trHeight w:val="521"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3952"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rPr>
            </w:pPr>
          </w:p>
        </w:tc>
        <w:tc>
          <w:tcPr>
            <w:tcW w:w="4442"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rPr>
            </w:pPr>
          </w:p>
        </w:tc>
      </w:tr>
      <w:tr>
        <w:tblPrEx>
          <w:tblCellMar>
            <w:top w:w="0" w:type="dxa"/>
            <w:left w:w="108" w:type="dxa"/>
            <w:bottom w:w="0" w:type="dxa"/>
            <w:right w:w="108" w:type="dxa"/>
          </w:tblCellMar>
        </w:tblPrEx>
        <w:trPr>
          <w:trHeight w:val="521"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rPr>
            </w:pPr>
          </w:p>
        </w:tc>
        <w:tc>
          <w:tcPr>
            <w:tcW w:w="3952"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rPr>
            </w:pPr>
          </w:p>
        </w:tc>
        <w:tc>
          <w:tcPr>
            <w:tcW w:w="4442"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rPr>
            </w:pPr>
          </w:p>
        </w:tc>
      </w:tr>
      <w:tr>
        <w:tblPrEx>
          <w:tblCellMar>
            <w:top w:w="0" w:type="dxa"/>
            <w:left w:w="108" w:type="dxa"/>
            <w:bottom w:w="0" w:type="dxa"/>
            <w:right w:w="108" w:type="dxa"/>
          </w:tblCellMar>
        </w:tblPrEx>
        <w:trPr>
          <w:trHeight w:val="638" w:hRule="atLeast"/>
          <w:jc w:val="center"/>
        </w:trPr>
        <w:tc>
          <w:tcPr>
            <w:tcW w:w="676" w:type="dxa"/>
            <w:vMerge w:val="restart"/>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宋体"/>
                <w:color w:val="000000"/>
                <w:kern w:val="0"/>
                <w:sz w:val="16"/>
                <w:szCs w:val="16"/>
                <w:lang w:bidi="ar"/>
              </w:rPr>
            </w:pPr>
          </w:p>
          <w:p>
            <w:pPr>
              <w:widowControl/>
              <w:jc w:val="center"/>
              <w:textAlignment w:val="center"/>
              <w:rPr>
                <w:rFonts w:eastAsia="宋体"/>
                <w:color w:val="000000"/>
                <w:sz w:val="16"/>
                <w:szCs w:val="16"/>
              </w:rPr>
            </w:pPr>
            <w:r>
              <w:rPr>
                <w:rFonts w:eastAsia="宋体"/>
                <w:color w:val="000000"/>
                <w:kern w:val="0"/>
                <w:sz w:val="16"/>
                <w:szCs w:val="16"/>
                <w:lang w:bidi="ar"/>
              </w:rPr>
              <w:t>绩</w:t>
            </w:r>
            <w:r>
              <w:rPr>
                <w:rFonts w:eastAsia="宋体"/>
                <w:color w:val="000000"/>
                <w:kern w:val="0"/>
                <w:sz w:val="16"/>
                <w:szCs w:val="16"/>
                <w:lang w:bidi="ar"/>
              </w:rPr>
              <w:br w:type="textWrapping"/>
            </w:r>
            <w:r>
              <w:rPr>
                <w:rFonts w:eastAsia="宋体"/>
                <w:color w:val="000000"/>
                <w:kern w:val="0"/>
                <w:sz w:val="16"/>
                <w:szCs w:val="16"/>
                <w:lang w:bidi="ar"/>
              </w:rPr>
              <w:t>效</w:t>
            </w:r>
            <w:r>
              <w:rPr>
                <w:rFonts w:eastAsia="宋体"/>
                <w:color w:val="000000"/>
                <w:kern w:val="0"/>
                <w:sz w:val="16"/>
                <w:szCs w:val="16"/>
                <w:lang w:bidi="ar"/>
              </w:rPr>
              <w:br w:type="textWrapping"/>
            </w:r>
            <w:r>
              <w:rPr>
                <w:rFonts w:eastAsia="宋体"/>
                <w:color w:val="000000"/>
                <w:kern w:val="0"/>
                <w:sz w:val="16"/>
                <w:szCs w:val="16"/>
                <w:lang w:bidi="ar"/>
              </w:rPr>
              <w:t>指</w:t>
            </w:r>
            <w:r>
              <w:rPr>
                <w:rFonts w:eastAsia="宋体"/>
                <w:color w:val="000000"/>
                <w:kern w:val="0"/>
                <w:sz w:val="16"/>
                <w:szCs w:val="16"/>
                <w:lang w:bidi="ar"/>
              </w:rPr>
              <w:br w:type="textWrapping"/>
            </w:r>
            <w:r>
              <w:rPr>
                <w:rFonts w:eastAsia="宋体"/>
                <w:color w:val="000000"/>
                <w:kern w:val="0"/>
                <w:sz w:val="16"/>
                <w:szCs w:val="16"/>
                <w:lang w:bidi="ar"/>
              </w:rPr>
              <w:t>标</w:t>
            </w:r>
          </w:p>
        </w:tc>
        <w:tc>
          <w:tcPr>
            <w:tcW w:w="138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一级指标</w:t>
            </w:r>
          </w:p>
        </w:tc>
        <w:tc>
          <w:tcPr>
            <w:tcW w:w="152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二级指标</w:t>
            </w:r>
          </w:p>
        </w:tc>
        <w:tc>
          <w:tcPr>
            <w:tcW w:w="105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三级指标</w:t>
            </w:r>
          </w:p>
        </w:tc>
        <w:tc>
          <w:tcPr>
            <w:tcW w:w="918"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指标值</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全年实际完成值</w:t>
            </w:r>
          </w:p>
        </w:tc>
        <w:tc>
          <w:tcPr>
            <w:tcW w:w="2073" w:type="dxa"/>
            <w:tcBorders>
              <w:top w:val="single" w:color="000000" w:sz="4" w:space="0"/>
              <w:left w:val="single" w:color="auto" w:sz="4" w:space="0"/>
              <w:bottom w:val="single" w:color="auto"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未完成原因和改进措施</w:t>
            </w:r>
          </w:p>
        </w:tc>
      </w:tr>
      <w:tr>
        <w:tblPrEx>
          <w:tblCellMar>
            <w:top w:w="0" w:type="dxa"/>
            <w:left w:w="108" w:type="dxa"/>
            <w:bottom w:w="0" w:type="dxa"/>
            <w:right w:w="108" w:type="dxa"/>
          </w:tblCellMar>
        </w:tblPrEx>
        <w:trPr>
          <w:trHeight w:val="1360" w:hRule="atLeast"/>
          <w:jc w:val="center"/>
        </w:trPr>
        <w:tc>
          <w:tcPr>
            <w:tcW w:w="67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eastAsia="宋体"/>
                <w:color w:val="000000"/>
                <w:sz w:val="16"/>
                <w:szCs w:val="16"/>
              </w:rPr>
            </w:pPr>
          </w:p>
        </w:tc>
        <w:tc>
          <w:tcPr>
            <w:tcW w:w="1382"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kern w:val="0"/>
                <w:sz w:val="16"/>
                <w:szCs w:val="16"/>
                <w:lang w:bidi="ar"/>
              </w:rPr>
            </w:pPr>
          </w:p>
          <w:p>
            <w:pPr>
              <w:widowControl/>
              <w:jc w:val="center"/>
              <w:textAlignment w:val="center"/>
              <w:rPr>
                <w:rFonts w:eastAsia="宋体"/>
                <w:color w:val="000000"/>
                <w:kern w:val="0"/>
                <w:sz w:val="16"/>
                <w:szCs w:val="16"/>
                <w:lang w:bidi="ar"/>
              </w:rPr>
            </w:pPr>
          </w:p>
          <w:p>
            <w:pPr>
              <w:widowControl/>
              <w:jc w:val="center"/>
              <w:textAlignment w:val="center"/>
              <w:rPr>
                <w:rFonts w:eastAsia="宋体"/>
                <w:color w:val="000000"/>
                <w:sz w:val="16"/>
                <w:szCs w:val="16"/>
              </w:rPr>
            </w:pPr>
            <w:r>
              <w:rPr>
                <w:rFonts w:eastAsia="宋体"/>
                <w:color w:val="000000"/>
                <w:kern w:val="0"/>
                <w:sz w:val="16"/>
                <w:szCs w:val="16"/>
                <w:lang w:bidi="ar"/>
              </w:rPr>
              <w:t>产出指标</w:t>
            </w:r>
          </w:p>
        </w:tc>
        <w:tc>
          <w:tcPr>
            <w:tcW w:w="152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数量指标</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spacing w:val="1"/>
                <w:sz w:val="16"/>
                <w:szCs w:val="16"/>
              </w:rPr>
              <w:t>支持灾后设施恢复和农作物恢复生长(万亩)</w:t>
            </w:r>
          </w:p>
        </w:tc>
        <w:tc>
          <w:tcPr>
            <w:tcW w:w="9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sz w:val="16"/>
                <w:szCs w:val="16"/>
              </w:rPr>
            </w:pPr>
            <w:r>
              <w:rPr>
                <w:rFonts w:eastAsia="宋体"/>
                <w:color w:val="000000"/>
                <w:sz w:val="16"/>
                <w:szCs w:val="16"/>
              </w:rPr>
              <w:t>≥</w:t>
            </w:r>
            <w:r>
              <w:rPr>
                <w:rFonts w:hint="eastAsia" w:eastAsia="宋体"/>
                <w:color w:val="000000"/>
                <w:sz w:val="16"/>
                <w:szCs w:val="16"/>
              </w:rPr>
              <w:t>0.52</w:t>
            </w:r>
            <w:r>
              <w:rPr>
                <w:rFonts w:eastAsia="宋体"/>
                <w:color w:val="000000"/>
                <w:sz w:val="16"/>
                <w:szCs w:val="16"/>
              </w:rPr>
              <w:t>万亩</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0.53</w:t>
            </w:r>
            <w:r>
              <w:rPr>
                <w:rFonts w:eastAsia="宋体"/>
                <w:color w:val="000000"/>
                <w:sz w:val="16"/>
                <w:szCs w:val="16"/>
              </w:rPr>
              <w:t>万亩</w:t>
            </w:r>
          </w:p>
        </w:tc>
        <w:tc>
          <w:tcPr>
            <w:tcW w:w="2073" w:type="dxa"/>
            <w:tcBorders>
              <w:top w:val="single" w:color="auto" w:sz="4" w:space="0"/>
              <w:left w:val="single" w:color="auto" w:sz="4" w:space="0"/>
              <w:bottom w:val="single" w:color="auto" w:sz="4" w:space="0"/>
              <w:right w:val="single" w:color="auto" w:sz="4" w:space="0"/>
            </w:tcBorders>
            <w:noWrap/>
            <w:vAlign w:val="center"/>
          </w:tcPr>
          <w:p>
            <w:pPr>
              <w:rPr>
                <w:rFonts w:eastAsia="宋体"/>
                <w:color w:val="000000"/>
                <w:sz w:val="16"/>
                <w:szCs w:val="16"/>
              </w:rPr>
            </w:pPr>
          </w:p>
        </w:tc>
      </w:tr>
      <w:tr>
        <w:tblPrEx>
          <w:tblCellMar>
            <w:top w:w="0" w:type="dxa"/>
            <w:left w:w="108" w:type="dxa"/>
            <w:bottom w:w="0" w:type="dxa"/>
            <w:right w:w="108" w:type="dxa"/>
          </w:tblCellMar>
        </w:tblPrEx>
        <w:trPr>
          <w:trHeight w:val="785" w:hRule="atLeast"/>
          <w:jc w:val="center"/>
        </w:trPr>
        <w:tc>
          <w:tcPr>
            <w:tcW w:w="67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p>
        </w:tc>
        <w:tc>
          <w:tcPr>
            <w:tcW w:w="138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52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0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spacing w:val="3"/>
                <w:sz w:val="16"/>
                <w:szCs w:val="16"/>
              </w:rPr>
              <w:t>修复畜禽养殖圈舍(平方米）</w:t>
            </w:r>
          </w:p>
        </w:tc>
        <w:tc>
          <w:tcPr>
            <w:tcW w:w="9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＞24780平方米</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40148平方米</w:t>
            </w:r>
          </w:p>
        </w:tc>
        <w:tc>
          <w:tcPr>
            <w:tcW w:w="2073"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eastAsia="宋体"/>
                <w:color w:val="000000"/>
                <w:sz w:val="16"/>
                <w:szCs w:val="16"/>
              </w:rPr>
            </w:pPr>
          </w:p>
        </w:tc>
      </w:tr>
      <w:tr>
        <w:tblPrEx>
          <w:tblCellMar>
            <w:top w:w="0" w:type="dxa"/>
            <w:left w:w="108" w:type="dxa"/>
            <w:bottom w:w="0" w:type="dxa"/>
            <w:right w:w="108" w:type="dxa"/>
          </w:tblCellMar>
        </w:tblPrEx>
        <w:trPr>
          <w:trHeight w:val="573" w:hRule="atLeast"/>
          <w:jc w:val="center"/>
        </w:trPr>
        <w:tc>
          <w:tcPr>
            <w:tcW w:w="676" w:type="dxa"/>
            <w:vMerge w:val="continue"/>
            <w:tcBorders>
              <w:top w:val="single" w:color="auto" w:sz="4" w:space="0"/>
              <w:left w:val="single" w:color="auto" w:sz="4" w:space="0"/>
              <w:right w:val="single" w:color="000000" w:sz="4" w:space="0"/>
            </w:tcBorders>
            <w:vAlign w:val="center"/>
          </w:tcPr>
          <w:p>
            <w:pPr>
              <w:jc w:val="center"/>
              <w:rPr>
                <w:rFonts w:eastAsia="宋体"/>
                <w:color w:val="000000"/>
                <w:sz w:val="16"/>
                <w:szCs w:val="16"/>
              </w:rPr>
            </w:pPr>
          </w:p>
        </w:tc>
        <w:tc>
          <w:tcPr>
            <w:tcW w:w="1382" w:type="dxa"/>
            <w:vMerge w:val="continue"/>
            <w:tcBorders>
              <w:top w:val="single" w:color="auto" w:sz="4" w:space="0"/>
              <w:left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auto" w:sz="4" w:space="0"/>
              <w:left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质量指标</w:t>
            </w:r>
          </w:p>
        </w:tc>
        <w:tc>
          <w:tcPr>
            <w:tcW w:w="1050" w:type="dxa"/>
            <w:tcBorders>
              <w:top w:val="single" w:color="auto" w:sz="4" w:space="0"/>
              <w:left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ascii="宋体" w:hAnsi="宋体" w:eastAsia="宋体" w:cs="宋体"/>
                <w:spacing w:val="3"/>
                <w:sz w:val="16"/>
                <w:szCs w:val="16"/>
              </w:rPr>
              <w:t>用于农业生产防灾减灾救灾相关支出的比例(%)</w:t>
            </w:r>
          </w:p>
        </w:tc>
        <w:tc>
          <w:tcPr>
            <w:tcW w:w="918" w:type="dxa"/>
            <w:tcBorders>
              <w:top w:val="single" w:color="auto" w:sz="4" w:space="0"/>
              <w:left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=100%</w:t>
            </w:r>
          </w:p>
        </w:tc>
        <w:tc>
          <w:tcPr>
            <w:tcW w:w="1451" w:type="dxa"/>
            <w:tcBorders>
              <w:top w:val="single" w:color="auto" w:sz="4" w:space="0"/>
              <w:left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100%</w:t>
            </w:r>
          </w:p>
        </w:tc>
        <w:tc>
          <w:tcPr>
            <w:tcW w:w="2073" w:type="dxa"/>
            <w:tcBorders>
              <w:top w:val="single" w:color="auto" w:sz="4" w:space="0"/>
              <w:left w:val="single" w:color="000000" w:sz="4" w:space="0"/>
              <w:bottom w:val="single" w:color="000000" w:sz="4" w:space="0"/>
              <w:right w:val="single" w:color="000000" w:sz="4" w:space="0"/>
            </w:tcBorders>
            <w:noWrap/>
            <w:vAlign w:val="center"/>
          </w:tcPr>
          <w:p>
            <w:pPr>
              <w:rPr>
                <w:rFonts w:eastAsia="宋体"/>
                <w:color w:val="000000"/>
                <w:sz w:val="16"/>
                <w:szCs w:val="16"/>
              </w:rPr>
            </w:pPr>
          </w:p>
        </w:tc>
      </w:tr>
      <w:tr>
        <w:tblPrEx>
          <w:tblCellMar>
            <w:top w:w="0" w:type="dxa"/>
            <w:left w:w="108" w:type="dxa"/>
            <w:bottom w:w="0" w:type="dxa"/>
            <w:right w:w="108" w:type="dxa"/>
          </w:tblCellMar>
        </w:tblPrEx>
        <w:trPr>
          <w:trHeight w:val="280" w:hRule="atLeast"/>
          <w:jc w:val="center"/>
        </w:trPr>
        <w:tc>
          <w:tcPr>
            <w:tcW w:w="676" w:type="dxa"/>
            <w:vMerge w:val="continue"/>
            <w:tcBorders>
              <w:left w:val="single" w:color="auto" w:sz="4" w:space="0"/>
              <w:right w:val="single" w:color="000000" w:sz="4" w:space="0"/>
            </w:tcBorders>
            <w:vAlign w:val="center"/>
          </w:tcPr>
          <w:p>
            <w:pPr>
              <w:jc w:val="center"/>
              <w:rPr>
                <w:rFonts w:eastAsia="宋体"/>
                <w:color w:val="000000"/>
                <w:sz w:val="16"/>
                <w:szCs w:val="16"/>
              </w:rPr>
            </w:pPr>
          </w:p>
        </w:tc>
        <w:tc>
          <w:tcPr>
            <w:tcW w:w="1382" w:type="dxa"/>
            <w:vMerge w:val="continue"/>
            <w:tcBorders>
              <w:left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时效指标</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sz w:val="16"/>
                <w:szCs w:val="16"/>
              </w:rPr>
            </w:pPr>
            <w:r>
              <w:rPr>
                <w:rFonts w:hint="eastAsia" w:ascii="宋体" w:hAnsi="宋体" w:eastAsia="宋体" w:cs="宋体"/>
                <w:spacing w:val="3"/>
                <w:sz w:val="16"/>
                <w:szCs w:val="16"/>
              </w:rPr>
              <w:t>救灾资金下达到省6个月内预算执行率(%)</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＞80%</w:t>
            </w:r>
          </w:p>
        </w:tc>
        <w:tc>
          <w:tcPr>
            <w:tcW w:w="14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80%</w:t>
            </w:r>
          </w:p>
        </w:tc>
        <w:tc>
          <w:tcPr>
            <w:tcW w:w="2073" w:type="dxa"/>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rPr>
            </w:pPr>
          </w:p>
        </w:tc>
      </w:tr>
      <w:tr>
        <w:tblPrEx>
          <w:tblCellMar>
            <w:top w:w="0" w:type="dxa"/>
            <w:left w:w="108" w:type="dxa"/>
            <w:bottom w:w="0" w:type="dxa"/>
            <w:right w:w="108" w:type="dxa"/>
          </w:tblCellMar>
        </w:tblPrEx>
        <w:trPr>
          <w:trHeight w:val="340" w:hRule="atLeast"/>
          <w:jc w:val="center"/>
        </w:trPr>
        <w:tc>
          <w:tcPr>
            <w:tcW w:w="676" w:type="dxa"/>
            <w:vMerge w:val="continue"/>
            <w:tcBorders>
              <w:left w:val="single" w:color="auto" w:sz="4" w:space="0"/>
              <w:right w:val="single" w:color="000000" w:sz="4" w:space="0"/>
            </w:tcBorders>
            <w:vAlign w:val="center"/>
          </w:tcPr>
          <w:p>
            <w:pPr>
              <w:jc w:val="center"/>
              <w:rPr>
                <w:rFonts w:eastAsia="宋体"/>
                <w:color w:val="000000"/>
                <w:sz w:val="16"/>
                <w:szCs w:val="16"/>
              </w:rPr>
            </w:pPr>
          </w:p>
        </w:tc>
        <w:tc>
          <w:tcPr>
            <w:tcW w:w="1382" w:type="dxa"/>
            <w:vMerge w:val="continue"/>
            <w:tcBorders>
              <w:left w:val="single" w:color="000000" w:sz="4" w:space="0"/>
              <w:bottom w:val="single" w:color="auto" w:sz="4" w:space="0"/>
              <w:right w:val="single" w:color="000000" w:sz="4" w:space="0"/>
            </w:tcBorders>
            <w:noWrap/>
            <w:vAlign w:val="center"/>
          </w:tcPr>
          <w:p>
            <w:pPr>
              <w:jc w:val="center"/>
              <w:rPr>
                <w:rFonts w:eastAsia="宋体"/>
                <w:color w:val="000000"/>
                <w:sz w:val="16"/>
                <w:szCs w:val="16"/>
              </w:rPr>
            </w:pPr>
          </w:p>
        </w:tc>
        <w:tc>
          <w:tcPr>
            <w:tcW w:w="1520"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成本指标</w:t>
            </w:r>
          </w:p>
        </w:tc>
        <w:tc>
          <w:tcPr>
            <w:tcW w:w="1050"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eastAsia="宋体"/>
                <w:color w:val="000000"/>
                <w:sz w:val="16"/>
                <w:szCs w:val="16"/>
              </w:rPr>
            </w:pPr>
            <w:bookmarkStart w:id="2" w:name="_Hlk192015623"/>
            <w:r>
              <w:rPr>
                <w:rFonts w:eastAsia="宋体"/>
                <w:color w:val="000000"/>
                <w:sz w:val="16"/>
                <w:szCs w:val="16"/>
              </w:rPr>
              <w:t>采购物资或服务价格</w:t>
            </w:r>
            <w:bookmarkEnd w:id="2"/>
          </w:p>
        </w:tc>
        <w:tc>
          <w:tcPr>
            <w:tcW w:w="91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eastAsia="宋体"/>
                <w:color w:val="000000"/>
                <w:sz w:val="16"/>
                <w:szCs w:val="16"/>
              </w:rPr>
            </w:pPr>
            <w:r>
              <w:rPr>
                <w:rFonts w:eastAsia="宋体"/>
                <w:color w:val="000000"/>
                <w:sz w:val="16"/>
                <w:szCs w:val="16"/>
              </w:rPr>
              <w:t>不超过市场价格</w:t>
            </w:r>
          </w:p>
        </w:tc>
        <w:tc>
          <w:tcPr>
            <w:tcW w:w="145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100%</w:t>
            </w:r>
          </w:p>
        </w:tc>
        <w:tc>
          <w:tcPr>
            <w:tcW w:w="2073"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eastAsia="宋体"/>
                <w:color w:val="000000"/>
                <w:sz w:val="16"/>
                <w:szCs w:val="16"/>
              </w:rPr>
            </w:pPr>
          </w:p>
        </w:tc>
      </w:tr>
      <w:tr>
        <w:tblPrEx>
          <w:tblCellMar>
            <w:top w:w="0" w:type="dxa"/>
            <w:left w:w="108" w:type="dxa"/>
            <w:bottom w:w="0" w:type="dxa"/>
            <w:right w:w="108" w:type="dxa"/>
          </w:tblCellMar>
        </w:tblPrEx>
        <w:trPr>
          <w:trHeight w:val="412" w:hRule="atLeast"/>
          <w:jc w:val="center"/>
        </w:trPr>
        <w:tc>
          <w:tcPr>
            <w:tcW w:w="676" w:type="dxa"/>
            <w:vMerge w:val="continue"/>
            <w:tcBorders>
              <w:left w:val="single" w:color="auto" w:sz="4" w:space="0"/>
              <w:right w:val="single" w:color="auto" w:sz="4" w:space="0"/>
            </w:tcBorders>
            <w:vAlign w:val="center"/>
          </w:tcPr>
          <w:p>
            <w:pPr>
              <w:jc w:val="center"/>
              <w:rPr>
                <w:rFonts w:eastAsia="宋体"/>
                <w:color w:val="000000"/>
                <w:sz w:val="16"/>
                <w:szCs w:val="16"/>
              </w:rPr>
            </w:pPr>
          </w:p>
        </w:tc>
        <w:tc>
          <w:tcPr>
            <w:tcW w:w="1382"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效益指标</w:t>
            </w:r>
          </w:p>
        </w:tc>
        <w:tc>
          <w:tcPr>
            <w:tcW w:w="152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rPr>
            </w:pPr>
            <w:r>
              <w:rPr>
                <w:rFonts w:hint="eastAsia" w:eastAsia="宋体"/>
                <w:color w:val="000000"/>
                <w:kern w:val="0"/>
                <w:sz w:val="16"/>
                <w:szCs w:val="16"/>
                <w:lang w:bidi="ar"/>
              </w:rPr>
              <w:t>经济</w:t>
            </w:r>
            <w:r>
              <w:rPr>
                <w:rFonts w:eastAsia="宋体"/>
                <w:color w:val="000000"/>
                <w:kern w:val="0"/>
                <w:sz w:val="16"/>
                <w:szCs w:val="16"/>
                <w:lang w:bidi="ar"/>
              </w:rPr>
              <w:t>效益指标</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受灾地区设施农业、畜牧业、渔业因灾损失</w:t>
            </w:r>
          </w:p>
        </w:tc>
        <w:tc>
          <w:tcPr>
            <w:tcW w:w="9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减少</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100%</w:t>
            </w:r>
          </w:p>
        </w:tc>
        <w:tc>
          <w:tcPr>
            <w:tcW w:w="2073" w:type="dxa"/>
            <w:tcBorders>
              <w:top w:val="single" w:color="auto" w:sz="4" w:space="0"/>
              <w:left w:val="single" w:color="auto" w:sz="4" w:space="0"/>
              <w:bottom w:val="single" w:color="auto" w:sz="4" w:space="0"/>
              <w:right w:val="single" w:color="auto" w:sz="4" w:space="0"/>
            </w:tcBorders>
            <w:noWrap/>
            <w:vAlign w:val="center"/>
          </w:tcPr>
          <w:p>
            <w:pPr>
              <w:rPr>
                <w:rFonts w:eastAsia="宋体"/>
                <w:color w:val="000000"/>
                <w:sz w:val="16"/>
                <w:szCs w:val="16"/>
              </w:rPr>
            </w:pPr>
          </w:p>
        </w:tc>
      </w:tr>
      <w:tr>
        <w:tblPrEx>
          <w:tblCellMar>
            <w:top w:w="0" w:type="dxa"/>
            <w:left w:w="108" w:type="dxa"/>
            <w:bottom w:w="0" w:type="dxa"/>
            <w:right w:w="108" w:type="dxa"/>
          </w:tblCellMar>
        </w:tblPrEx>
        <w:trPr>
          <w:trHeight w:val="412" w:hRule="atLeast"/>
          <w:jc w:val="center"/>
        </w:trPr>
        <w:tc>
          <w:tcPr>
            <w:tcW w:w="676" w:type="dxa"/>
            <w:vMerge w:val="continue"/>
            <w:tcBorders>
              <w:left w:val="single" w:color="auto" w:sz="4" w:space="0"/>
              <w:right w:val="single" w:color="auto" w:sz="4" w:space="0"/>
            </w:tcBorders>
            <w:vAlign w:val="center"/>
          </w:tcPr>
          <w:p>
            <w:pPr>
              <w:widowControl/>
              <w:jc w:val="center"/>
              <w:textAlignment w:val="center"/>
            </w:pPr>
          </w:p>
        </w:tc>
        <w:tc>
          <w:tcPr>
            <w:tcW w:w="138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52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社会效益指标</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灾区农牧渔业生产秩序恢复</w:t>
            </w:r>
          </w:p>
        </w:tc>
        <w:tc>
          <w:tcPr>
            <w:tcW w:w="9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基本恢复</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2073"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kern w:val="0"/>
                <w:sz w:val="16"/>
                <w:szCs w:val="16"/>
                <w:lang w:bidi="ar"/>
              </w:rPr>
            </w:pPr>
          </w:p>
        </w:tc>
      </w:tr>
      <w:tr>
        <w:tblPrEx>
          <w:tblCellMar>
            <w:top w:w="0" w:type="dxa"/>
            <w:left w:w="108" w:type="dxa"/>
            <w:bottom w:w="0" w:type="dxa"/>
            <w:right w:w="108" w:type="dxa"/>
          </w:tblCellMar>
        </w:tblPrEx>
        <w:trPr>
          <w:trHeight w:val="412" w:hRule="atLeast"/>
          <w:jc w:val="center"/>
        </w:trPr>
        <w:tc>
          <w:tcPr>
            <w:tcW w:w="676" w:type="dxa"/>
            <w:vMerge w:val="continue"/>
            <w:tcBorders>
              <w:left w:val="single" w:color="auto" w:sz="4" w:space="0"/>
              <w:right w:val="single" w:color="auto" w:sz="4" w:space="0"/>
            </w:tcBorders>
            <w:vAlign w:val="center"/>
          </w:tcPr>
          <w:p>
            <w:pPr>
              <w:widowControl/>
              <w:jc w:val="center"/>
              <w:textAlignment w:val="center"/>
              <w:rPr>
                <w:rFonts w:eastAsia="宋体"/>
                <w:color w:val="000000"/>
                <w:kern w:val="0"/>
                <w:sz w:val="16"/>
                <w:szCs w:val="16"/>
                <w:lang w:bidi="ar"/>
              </w:rPr>
            </w:pPr>
          </w:p>
        </w:tc>
        <w:tc>
          <w:tcPr>
            <w:tcW w:w="138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kern w:val="0"/>
                <w:sz w:val="16"/>
                <w:szCs w:val="16"/>
                <w:lang w:bidi="ar"/>
              </w:rPr>
            </w:pPr>
          </w:p>
        </w:tc>
        <w:tc>
          <w:tcPr>
            <w:tcW w:w="152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生态效益指标</w:t>
            </w:r>
          </w:p>
        </w:tc>
        <w:tc>
          <w:tcPr>
            <w:tcW w:w="1050" w:type="dxa"/>
            <w:tcBorders>
              <w:top w:val="single" w:color="auto" w:sz="4" w:space="0"/>
              <w:left w:val="single" w:color="auto"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灾区农牧渔业生产秩序恢复</w:t>
            </w:r>
          </w:p>
        </w:tc>
        <w:tc>
          <w:tcPr>
            <w:tcW w:w="918"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基本恢复</w:t>
            </w:r>
          </w:p>
        </w:tc>
        <w:tc>
          <w:tcPr>
            <w:tcW w:w="1451"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2073" w:type="dxa"/>
            <w:tcBorders>
              <w:top w:val="single" w:color="auto"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lang w:bidi="ar"/>
              </w:rPr>
            </w:pPr>
          </w:p>
        </w:tc>
      </w:tr>
      <w:tr>
        <w:tblPrEx>
          <w:tblCellMar>
            <w:top w:w="0" w:type="dxa"/>
            <w:left w:w="108" w:type="dxa"/>
            <w:bottom w:w="0" w:type="dxa"/>
            <w:right w:w="108" w:type="dxa"/>
          </w:tblCellMar>
        </w:tblPrEx>
        <w:trPr>
          <w:trHeight w:val="280" w:hRule="atLeast"/>
          <w:jc w:val="center"/>
        </w:trPr>
        <w:tc>
          <w:tcPr>
            <w:tcW w:w="676" w:type="dxa"/>
            <w:vMerge w:val="continue"/>
            <w:tcBorders>
              <w:left w:val="single" w:color="auto" w:sz="4" w:space="0"/>
              <w:right w:val="single" w:color="auto" w:sz="4" w:space="0"/>
            </w:tcBorders>
            <w:vAlign w:val="center"/>
          </w:tcPr>
          <w:p>
            <w:pPr>
              <w:jc w:val="center"/>
              <w:rPr>
                <w:rFonts w:eastAsia="宋体"/>
                <w:color w:val="000000"/>
                <w:sz w:val="16"/>
                <w:szCs w:val="16"/>
              </w:rPr>
            </w:pPr>
          </w:p>
        </w:tc>
        <w:tc>
          <w:tcPr>
            <w:tcW w:w="1382" w:type="dxa"/>
            <w:vMerge w:val="continue"/>
            <w:tcBorders>
              <w:top w:val="single" w:color="auto" w:sz="4" w:space="0"/>
              <w:left w:val="single" w:color="auto" w:sz="4" w:space="0"/>
              <w:bottom w:val="single" w:color="000000" w:sz="4" w:space="0"/>
              <w:right w:val="single" w:color="000000" w:sz="4" w:space="0"/>
            </w:tcBorders>
            <w:noWrap/>
            <w:vAlign w:val="center"/>
          </w:tcPr>
          <w:p>
            <w:pPr>
              <w:jc w:val="center"/>
              <w:rPr>
                <w:rFonts w:eastAsia="宋体"/>
                <w:color w:val="000000"/>
                <w:sz w:val="16"/>
                <w:szCs w:val="16"/>
              </w:rPr>
            </w:pPr>
          </w:p>
        </w:tc>
        <w:tc>
          <w:tcPr>
            <w:tcW w:w="1520" w:type="dxa"/>
            <w:tcBorders>
              <w:top w:val="single" w:color="auto"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可持续影响指标</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稳定农民生产积极性</w:t>
            </w:r>
            <w:r>
              <w:rPr>
                <w:rFonts w:ascii="宋体" w:hAnsi="宋体" w:eastAsia="宋体" w:cs="宋体"/>
                <w:spacing w:val="3"/>
                <w:sz w:val="16"/>
                <w:szCs w:val="16"/>
              </w:rPr>
              <w:t>　</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保持稳定</w:t>
            </w:r>
          </w:p>
        </w:tc>
        <w:tc>
          <w:tcPr>
            <w:tcW w:w="14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100%</w:t>
            </w:r>
          </w:p>
        </w:tc>
        <w:tc>
          <w:tcPr>
            <w:tcW w:w="2073" w:type="dxa"/>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rPr>
            </w:pPr>
          </w:p>
        </w:tc>
      </w:tr>
      <w:tr>
        <w:tblPrEx>
          <w:tblCellMar>
            <w:top w:w="0" w:type="dxa"/>
            <w:left w:w="108" w:type="dxa"/>
            <w:bottom w:w="0" w:type="dxa"/>
            <w:right w:w="108" w:type="dxa"/>
          </w:tblCellMar>
        </w:tblPrEx>
        <w:trPr>
          <w:trHeight w:val="600" w:hRule="atLeast"/>
          <w:jc w:val="center"/>
        </w:trPr>
        <w:tc>
          <w:tcPr>
            <w:tcW w:w="676" w:type="dxa"/>
            <w:vMerge w:val="continue"/>
            <w:tcBorders>
              <w:left w:val="single" w:color="auto" w:sz="4" w:space="0"/>
              <w:bottom w:val="single" w:color="000000" w:sz="4" w:space="0"/>
              <w:right w:val="single" w:color="000000" w:sz="4" w:space="0"/>
            </w:tcBorders>
            <w:vAlign w:val="center"/>
          </w:tcPr>
          <w:p>
            <w:pPr>
              <w:jc w:val="center"/>
              <w:rPr>
                <w:rFonts w:eastAsia="宋体"/>
                <w:color w:val="000000"/>
                <w:sz w:val="16"/>
                <w:szCs w:val="16"/>
              </w:rPr>
            </w:pPr>
          </w:p>
        </w:tc>
        <w:tc>
          <w:tcPr>
            <w:tcW w:w="138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满意度指标</w:t>
            </w:r>
          </w:p>
        </w:tc>
        <w:tc>
          <w:tcPr>
            <w:tcW w:w="15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服务对象满意度指标</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sz w:val="16"/>
                <w:szCs w:val="16"/>
              </w:rPr>
            </w:pPr>
            <w:r>
              <w:rPr>
                <w:rFonts w:hint="eastAsia" w:ascii="宋体" w:hAnsi="宋体" w:eastAsia="宋体" w:cs="宋体"/>
                <w:spacing w:val="3"/>
                <w:sz w:val="16"/>
                <w:szCs w:val="16"/>
              </w:rPr>
              <w:t>指导服务对象满意度(%)</w:t>
            </w:r>
          </w:p>
        </w:tc>
        <w:tc>
          <w:tcPr>
            <w:tcW w:w="9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w:t>
            </w:r>
            <w:r>
              <w:rPr>
                <w:rFonts w:eastAsia="宋体"/>
                <w:color w:val="000000"/>
                <w:sz w:val="16"/>
                <w:szCs w:val="16"/>
              </w:rPr>
              <w:t>85%</w:t>
            </w:r>
          </w:p>
        </w:tc>
        <w:tc>
          <w:tcPr>
            <w:tcW w:w="14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rPr>
            </w:pPr>
            <w:r>
              <w:rPr>
                <w:rFonts w:hint="eastAsia" w:eastAsia="宋体"/>
                <w:color w:val="000000"/>
                <w:sz w:val="16"/>
                <w:szCs w:val="16"/>
              </w:rPr>
              <w:t>90%</w:t>
            </w:r>
          </w:p>
        </w:tc>
        <w:tc>
          <w:tcPr>
            <w:tcW w:w="2073" w:type="dxa"/>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rPr>
            </w:pPr>
          </w:p>
        </w:tc>
      </w:tr>
      <w:tr>
        <w:tblPrEx>
          <w:tblCellMar>
            <w:top w:w="0" w:type="dxa"/>
            <w:left w:w="108" w:type="dxa"/>
            <w:bottom w:w="0" w:type="dxa"/>
            <w:right w:w="108" w:type="dxa"/>
          </w:tblCellMar>
        </w:tblPrEx>
        <w:trPr>
          <w:trHeight w:val="280" w:hRule="atLeast"/>
          <w:jc w:val="center"/>
        </w:trPr>
        <w:tc>
          <w:tcPr>
            <w:tcW w:w="67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说明</w:t>
            </w:r>
          </w:p>
        </w:tc>
        <w:tc>
          <w:tcPr>
            <w:tcW w:w="8394"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无</w:t>
            </w:r>
          </w:p>
        </w:tc>
      </w:tr>
    </w:tbl>
    <w:p>
      <w:pP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br w:type="page"/>
      </w:r>
    </w:p>
    <w:p>
      <w:pPr>
        <w:pStyle w:val="12"/>
        <w:spacing w:line="600" w:lineRule="exact"/>
        <w:ind w:firstLine="0" w:firstLineChars="0"/>
        <w:jc w:val="left"/>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附件2：</w:t>
      </w:r>
    </w:p>
    <w:p>
      <w:pPr>
        <w:pStyle w:val="12"/>
        <w:spacing w:line="600" w:lineRule="exact"/>
        <w:ind w:firstLine="0" w:firstLineChars="0"/>
        <w:jc w:val="center"/>
        <w:rPr>
          <w:rFonts w:ascii="Times New Roman" w:hAnsi="Times New Roman" w:cs="Times New Roman"/>
          <w:b/>
          <w:bCs/>
          <w:kern w:val="0"/>
          <w:sz w:val="36"/>
          <w:szCs w:val="36"/>
          <w:lang w:val="en-US"/>
        </w:rPr>
      </w:pPr>
      <w:r>
        <w:rPr>
          <w:rFonts w:hint="eastAsia" w:ascii="Times New Roman" w:hAnsi="Times New Roman" w:cs="Times New Roman"/>
          <w:b/>
          <w:bCs/>
          <w:kern w:val="0"/>
          <w:sz w:val="36"/>
          <w:szCs w:val="36"/>
          <w:lang w:val="en-US"/>
        </w:rPr>
        <w:t>2024年中央对地方专项转移支付绩效目标自评表</w:t>
      </w:r>
    </w:p>
    <w:p>
      <w:pPr>
        <w:pStyle w:val="12"/>
        <w:spacing w:line="600" w:lineRule="exact"/>
        <w:ind w:firstLine="0" w:firstLineChars="0"/>
        <w:jc w:val="center"/>
        <w:rPr>
          <w:rFonts w:hint="eastAsia"/>
          <w:sz w:val="22"/>
          <w:szCs w:val="22"/>
        </w:rPr>
      </w:pPr>
      <w:r>
        <w:rPr>
          <w:rFonts w:hint="eastAsia" w:ascii="Times New Roman" w:hAnsi="Times New Roman" w:cs="Times New Roman"/>
          <w:b/>
          <w:bCs/>
          <w:kern w:val="0"/>
          <w:sz w:val="36"/>
          <w:szCs w:val="36"/>
          <w:lang w:val="en-US"/>
        </w:rPr>
        <w:t>（农业防灾救灾和水利救灾资金预算自评表）</w:t>
      </w:r>
    </w:p>
    <w:tbl>
      <w:tblPr>
        <w:tblStyle w:val="14"/>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381"/>
        <w:gridCol w:w="1521"/>
        <w:gridCol w:w="1050"/>
        <w:gridCol w:w="918"/>
        <w:gridCol w:w="1451"/>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057" w:type="dxa"/>
            <w:gridSpan w:val="2"/>
            <w:vMerge w:val="restar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转移支付（项目）名称</w:t>
            </w:r>
          </w:p>
        </w:tc>
        <w:tc>
          <w:tcPr>
            <w:tcW w:w="7013" w:type="dxa"/>
            <w:gridSpan w:val="5"/>
            <w:vMerge w:val="restart"/>
            <w:noWrap/>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202</w:t>
            </w:r>
            <w:r>
              <w:rPr>
                <w:rFonts w:hint="eastAsia" w:eastAsia="宋体"/>
                <w:color w:val="000000"/>
                <w:kern w:val="0"/>
                <w:sz w:val="16"/>
                <w:szCs w:val="16"/>
                <w:lang w:bidi="ar"/>
              </w:rPr>
              <w:t>4</w:t>
            </w:r>
            <w:r>
              <w:rPr>
                <w:rFonts w:eastAsia="宋体"/>
                <w:color w:val="000000"/>
                <w:kern w:val="0"/>
                <w:sz w:val="16"/>
                <w:szCs w:val="16"/>
                <w:lang w:bidi="ar"/>
              </w:rPr>
              <w:t>年中央农业防灾减灾和水利救灾资金预算（防灾救灾第</w:t>
            </w:r>
            <w:r>
              <w:rPr>
                <w:rFonts w:hint="eastAsia" w:eastAsia="宋体"/>
                <w:color w:val="000000"/>
                <w:kern w:val="0"/>
                <w:sz w:val="16"/>
                <w:szCs w:val="16"/>
                <w:lang w:bidi="ar"/>
              </w:rPr>
              <w:t>三</w:t>
            </w:r>
            <w:r>
              <w:rPr>
                <w:rFonts w:eastAsia="宋体"/>
                <w:color w:val="000000"/>
                <w:kern w:val="0"/>
                <w:sz w:val="16"/>
                <w:szCs w:val="16"/>
                <w:lang w:bidi="ar"/>
              </w:rPr>
              <w:t>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057" w:type="dxa"/>
            <w:gridSpan w:val="2"/>
            <w:vMerge w:val="continue"/>
            <w:vAlign w:val="center"/>
          </w:tcPr>
          <w:p>
            <w:pPr>
              <w:jc w:val="center"/>
              <w:rPr>
                <w:rFonts w:eastAsia="宋体"/>
                <w:color w:val="000000"/>
                <w:sz w:val="16"/>
                <w:szCs w:val="16"/>
              </w:rPr>
            </w:pPr>
          </w:p>
        </w:tc>
        <w:tc>
          <w:tcPr>
            <w:tcW w:w="7013" w:type="dxa"/>
            <w:gridSpan w:val="5"/>
            <w:vMerge w:val="continue"/>
            <w:noWrap/>
            <w:vAlign w:val="center"/>
          </w:tcPr>
          <w:p>
            <w:pPr>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中央主管部门</w:t>
            </w:r>
          </w:p>
        </w:tc>
        <w:tc>
          <w:tcPr>
            <w:tcW w:w="7013" w:type="dxa"/>
            <w:gridSpan w:val="5"/>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地方主管部门</w:t>
            </w:r>
          </w:p>
        </w:tc>
        <w:tc>
          <w:tcPr>
            <w:tcW w:w="2571" w:type="dxa"/>
            <w:gridSpan w:val="2"/>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自治区财政厅、农业农村厅</w:t>
            </w:r>
          </w:p>
        </w:tc>
        <w:tc>
          <w:tcPr>
            <w:tcW w:w="918" w:type="dxa"/>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资金使用单位</w:t>
            </w:r>
          </w:p>
        </w:tc>
        <w:tc>
          <w:tcPr>
            <w:tcW w:w="3524" w:type="dxa"/>
            <w:gridSpan w:val="2"/>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县市农业农村局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57" w:type="dxa"/>
            <w:gridSpan w:val="2"/>
            <w:vMerge w:val="restart"/>
            <w:vAlign w:val="center"/>
          </w:tcPr>
          <w:p>
            <w:pPr>
              <w:widowControl/>
              <w:jc w:val="center"/>
              <w:textAlignment w:val="center"/>
              <w:rPr>
                <w:rFonts w:eastAsia="宋体"/>
                <w:color w:val="000000"/>
                <w:sz w:val="16"/>
                <w:szCs w:val="16"/>
              </w:rPr>
            </w:pPr>
            <w:r>
              <w:rPr>
                <w:rFonts w:eastAsia="宋体"/>
                <w:color w:val="000000"/>
                <w:kern w:val="0"/>
                <w:sz w:val="16"/>
                <w:szCs w:val="16"/>
                <w:lang w:bidi="ar"/>
              </w:rPr>
              <w:t>资金投入情况</w:t>
            </w:r>
            <w:r>
              <w:rPr>
                <w:rFonts w:eastAsia="宋体"/>
                <w:color w:val="000000"/>
                <w:kern w:val="0"/>
                <w:sz w:val="16"/>
                <w:szCs w:val="16"/>
                <w:lang w:bidi="ar"/>
              </w:rPr>
              <w:br w:type="textWrapping"/>
            </w:r>
            <w:r>
              <w:rPr>
                <w:rFonts w:eastAsia="宋体"/>
                <w:color w:val="000000"/>
                <w:kern w:val="0"/>
                <w:sz w:val="16"/>
                <w:szCs w:val="16"/>
                <w:lang w:bidi="ar"/>
              </w:rPr>
              <w:t>（万元）</w:t>
            </w:r>
          </w:p>
        </w:tc>
        <w:tc>
          <w:tcPr>
            <w:tcW w:w="1521" w:type="dxa"/>
            <w:noWrap/>
            <w:vAlign w:val="center"/>
          </w:tcPr>
          <w:p>
            <w:pPr>
              <w:rPr>
                <w:rFonts w:eastAsia="宋体"/>
                <w:color w:val="000000"/>
                <w:sz w:val="16"/>
                <w:szCs w:val="16"/>
              </w:rPr>
            </w:pPr>
          </w:p>
        </w:tc>
        <w:tc>
          <w:tcPr>
            <w:tcW w:w="1050"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全年预算数（A)</w:t>
            </w:r>
          </w:p>
        </w:tc>
        <w:tc>
          <w:tcPr>
            <w:tcW w:w="918"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全年执行数（B)</w:t>
            </w:r>
          </w:p>
        </w:tc>
        <w:tc>
          <w:tcPr>
            <w:tcW w:w="3524" w:type="dxa"/>
            <w:gridSpan w:val="2"/>
            <w:vAlign w:val="center"/>
          </w:tcPr>
          <w:p>
            <w:pPr>
              <w:widowControl/>
              <w:jc w:val="center"/>
              <w:textAlignment w:val="center"/>
              <w:rPr>
                <w:rFonts w:eastAsia="宋体"/>
                <w:color w:val="000000"/>
                <w:sz w:val="16"/>
                <w:szCs w:val="16"/>
              </w:rPr>
            </w:pPr>
            <w:r>
              <w:rPr>
                <w:rFonts w:eastAsia="宋体"/>
                <w:color w:val="000000"/>
                <w:kern w:val="0"/>
                <w:sz w:val="16"/>
                <w:szCs w:val="16"/>
                <w:lang w:bidi="ar"/>
              </w:rPr>
              <w:t>预算执行率</w:t>
            </w:r>
            <w:r>
              <w:rPr>
                <w:rFonts w:eastAsia="宋体"/>
                <w:color w:val="000000"/>
                <w:kern w:val="0"/>
                <w:sz w:val="16"/>
                <w:szCs w:val="16"/>
                <w:lang w:bidi="ar"/>
              </w:rPr>
              <w:br w:type="textWrapping"/>
            </w:r>
            <w:r>
              <w:rPr>
                <w:rFonts w:eastAsia="宋体"/>
                <w:color w:val="000000"/>
                <w:kern w:val="0"/>
                <w:sz w:val="16"/>
                <w:szCs w:val="16"/>
                <w:lang w:bidi="ar"/>
              </w:rPr>
              <w:t>（B/A×100%）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vMerge w:val="continue"/>
            <w:vAlign w:val="center"/>
          </w:tcPr>
          <w:p>
            <w:pPr>
              <w:jc w:val="center"/>
              <w:rPr>
                <w:rFonts w:eastAsia="宋体"/>
                <w:color w:val="000000"/>
                <w:sz w:val="16"/>
                <w:szCs w:val="16"/>
              </w:rPr>
            </w:pPr>
          </w:p>
        </w:tc>
        <w:tc>
          <w:tcPr>
            <w:tcW w:w="1521" w:type="dxa"/>
            <w:noWrap/>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年度资金总额：</w:t>
            </w:r>
          </w:p>
        </w:tc>
        <w:tc>
          <w:tcPr>
            <w:tcW w:w="1050" w:type="dxa"/>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1750</w:t>
            </w:r>
          </w:p>
        </w:tc>
        <w:tc>
          <w:tcPr>
            <w:tcW w:w="918" w:type="dxa"/>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1738.21</w:t>
            </w:r>
          </w:p>
        </w:tc>
        <w:tc>
          <w:tcPr>
            <w:tcW w:w="3524" w:type="dxa"/>
            <w:gridSpan w:val="2"/>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val="en-US" w:eastAsia="zh-CN" w:bidi="ar"/>
              </w:rPr>
              <w:t>99.33</w:t>
            </w:r>
            <w:r>
              <w:rPr>
                <w:rFonts w:hint="eastAsia"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vMerge w:val="continue"/>
            <w:vAlign w:val="center"/>
          </w:tcPr>
          <w:p>
            <w:pPr>
              <w:jc w:val="center"/>
              <w:rPr>
                <w:rFonts w:eastAsia="宋体"/>
                <w:color w:val="000000"/>
                <w:sz w:val="16"/>
                <w:szCs w:val="16"/>
              </w:rPr>
            </w:pPr>
          </w:p>
        </w:tc>
        <w:tc>
          <w:tcPr>
            <w:tcW w:w="1521" w:type="dxa"/>
            <w:noWrap/>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其中：中央财政资金</w:t>
            </w:r>
          </w:p>
        </w:tc>
        <w:tc>
          <w:tcPr>
            <w:tcW w:w="1050" w:type="dxa"/>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1750</w:t>
            </w:r>
          </w:p>
        </w:tc>
        <w:tc>
          <w:tcPr>
            <w:tcW w:w="918" w:type="dxa"/>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1738.21</w:t>
            </w:r>
          </w:p>
        </w:tc>
        <w:tc>
          <w:tcPr>
            <w:tcW w:w="3524" w:type="dxa"/>
            <w:gridSpan w:val="2"/>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val="en-US" w:eastAsia="zh-CN" w:bidi="ar"/>
              </w:rPr>
              <w:t>99.33</w:t>
            </w:r>
            <w:r>
              <w:rPr>
                <w:rFonts w:hint="eastAsia"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vMerge w:val="continue"/>
            <w:vAlign w:val="center"/>
          </w:tcPr>
          <w:p>
            <w:pPr>
              <w:jc w:val="center"/>
              <w:rPr>
                <w:rFonts w:eastAsia="宋体"/>
                <w:color w:val="000000"/>
                <w:sz w:val="16"/>
                <w:szCs w:val="16"/>
              </w:rPr>
            </w:pPr>
          </w:p>
        </w:tc>
        <w:tc>
          <w:tcPr>
            <w:tcW w:w="1521" w:type="dxa"/>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地方资金</w:t>
            </w:r>
          </w:p>
        </w:tc>
        <w:tc>
          <w:tcPr>
            <w:tcW w:w="1050" w:type="dxa"/>
            <w:vAlign w:val="center"/>
          </w:tcPr>
          <w:p>
            <w:pPr>
              <w:widowControl/>
              <w:jc w:val="center"/>
              <w:textAlignment w:val="center"/>
              <w:rPr>
                <w:rFonts w:eastAsia="宋体"/>
                <w:color w:val="000000"/>
                <w:sz w:val="16"/>
                <w:szCs w:val="16"/>
              </w:rPr>
            </w:pPr>
          </w:p>
        </w:tc>
        <w:tc>
          <w:tcPr>
            <w:tcW w:w="918" w:type="dxa"/>
            <w:vAlign w:val="center"/>
          </w:tcPr>
          <w:p>
            <w:pPr>
              <w:widowControl/>
              <w:jc w:val="center"/>
              <w:textAlignment w:val="center"/>
              <w:rPr>
                <w:rFonts w:eastAsia="宋体"/>
                <w:color w:val="000000"/>
                <w:sz w:val="16"/>
                <w:szCs w:val="16"/>
              </w:rPr>
            </w:pPr>
          </w:p>
        </w:tc>
        <w:tc>
          <w:tcPr>
            <w:tcW w:w="3524" w:type="dxa"/>
            <w:gridSpan w:val="2"/>
            <w:noWrap/>
            <w:vAlign w:val="center"/>
          </w:tcPr>
          <w:p>
            <w:pPr>
              <w:widowControl/>
              <w:jc w:val="center"/>
              <w:textAlignment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vMerge w:val="continue"/>
            <w:vAlign w:val="center"/>
          </w:tcPr>
          <w:p>
            <w:pPr>
              <w:jc w:val="center"/>
              <w:rPr>
                <w:rFonts w:eastAsia="宋体"/>
                <w:color w:val="000000"/>
                <w:sz w:val="16"/>
                <w:szCs w:val="16"/>
              </w:rPr>
            </w:pPr>
          </w:p>
        </w:tc>
        <w:tc>
          <w:tcPr>
            <w:tcW w:w="1521" w:type="dxa"/>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其他资金</w:t>
            </w:r>
          </w:p>
        </w:tc>
        <w:tc>
          <w:tcPr>
            <w:tcW w:w="1050" w:type="dxa"/>
            <w:noWrap/>
            <w:vAlign w:val="center"/>
          </w:tcPr>
          <w:p>
            <w:pPr>
              <w:jc w:val="center"/>
              <w:rPr>
                <w:rFonts w:eastAsia="宋体"/>
                <w:color w:val="000000"/>
                <w:sz w:val="16"/>
                <w:szCs w:val="16"/>
              </w:rPr>
            </w:pPr>
          </w:p>
        </w:tc>
        <w:tc>
          <w:tcPr>
            <w:tcW w:w="918" w:type="dxa"/>
            <w:noWrap/>
            <w:vAlign w:val="center"/>
          </w:tcPr>
          <w:p>
            <w:pPr>
              <w:jc w:val="center"/>
              <w:rPr>
                <w:rFonts w:eastAsia="宋体"/>
                <w:color w:val="000000"/>
                <w:sz w:val="16"/>
                <w:szCs w:val="16"/>
              </w:rPr>
            </w:pPr>
          </w:p>
        </w:tc>
        <w:tc>
          <w:tcPr>
            <w:tcW w:w="3524" w:type="dxa"/>
            <w:gridSpan w:val="2"/>
            <w:noWrap/>
            <w:vAlign w:val="center"/>
          </w:tcPr>
          <w:p>
            <w:pPr>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57" w:type="dxa"/>
            <w:gridSpan w:val="2"/>
            <w:vMerge w:val="restart"/>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资金管理情况</w:t>
            </w:r>
          </w:p>
        </w:tc>
        <w:tc>
          <w:tcPr>
            <w:tcW w:w="1521" w:type="dxa"/>
            <w:noWrap/>
            <w:vAlign w:val="center"/>
          </w:tcPr>
          <w:p>
            <w:pPr>
              <w:rPr>
                <w:rFonts w:eastAsia="宋体"/>
                <w:color w:val="000000"/>
                <w:sz w:val="16"/>
                <w:szCs w:val="16"/>
              </w:rPr>
            </w:pPr>
          </w:p>
        </w:tc>
        <w:tc>
          <w:tcPr>
            <w:tcW w:w="1968" w:type="dxa"/>
            <w:gridSpan w:val="2"/>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情况说明</w:t>
            </w:r>
          </w:p>
        </w:tc>
        <w:tc>
          <w:tcPr>
            <w:tcW w:w="3524" w:type="dxa"/>
            <w:gridSpan w:val="2"/>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分配科学性</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根据全国对新疆小麦、玉米重大农作物病虫害以及农区蝗虫监测防控工作任务安排，结合“虫口夺粮”保丰收目标任务和新疆生产实际，研究制定“202</w:t>
            </w:r>
            <w:r>
              <w:rPr>
                <w:rFonts w:hint="eastAsia" w:eastAsia="宋体"/>
                <w:color w:val="000000"/>
                <w:kern w:val="0"/>
                <w:sz w:val="16"/>
                <w:szCs w:val="16"/>
                <w:lang w:bidi="ar"/>
              </w:rPr>
              <w:t>4</w:t>
            </w:r>
            <w:r>
              <w:rPr>
                <w:rFonts w:eastAsia="宋体"/>
                <w:color w:val="000000"/>
                <w:kern w:val="0"/>
                <w:sz w:val="16"/>
                <w:szCs w:val="16"/>
                <w:lang w:bidi="ar"/>
              </w:rPr>
              <w:t>年农业防灾减灾资金（防灾救灾第</w:t>
            </w:r>
            <w:r>
              <w:rPr>
                <w:rFonts w:hint="eastAsia" w:eastAsia="宋体"/>
                <w:color w:val="000000"/>
                <w:kern w:val="0"/>
                <w:sz w:val="16"/>
                <w:szCs w:val="16"/>
                <w:lang w:bidi="ar"/>
              </w:rPr>
              <w:t>三</w:t>
            </w:r>
            <w:r>
              <w:rPr>
                <w:rFonts w:eastAsia="宋体"/>
                <w:color w:val="000000"/>
                <w:kern w:val="0"/>
                <w:sz w:val="16"/>
                <w:szCs w:val="16"/>
                <w:lang w:bidi="ar"/>
              </w:rPr>
              <w:t>批）建议分配方案、实施方案”，统筹全区病虫害防控工作重点，结合粮食产能任务，测算资金分配额度，将各项任务分解到各地（州、市）。</w:t>
            </w: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下达及时性</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202</w:t>
            </w:r>
            <w:r>
              <w:rPr>
                <w:rFonts w:hint="eastAsia" w:eastAsia="宋体"/>
                <w:color w:val="000000"/>
                <w:kern w:val="0"/>
                <w:sz w:val="16"/>
                <w:szCs w:val="16"/>
                <w:lang w:bidi="ar"/>
              </w:rPr>
              <w:t>4</w:t>
            </w:r>
            <w:r>
              <w:rPr>
                <w:rFonts w:eastAsia="宋体"/>
                <w:color w:val="000000"/>
                <w:kern w:val="0"/>
                <w:sz w:val="16"/>
                <w:szCs w:val="16"/>
                <w:lang w:bidi="ar"/>
              </w:rPr>
              <w:t>年4月，《财政部关于下达202</w:t>
            </w:r>
            <w:r>
              <w:rPr>
                <w:rFonts w:hint="eastAsia" w:eastAsia="宋体"/>
                <w:color w:val="000000"/>
                <w:kern w:val="0"/>
                <w:sz w:val="16"/>
                <w:szCs w:val="16"/>
                <w:lang w:bidi="ar"/>
              </w:rPr>
              <w:t>4</w:t>
            </w:r>
            <w:r>
              <w:rPr>
                <w:rFonts w:eastAsia="宋体"/>
                <w:color w:val="000000"/>
                <w:kern w:val="0"/>
                <w:sz w:val="16"/>
                <w:szCs w:val="16"/>
                <w:lang w:bidi="ar"/>
              </w:rPr>
              <w:t>年农业防灾减灾和水利救灾资金预算（防灾救灾第</w:t>
            </w:r>
            <w:r>
              <w:rPr>
                <w:rFonts w:hint="eastAsia" w:eastAsia="宋体"/>
                <w:color w:val="000000"/>
                <w:kern w:val="0"/>
                <w:sz w:val="16"/>
                <w:szCs w:val="16"/>
                <w:lang w:bidi="ar"/>
              </w:rPr>
              <w:t>三</w:t>
            </w:r>
            <w:r>
              <w:rPr>
                <w:rFonts w:eastAsia="宋体"/>
                <w:color w:val="000000"/>
                <w:kern w:val="0"/>
                <w:sz w:val="16"/>
                <w:szCs w:val="16"/>
                <w:lang w:bidi="ar"/>
              </w:rPr>
              <w:t>批）的通知》（财农〔202</w:t>
            </w:r>
            <w:r>
              <w:rPr>
                <w:rFonts w:hint="eastAsia" w:eastAsia="宋体"/>
                <w:color w:val="000000"/>
                <w:kern w:val="0"/>
                <w:sz w:val="16"/>
                <w:szCs w:val="16"/>
                <w:lang w:bidi="ar"/>
              </w:rPr>
              <w:t>4</w:t>
            </w:r>
            <w:r>
              <w:rPr>
                <w:rFonts w:eastAsia="宋体"/>
                <w:color w:val="000000"/>
                <w:kern w:val="0"/>
                <w:sz w:val="16"/>
                <w:szCs w:val="16"/>
                <w:lang w:bidi="ar"/>
              </w:rPr>
              <w:t>〕2</w:t>
            </w:r>
            <w:r>
              <w:rPr>
                <w:rFonts w:hint="eastAsia" w:eastAsia="宋体"/>
                <w:color w:val="000000"/>
                <w:kern w:val="0"/>
                <w:sz w:val="16"/>
                <w:szCs w:val="16"/>
                <w:lang w:bidi="ar"/>
              </w:rPr>
              <w:t>0</w:t>
            </w:r>
            <w:r>
              <w:rPr>
                <w:rFonts w:eastAsia="宋体"/>
                <w:color w:val="000000"/>
                <w:kern w:val="0"/>
                <w:sz w:val="16"/>
                <w:szCs w:val="16"/>
                <w:lang w:bidi="ar"/>
              </w:rPr>
              <w:t>号）。2023年5月，印发《关于下达2023年中央农业防灾减灾和水利救灾资金预算（防灾救灾第一批）的通知》（新财农〔202</w:t>
            </w:r>
            <w:r>
              <w:rPr>
                <w:rFonts w:hint="eastAsia" w:eastAsia="宋体"/>
                <w:color w:val="000000"/>
                <w:kern w:val="0"/>
                <w:sz w:val="16"/>
                <w:szCs w:val="16"/>
                <w:lang w:bidi="ar"/>
              </w:rPr>
              <w:t>4</w:t>
            </w:r>
            <w:r>
              <w:rPr>
                <w:rFonts w:eastAsia="宋体"/>
                <w:color w:val="000000"/>
                <w:kern w:val="0"/>
                <w:sz w:val="16"/>
                <w:szCs w:val="16"/>
                <w:lang w:bidi="ar"/>
              </w:rPr>
              <w:t>〕3</w:t>
            </w:r>
            <w:r>
              <w:rPr>
                <w:rFonts w:hint="eastAsia" w:eastAsia="宋体"/>
                <w:color w:val="000000"/>
                <w:kern w:val="0"/>
                <w:sz w:val="16"/>
                <w:szCs w:val="16"/>
                <w:lang w:bidi="ar"/>
              </w:rPr>
              <w:t>1</w:t>
            </w:r>
            <w:r>
              <w:rPr>
                <w:rFonts w:eastAsia="宋体"/>
                <w:color w:val="000000"/>
                <w:kern w:val="0"/>
                <w:sz w:val="16"/>
                <w:szCs w:val="16"/>
                <w:lang w:bidi="ar"/>
              </w:rPr>
              <w:t>号）。资金分解下达及时。</w:t>
            </w: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拨付合规性</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根据自治区财政厅工作要求，按照《关于下达202</w:t>
            </w:r>
            <w:r>
              <w:rPr>
                <w:rFonts w:hint="eastAsia" w:eastAsia="宋体"/>
                <w:color w:val="000000"/>
                <w:kern w:val="0"/>
                <w:sz w:val="16"/>
                <w:szCs w:val="16"/>
                <w:lang w:bidi="ar"/>
              </w:rPr>
              <w:t>4</w:t>
            </w:r>
            <w:r>
              <w:rPr>
                <w:rFonts w:eastAsia="宋体"/>
                <w:color w:val="000000"/>
                <w:kern w:val="0"/>
                <w:sz w:val="16"/>
                <w:szCs w:val="16"/>
                <w:lang w:bidi="ar"/>
              </w:rPr>
              <w:t>年中央农业防灾减灾和水利救灾资金预算（防灾救灾第</w:t>
            </w:r>
            <w:r>
              <w:rPr>
                <w:rFonts w:hint="eastAsia" w:eastAsia="宋体"/>
                <w:color w:val="000000"/>
                <w:kern w:val="0"/>
                <w:sz w:val="16"/>
                <w:szCs w:val="16"/>
                <w:lang w:bidi="ar"/>
              </w:rPr>
              <w:t>三</w:t>
            </w:r>
            <w:r>
              <w:rPr>
                <w:rFonts w:eastAsia="宋体"/>
                <w:color w:val="000000"/>
                <w:kern w:val="0"/>
                <w:sz w:val="16"/>
                <w:szCs w:val="16"/>
                <w:lang w:bidi="ar"/>
              </w:rPr>
              <w:t>批）的通知》（新财农〔202</w:t>
            </w:r>
            <w:r>
              <w:rPr>
                <w:rFonts w:hint="eastAsia" w:eastAsia="宋体"/>
                <w:color w:val="000000"/>
                <w:kern w:val="0"/>
                <w:sz w:val="16"/>
                <w:szCs w:val="16"/>
                <w:lang w:bidi="ar"/>
              </w:rPr>
              <w:t>4</w:t>
            </w:r>
            <w:r>
              <w:rPr>
                <w:rFonts w:eastAsia="宋体"/>
                <w:color w:val="000000"/>
                <w:kern w:val="0"/>
                <w:sz w:val="16"/>
                <w:szCs w:val="16"/>
                <w:lang w:bidi="ar"/>
              </w:rPr>
              <w:t>〕3</w:t>
            </w:r>
            <w:r>
              <w:rPr>
                <w:rFonts w:hint="eastAsia" w:eastAsia="宋体"/>
                <w:color w:val="000000"/>
                <w:kern w:val="0"/>
                <w:sz w:val="16"/>
                <w:szCs w:val="16"/>
                <w:lang w:bidi="ar"/>
              </w:rPr>
              <w:t>1</w:t>
            </w:r>
            <w:r>
              <w:rPr>
                <w:rFonts w:eastAsia="宋体"/>
                <w:color w:val="000000"/>
                <w:kern w:val="0"/>
                <w:sz w:val="16"/>
                <w:szCs w:val="16"/>
                <w:lang w:bidi="ar"/>
              </w:rPr>
              <w:t>号）。落实各地（州、市）资金，资金拨付合规。</w:t>
            </w:r>
          </w:p>
          <w:p>
            <w:pPr>
              <w:widowControl/>
              <w:jc w:val="left"/>
              <w:textAlignment w:val="center"/>
              <w:rPr>
                <w:rFonts w:eastAsia="宋体"/>
                <w:color w:val="000000"/>
                <w:kern w:val="0"/>
                <w:sz w:val="16"/>
                <w:szCs w:val="16"/>
                <w:lang w:bidi="ar"/>
              </w:rPr>
            </w:pP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使用规范性</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根据财政部 农业农村部 水利部关于印发《农业生产和水利救灾资金管理办法》的通知（财农〔2022〕79号），资金主要用于：农业生物灾害防治和恢复农业生产所需的物资材料及服务补助，包括购买药剂、药械、燃油、肥料、种子(植物种苗、水产种苗)，应用生物防治、综合防治、生态控制技术，修复诱虫灯等监控设施器械及调运、检疫处理、技术指导培训等费用。</w:t>
            </w:r>
          </w:p>
          <w:p>
            <w:pPr>
              <w:widowControl/>
              <w:jc w:val="left"/>
              <w:textAlignment w:val="center"/>
              <w:rPr>
                <w:rFonts w:eastAsia="宋体"/>
                <w:color w:val="000000"/>
                <w:kern w:val="0"/>
                <w:sz w:val="16"/>
                <w:szCs w:val="16"/>
                <w:lang w:bidi="ar"/>
              </w:rPr>
            </w:pP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执行准确性</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依据农业农村部小麦和玉米重大病虫害、农区蝗虫防治资金、防治面积测算内容。小麦重大病虫害防治资金505万元，按照15元/亩补助，补助面积33.7万亩；玉米重大病虫害防治资金575万元，按照15元/亩补助，补助面积38.3万亩；农区蝗虫防治资金250万元，按照10元/亩补助，补助面积25万亩。</w:t>
            </w:r>
          </w:p>
          <w:p>
            <w:pPr>
              <w:widowControl/>
              <w:jc w:val="left"/>
              <w:textAlignment w:val="center"/>
              <w:rPr>
                <w:rFonts w:eastAsia="宋体"/>
                <w:color w:val="000000"/>
                <w:kern w:val="0"/>
                <w:sz w:val="16"/>
                <w:szCs w:val="16"/>
                <w:lang w:bidi="ar"/>
              </w:rPr>
            </w:pP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预算绩效管理情况</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一是加强绩效运行监控和评价，确保资金安全有效。在资金执行中,重点监控资金使用是否符合预算批复时确定的绩效目标，对绩效目标完成情况组织开展绩效评价；二是加强对资金的申请、分配、使用、管理情况的监督，实行项目台账管理，充分运用自治区农业农村投资项目资金监督管理平台，加强资金日常监管，及时发现、纠正问题；三是各项目实施单位建立专项档案，将资金工作台账，支持内容、补助金额、采购票据等存档备查，对项目资金执行按月调度。</w:t>
            </w: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2057" w:type="dxa"/>
            <w:gridSpan w:val="2"/>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支出责任履行情况</w:t>
            </w:r>
          </w:p>
        </w:tc>
        <w:tc>
          <w:tcPr>
            <w:tcW w:w="1968" w:type="dxa"/>
            <w:gridSpan w:val="2"/>
            <w:vAlign w:val="center"/>
          </w:tcPr>
          <w:p>
            <w:pPr>
              <w:widowControl/>
              <w:jc w:val="left"/>
              <w:textAlignment w:val="center"/>
              <w:rPr>
                <w:rFonts w:eastAsia="宋体"/>
                <w:color w:val="000000"/>
                <w:kern w:val="0"/>
                <w:sz w:val="16"/>
                <w:szCs w:val="16"/>
                <w:lang w:bidi="ar"/>
              </w:rPr>
            </w:pPr>
            <w:r>
              <w:rPr>
                <w:rFonts w:eastAsia="宋体"/>
                <w:color w:val="000000"/>
                <w:kern w:val="0"/>
                <w:sz w:val="16"/>
                <w:szCs w:val="16"/>
                <w:lang w:bidi="ar"/>
              </w:rPr>
              <w:t>对共同财政事权转移支付，按照财政事权和支出责任划分有关规定，足额安排资金履行本级支出责任，支出责任履行情况良好。</w:t>
            </w:r>
          </w:p>
          <w:p>
            <w:pPr>
              <w:widowControl/>
              <w:jc w:val="left"/>
              <w:textAlignment w:val="center"/>
              <w:rPr>
                <w:rFonts w:eastAsia="宋体"/>
                <w:color w:val="000000"/>
                <w:kern w:val="0"/>
                <w:sz w:val="16"/>
                <w:szCs w:val="16"/>
                <w:lang w:eastAsia="zh-Hans" w:bidi="ar"/>
              </w:rPr>
            </w:pPr>
            <w:r>
              <w:rPr>
                <w:rFonts w:eastAsia="宋体"/>
                <w:color w:val="000000"/>
                <w:kern w:val="0"/>
                <w:sz w:val="16"/>
                <w:szCs w:val="16"/>
                <w:lang w:eastAsia="zh-Hans" w:bidi="ar"/>
              </w:rPr>
              <w:t>项目实施乡镇人民政府为直接责任人，地州市县农业农村局为项目主管部门对项目资金使用、监督和验收负主体责任；单位主要领导为项目监督和实施第一责任人</w:t>
            </w:r>
            <w:r>
              <w:rPr>
                <w:rFonts w:eastAsia="宋体"/>
                <w:color w:val="000000"/>
                <w:kern w:val="0"/>
                <w:sz w:val="16"/>
                <w:szCs w:val="16"/>
                <w:lang w:bidi="ar"/>
              </w:rPr>
              <w:t>，</w:t>
            </w:r>
            <w:r>
              <w:rPr>
                <w:rFonts w:eastAsia="宋体"/>
                <w:color w:val="000000"/>
                <w:kern w:val="0"/>
                <w:sz w:val="16"/>
                <w:szCs w:val="16"/>
                <w:lang w:eastAsia="zh-Hans" w:bidi="ar"/>
              </w:rPr>
              <w:t>主动与财政部门做好项目资金对接落实工作，确保资金及时到位，安全使用；</w:t>
            </w:r>
            <w:r>
              <w:rPr>
                <w:rFonts w:eastAsia="宋体"/>
                <w:color w:val="000000"/>
                <w:kern w:val="0"/>
                <w:sz w:val="16"/>
                <w:szCs w:val="16"/>
                <w:lang w:bidi="ar"/>
              </w:rPr>
              <w:t>自治区农业农村厅</w:t>
            </w:r>
            <w:r>
              <w:rPr>
                <w:rFonts w:eastAsia="宋体"/>
                <w:color w:val="000000"/>
                <w:kern w:val="0"/>
                <w:sz w:val="16"/>
                <w:szCs w:val="16"/>
                <w:lang w:eastAsia="zh-Hans" w:bidi="ar"/>
              </w:rPr>
              <w:t>建立项目执行定期调度督导机制，及时掌握项目执行和资金使用情况，</w:t>
            </w:r>
            <w:r>
              <w:rPr>
                <w:rFonts w:eastAsia="宋体"/>
                <w:color w:val="000000"/>
                <w:kern w:val="0"/>
                <w:sz w:val="16"/>
                <w:szCs w:val="16"/>
                <w:lang w:bidi="ar"/>
              </w:rPr>
              <w:t>不断总结经验和问题，</w:t>
            </w:r>
            <w:r>
              <w:rPr>
                <w:rFonts w:eastAsia="宋体"/>
                <w:color w:val="000000"/>
                <w:kern w:val="0"/>
                <w:sz w:val="16"/>
                <w:szCs w:val="16"/>
                <w:lang w:eastAsia="zh-Hans" w:bidi="ar"/>
              </w:rPr>
              <w:t>确保项目执行到位、资金使用规范。</w:t>
            </w:r>
          </w:p>
          <w:p>
            <w:pPr>
              <w:widowControl/>
              <w:jc w:val="left"/>
              <w:textAlignment w:val="center"/>
              <w:rPr>
                <w:rFonts w:eastAsia="宋体"/>
                <w:color w:val="000000"/>
                <w:kern w:val="0"/>
                <w:sz w:val="16"/>
                <w:szCs w:val="16"/>
                <w:lang w:bidi="ar"/>
              </w:rPr>
            </w:pPr>
          </w:p>
        </w:tc>
        <w:tc>
          <w:tcPr>
            <w:tcW w:w="3524" w:type="dxa"/>
            <w:gridSpan w:val="2"/>
            <w:noWrap/>
            <w:vAlign w:val="center"/>
          </w:tcPr>
          <w:p>
            <w:pPr>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6" w:type="dxa"/>
            <w:vMerge w:val="restart"/>
            <w:vAlign w:val="center"/>
          </w:tcPr>
          <w:p>
            <w:pPr>
              <w:widowControl/>
              <w:jc w:val="center"/>
              <w:textAlignment w:val="center"/>
              <w:rPr>
                <w:rFonts w:eastAsia="宋体"/>
                <w:color w:val="000000"/>
                <w:sz w:val="16"/>
                <w:szCs w:val="16"/>
              </w:rPr>
            </w:pPr>
            <w:r>
              <w:rPr>
                <w:rFonts w:eastAsia="宋体"/>
                <w:color w:val="000000"/>
                <w:kern w:val="0"/>
                <w:sz w:val="16"/>
                <w:szCs w:val="16"/>
                <w:lang w:bidi="ar"/>
              </w:rPr>
              <w:t>总体目标完成情况</w:t>
            </w:r>
          </w:p>
        </w:tc>
        <w:tc>
          <w:tcPr>
            <w:tcW w:w="3952" w:type="dxa"/>
            <w:gridSpan w:val="3"/>
            <w:noWrap/>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总体目标</w:t>
            </w:r>
          </w:p>
        </w:tc>
        <w:tc>
          <w:tcPr>
            <w:tcW w:w="4442" w:type="dxa"/>
            <w:gridSpan w:val="3"/>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76" w:type="dxa"/>
            <w:vMerge w:val="continue"/>
            <w:vAlign w:val="center"/>
          </w:tcPr>
          <w:p>
            <w:pPr>
              <w:jc w:val="center"/>
              <w:rPr>
                <w:rFonts w:eastAsia="宋体"/>
                <w:color w:val="000000"/>
                <w:sz w:val="16"/>
                <w:szCs w:val="16"/>
              </w:rPr>
            </w:pPr>
          </w:p>
        </w:tc>
        <w:tc>
          <w:tcPr>
            <w:tcW w:w="3952" w:type="dxa"/>
            <w:gridSpan w:val="3"/>
            <w:vMerge w:val="restart"/>
            <w:vAlign w:val="center"/>
          </w:tcPr>
          <w:p>
            <w:pPr>
              <w:widowControl/>
              <w:jc w:val="left"/>
              <w:textAlignment w:val="center"/>
              <w:rPr>
                <w:rFonts w:eastAsia="宋体"/>
                <w:color w:val="000000"/>
                <w:kern w:val="0"/>
                <w:sz w:val="16"/>
                <w:szCs w:val="16"/>
                <w:lang w:bidi="ar"/>
              </w:rPr>
            </w:pPr>
            <w:r>
              <w:rPr>
                <w:rFonts w:hint="eastAsia" w:eastAsia="宋体"/>
                <w:color w:val="000000"/>
                <w:kern w:val="0"/>
                <w:sz w:val="16"/>
                <w:szCs w:val="16"/>
                <w:lang w:bidi="ar"/>
              </w:rPr>
              <w:t>全力保障粮食生产安全，开展小麦、玉米重大病虫疫情和农区蝗虫监测预警和统防统治，完成“虫口夺粮”保丰收防控任务，有效遏制重大农作物病虫害暴发流行成灾，重大病虫疫情防控面积不少于1840万亩次，统防统治覆盖率大于46%，重发区域病虫害得到有效控制，严防大面积暴发成灾，最大限度降低危害损失。</w:t>
            </w:r>
            <w:r>
              <w:rPr>
                <w:rFonts w:eastAsia="宋体"/>
                <w:color w:val="000000"/>
                <w:kern w:val="0"/>
                <w:sz w:val="16"/>
                <w:szCs w:val="16"/>
                <w:lang w:bidi="ar"/>
              </w:rPr>
              <w:t>。</w:t>
            </w:r>
          </w:p>
        </w:tc>
        <w:tc>
          <w:tcPr>
            <w:tcW w:w="4442" w:type="dxa"/>
            <w:gridSpan w:val="3"/>
            <w:vMerge w:val="restart"/>
            <w:vAlign w:val="center"/>
          </w:tcPr>
          <w:p>
            <w:pPr>
              <w:widowControl/>
              <w:jc w:val="left"/>
              <w:textAlignment w:val="center"/>
              <w:rPr>
                <w:rFonts w:eastAsia="宋体"/>
                <w:color w:val="000000"/>
                <w:sz w:val="16"/>
                <w:szCs w:val="16"/>
              </w:rPr>
            </w:pPr>
            <w:r>
              <w:rPr>
                <w:rFonts w:hint="eastAsia" w:eastAsia="宋体"/>
                <w:color w:val="000000"/>
                <w:sz w:val="16"/>
                <w:szCs w:val="16"/>
              </w:rPr>
              <w:t>粮食危害损失率控制在3%以下，开展小麦、玉米重大病虫疫情和农区蝗虫监测预警和统防统治，完成“虫口夺粮”保丰收防控任务，1840万亩次，统防统治覆盖率46.3%，重发区域病虫害得到有效控制，严防大面积暴发成灾，最大限度降低危害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76" w:type="dxa"/>
            <w:vMerge w:val="continue"/>
            <w:vAlign w:val="center"/>
          </w:tcPr>
          <w:p>
            <w:pPr>
              <w:jc w:val="center"/>
              <w:rPr>
                <w:rFonts w:eastAsia="宋体"/>
                <w:color w:val="000000"/>
                <w:sz w:val="16"/>
                <w:szCs w:val="16"/>
              </w:rPr>
            </w:pPr>
          </w:p>
        </w:tc>
        <w:tc>
          <w:tcPr>
            <w:tcW w:w="3952" w:type="dxa"/>
            <w:gridSpan w:val="3"/>
            <w:vMerge w:val="continue"/>
            <w:vAlign w:val="center"/>
          </w:tcPr>
          <w:p>
            <w:pPr>
              <w:jc w:val="left"/>
              <w:rPr>
                <w:rFonts w:eastAsia="宋体"/>
                <w:color w:val="000000"/>
                <w:sz w:val="16"/>
                <w:szCs w:val="16"/>
              </w:rPr>
            </w:pPr>
          </w:p>
        </w:tc>
        <w:tc>
          <w:tcPr>
            <w:tcW w:w="4442" w:type="dxa"/>
            <w:gridSpan w:val="3"/>
            <w:vMerge w:val="continue"/>
            <w:vAlign w:val="center"/>
          </w:tcPr>
          <w:p>
            <w:pPr>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76" w:type="dxa"/>
            <w:vMerge w:val="continue"/>
            <w:vAlign w:val="center"/>
          </w:tcPr>
          <w:p>
            <w:pPr>
              <w:jc w:val="center"/>
              <w:rPr>
                <w:rFonts w:eastAsia="宋体"/>
                <w:color w:val="000000"/>
                <w:sz w:val="16"/>
                <w:szCs w:val="16"/>
              </w:rPr>
            </w:pPr>
          </w:p>
        </w:tc>
        <w:tc>
          <w:tcPr>
            <w:tcW w:w="3952" w:type="dxa"/>
            <w:gridSpan w:val="3"/>
            <w:vMerge w:val="continue"/>
            <w:vAlign w:val="center"/>
          </w:tcPr>
          <w:p>
            <w:pPr>
              <w:jc w:val="left"/>
              <w:rPr>
                <w:rFonts w:eastAsia="宋体"/>
                <w:color w:val="000000"/>
                <w:sz w:val="16"/>
                <w:szCs w:val="16"/>
              </w:rPr>
            </w:pPr>
          </w:p>
        </w:tc>
        <w:tc>
          <w:tcPr>
            <w:tcW w:w="4442" w:type="dxa"/>
            <w:gridSpan w:val="3"/>
            <w:vMerge w:val="continue"/>
            <w:vAlign w:val="center"/>
          </w:tcPr>
          <w:p>
            <w:pPr>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676" w:type="dxa"/>
            <w:vMerge w:val="restart"/>
            <w:vAlign w:val="center"/>
          </w:tcPr>
          <w:p>
            <w:pPr>
              <w:widowControl/>
              <w:textAlignment w:val="center"/>
              <w:rPr>
                <w:rFonts w:eastAsia="宋体"/>
                <w:color w:val="000000"/>
                <w:kern w:val="0"/>
                <w:sz w:val="16"/>
                <w:szCs w:val="16"/>
                <w:lang w:bidi="ar"/>
              </w:rPr>
            </w:pPr>
          </w:p>
          <w:p>
            <w:pPr>
              <w:widowControl/>
              <w:jc w:val="center"/>
              <w:textAlignment w:val="center"/>
              <w:rPr>
                <w:rFonts w:eastAsia="宋体"/>
                <w:color w:val="000000"/>
                <w:sz w:val="16"/>
                <w:szCs w:val="16"/>
              </w:rPr>
            </w:pPr>
            <w:r>
              <w:rPr>
                <w:rFonts w:eastAsia="宋体"/>
                <w:color w:val="000000"/>
                <w:kern w:val="0"/>
                <w:sz w:val="16"/>
                <w:szCs w:val="16"/>
                <w:lang w:bidi="ar"/>
              </w:rPr>
              <w:t>绩</w:t>
            </w:r>
            <w:r>
              <w:rPr>
                <w:rFonts w:eastAsia="宋体"/>
                <w:color w:val="000000"/>
                <w:kern w:val="0"/>
                <w:sz w:val="16"/>
                <w:szCs w:val="16"/>
                <w:lang w:bidi="ar"/>
              </w:rPr>
              <w:br w:type="textWrapping"/>
            </w:r>
            <w:r>
              <w:rPr>
                <w:rFonts w:eastAsia="宋体"/>
                <w:color w:val="000000"/>
                <w:kern w:val="0"/>
                <w:sz w:val="16"/>
                <w:szCs w:val="16"/>
                <w:lang w:bidi="ar"/>
              </w:rPr>
              <w:t>效</w:t>
            </w:r>
            <w:r>
              <w:rPr>
                <w:rFonts w:eastAsia="宋体"/>
                <w:color w:val="000000"/>
                <w:kern w:val="0"/>
                <w:sz w:val="16"/>
                <w:szCs w:val="16"/>
                <w:lang w:bidi="ar"/>
              </w:rPr>
              <w:br w:type="textWrapping"/>
            </w:r>
            <w:r>
              <w:rPr>
                <w:rFonts w:eastAsia="宋体"/>
                <w:color w:val="000000"/>
                <w:kern w:val="0"/>
                <w:sz w:val="16"/>
                <w:szCs w:val="16"/>
                <w:lang w:bidi="ar"/>
              </w:rPr>
              <w:t>指</w:t>
            </w:r>
            <w:r>
              <w:rPr>
                <w:rFonts w:eastAsia="宋体"/>
                <w:color w:val="000000"/>
                <w:kern w:val="0"/>
                <w:sz w:val="16"/>
                <w:szCs w:val="16"/>
                <w:lang w:bidi="ar"/>
              </w:rPr>
              <w:br w:type="textWrapping"/>
            </w:r>
            <w:r>
              <w:rPr>
                <w:rFonts w:eastAsia="宋体"/>
                <w:color w:val="000000"/>
                <w:kern w:val="0"/>
                <w:sz w:val="16"/>
                <w:szCs w:val="16"/>
                <w:lang w:bidi="ar"/>
              </w:rPr>
              <w:t>标</w:t>
            </w:r>
          </w:p>
        </w:tc>
        <w:tc>
          <w:tcPr>
            <w:tcW w:w="138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一级指标</w:t>
            </w: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二级指标</w:t>
            </w:r>
          </w:p>
        </w:tc>
        <w:tc>
          <w:tcPr>
            <w:tcW w:w="1050"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三级指标</w:t>
            </w:r>
          </w:p>
        </w:tc>
        <w:tc>
          <w:tcPr>
            <w:tcW w:w="918"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指标值</w:t>
            </w:r>
          </w:p>
        </w:tc>
        <w:tc>
          <w:tcPr>
            <w:tcW w:w="1451" w:type="dxa"/>
            <w:vAlign w:val="center"/>
          </w:tcPr>
          <w:p>
            <w:pPr>
              <w:widowControl/>
              <w:jc w:val="center"/>
              <w:textAlignment w:val="center"/>
              <w:rPr>
                <w:rFonts w:eastAsia="宋体"/>
                <w:color w:val="000000"/>
                <w:sz w:val="16"/>
                <w:szCs w:val="16"/>
              </w:rPr>
            </w:pPr>
            <w:r>
              <w:rPr>
                <w:rFonts w:eastAsia="宋体"/>
                <w:color w:val="000000"/>
                <w:kern w:val="0"/>
                <w:sz w:val="16"/>
                <w:szCs w:val="16"/>
                <w:lang w:bidi="ar"/>
              </w:rPr>
              <w:t>全年实际完成值</w:t>
            </w:r>
          </w:p>
        </w:tc>
        <w:tc>
          <w:tcPr>
            <w:tcW w:w="2073"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6" w:type="dxa"/>
            <w:vMerge w:val="continue"/>
            <w:vAlign w:val="center"/>
          </w:tcPr>
          <w:p>
            <w:pPr>
              <w:jc w:val="center"/>
              <w:rPr>
                <w:rFonts w:eastAsia="宋体"/>
                <w:color w:val="000000"/>
                <w:sz w:val="16"/>
                <w:szCs w:val="16"/>
              </w:rPr>
            </w:pPr>
          </w:p>
        </w:tc>
        <w:tc>
          <w:tcPr>
            <w:tcW w:w="1381" w:type="dxa"/>
            <w:vMerge w:val="restart"/>
            <w:noWrap/>
            <w:vAlign w:val="center"/>
          </w:tcPr>
          <w:p>
            <w:pPr>
              <w:widowControl/>
              <w:jc w:val="center"/>
              <w:textAlignment w:val="center"/>
              <w:rPr>
                <w:rFonts w:eastAsia="宋体"/>
                <w:color w:val="000000"/>
                <w:kern w:val="0"/>
                <w:sz w:val="16"/>
                <w:szCs w:val="16"/>
                <w:lang w:bidi="ar"/>
              </w:rPr>
            </w:pPr>
          </w:p>
          <w:p>
            <w:pPr>
              <w:widowControl/>
              <w:jc w:val="center"/>
              <w:textAlignment w:val="center"/>
              <w:rPr>
                <w:rFonts w:eastAsia="宋体"/>
                <w:color w:val="000000"/>
                <w:kern w:val="0"/>
                <w:sz w:val="16"/>
                <w:szCs w:val="16"/>
                <w:lang w:bidi="ar"/>
              </w:rPr>
            </w:pPr>
          </w:p>
          <w:p>
            <w:pPr>
              <w:widowControl/>
              <w:jc w:val="center"/>
              <w:textAlignment w:val="center"/>
              <w:rPr>
                <w:rFonts w:eastAsia="宋体"/>
                <w:color w:val="000000"/>
                <w:sz w:val="16"/>
                <w:szCs w:val="16"/>
              </w:rPr>
            </w:pPr>
            <w:r>
              <w:rPr>
                <w:rFonts w:eastAsia="宋体"/>
                <w:color w:val="000000"/>
                <w:kern w:val="0"/>
                <w:sz w:val="16"/>
                <w:szCs w:val="16"/>
                <w:lang w:bidi="ar"/>
              </w:rPr>
              <w:t>产出指标</w:t>
            </w: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数量指标</w:t>
            </w:r>
          </w:p>
        </w:tc>
        <w:tc>
          <w:tcPr>
            <w:tcW w:w="1050" w:type="dxa"/>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spacing w:val="1"/>
                <w:sz w:val="16"/>
                <w:szCs w:val="16"/>
              </w:rPr>
              <w:t>重大病虫疫情防控面积</w:t>
            </w:r>
          </w:p>
        </w:tc>
        <w:tc>
          <w:tcPr>
            <w:tcW w:w="918" w:type="dxa"/>
            <w:vAlign w:val="center"/>
          </w:tcPr>
          <w:p>
            <w:pPr>
              <w:widowControl/>
              <w:jc w:val="center"/>
              <w:textAlignment w:val="center"/>
              <w:rPr>
                <w:rFonts w:eastAsia="宋体"/>
                <w:color w:val="000000"/>
                <w:sz w:val="16"/>
                <w:szCs w:val="16"/>
              </w:rPr>
            </w:pPr>
            <w:r>
              <w:rPr>
                <w:rFonts w:eastAsia="宋体"/>
                <w:color w:val="000000"/>
                <w:sz w:val="16"/>
                <w:szCs w:val="16"/>
              </w:rPr>
              <w:t>≥</w:t>
            </w:r>
            <w:r>
              <w:rPr>
                <w:rFonts w:hint="eastAsia" w:eastAsia="宋体"/>
                <w:color w:val="000000"/>
                <w:sz w:val="16"/>
                <w:szCs w:val="16"/>
              </w:rPr>
              <w:t>1840</w:t>
            </w:r>
            <w:r>
              <w:rPr>
                <w:rFonts w:eastAsia="宋体"/>
                <w:color w:val="000000"/>
                <w:sz w:val="16"/>
                <w:szCs w:val="16"/>
              </w:rPr>
              <w:t>万亩</w:t>
            </w:r>
            <w:r>
              <w:rPr>
                <w:rFonts w:hint="eastAsia" w:eastAsia="宋体"/>
                <w:color w:val="000000"/>
                <w:sz w:val="16"/>
                <w:szCs w:val="16"/>
              </w:rPr>
              <w:t>次</w:t>
            </w:r>
          </w:p>
        </w:tc>
        <w:tc>
          <w:tcPr>
            <w:tcW w:w="1451" w:type="dxa"/>
            <w:vAlign w:val="center"/>
          </w:tcPr>
          <w:p>
            <w:pPr>
              <w:widowControl/>
              <w:jc w:val="center"/>
              <w:textAlignment w:val="center"/>
              <w:rPr>
                <w:rFonts w:eastAsia="宋体"/>
                <w:color w:val="000000"/>
                <w:sz w:val="16"/>
                <w:szCs w:val="16"/>
              </w:rPr>
            </w:pPr>
            <w:r>
              <w:rPr>
                <w:rFonts w:hint="eastAsia" w:eastAsia="宋体"/>
                <w:color w:val="000000"/>
                <w:sz w:val="16"/>
                <w:szCs w:val="16"/>
              </w:rPr>
              <w:t>1895.61万亩次</w:t>
            </w:r>
          </w:p>
        </w:tc>
        <w:tc>
          <w:tcPr>
            <w:tcW w:w="2073" w:type="dxa"/>
            <w:noWrap/>
            <w:vAlign w:val="center"/>
          </w:tcPr>
          <w:p>
            <w:pP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76" w:type="dxa"/>
            <w:vMerge w:val="continue"/>
            <w:vAlign w:val="center"/>
          </w:tcPr>
          <w:p>
            <w:pPr>
              <w:jc w:val="center"/>
              <w:rPr>
                <w:rFonts w:eastAsia="宋体"/>
                <w:color w:val="000000"/>
                <w:sz w:val="16"/>
                <w:szCs w:val="16"/>
              </w:rPr>
            </w:pPr>
          </w:p>
        </w:tc>
        <w:tc>
          <w:tcPr>
            <w:tcW w:w="1381" w:type="dxa"/>
            <w:vMerge w:val="continue"/>
            <w:noWrap/>
            <w:vAlign w:val="center"/>
          </w:tcPr>
          <w:p>
            <w:pPr>
              <w:jc w:val="center"/>
              <w:rPr>
                <w:rFonts w:eastAsia="宋体"/>
                <w:color w:val="000000"/>
                <w:sz w:val="16"/>
                <w:szCs w:val="16"/>
              </w:rPr>
            </w:pPr>
          </w:p>
        </w:tc>
        <w:tc>
          <w:tcPr>
            <w:tcW w:w="1521" w:type="dxa"/>
            <w:vMerge w:val="restart"/>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质量指标</w:t>
            </w:r>
          </w:p>
        </w:tc>
        <w:tc>
          <w:tcPr>
            <w:tcW w:w="1050" w:type="dxa"/>
            <w:vAlign w:val="center"/>
          </w:tcPr>
          <w:p>
            <w:pPr>
              <w:widowControl/>
              <w:jc w:val="center"/>
              <w:textAlignment w:val="center"/>
              <w:rPr>
                <w:rFonts w:eastAsia="宋体"/>
                <w:color w:val="000000"/>
                <w:sz w:val="16"/>
                <w:szCs w:val="16"/>
              </w:rPr>
            </w:pPr>
            <w:r>
              <w:rPr>
                <w:rFonts w:hint="eastAsia" w:ascii="宋体" w:hAnsi="宋体" w:eastAsia="宋体" w:cs="宋体"/>
                <w:spacing w:val="1"/>
                <w:sz w:val="16"/>
                <w:szCs w:val="16"/>
              </w:rPr>
              <w:t>防控效果</w:t>
            </w:r>
          </w:p>
        </w:tc>
        <w:tc>
          <w:tcPr>
            <w:tcW w:w="918" w:type="dxa"/>
            <w:vAlign w:val="center"/>
          </w:tcPr>
          <w:p>
            <w:pPr>
              <w:widowControl/>
              <w:jc w:val="center"/>
              <w:textAlignment w:val="center"/>
              <w:rPr>
                <w:rFonts w:eastAsia="宋体"/>
                <w:color w:val="000000"/>
                <w:sz w:val="16"/>
                <w:szCs w:val="16"/>
              </w:rPr>
            </w:pPr>
            <w:r>
              <w:rPr>
                <w:rFonts w:hint="eastAsia" w:ascii="宋体" w:hAnsi="宋体" w:eastAsia="宋体" w:cs="宋体"/>
                <w:spacing w:val="3"/>
                <w:sz w:val="16"/>
                <w:szCs w:val="16"/>
              </w:rPr>
              <w:t>有效遇制县发流行成灾</w:t>
            </w:r>
          </w:p>
        </w:tc>
        <w:tc>
          <w:tcPr>
            <w:tcW w:w="1451" w:type="dxa"/>
            <w:vAlign w:val="center"/>
          </w:tcPr>
          <w:p>
            <w:pPr>
              <w:widowControl/>
              <w:jc w:val="center"/>
              <w:textAlignment w:val="center"/>
              <w:rPr>
                <w:rFonts w:eastAsia="宋体"/>
                <w:color w:val="000000"/>
                <w:sz w:val="16"/>
                <w:szCs w:val="16"/>
              </w:rPr>
            </w:pPr>
            <w:r>
              <w:rPr>
                <w:rFonts w:hint="eastAsia" w:eastAsia="宋体"/>
                <w:color w:val="000000"/>
                <w:kern w:val="0"/>
                <w:sz w:val="16"/>
                <w:szCs w:val="16"/>
                <w:lang w:bidi="ar"/>
              </w:rPr>
              <w:t>有效遇制县发流行成灾</w:t>
            </w:r>
          </w:p>
        </w:tc>
        <w:tc>
          <w:tcPr>
            <w:tcW w:w="2073" w:type="dxa"/>
            <w:noWrap/>
            <w:vAlign w:val="center"/>
          </w:tcPr>
          <w:p>
            <w:pP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76" w:type="dxa"/>
            <w:vMerge w:val="continue"/>
            <w:vAlign w:val="center"/>
          </w:tcPr>
          <w:p>
            <w:pPr>
              <w:widowControl/>
              <w:jc w:val="center"/>
              <w:textAlignment w:val="center"/>
            </w:pPr>
          </w:p>
        </w:tc>
        <w:tc>
          <w:tcPr>
            <w:tcW w:w="1381" w:type="dxa"/>
            <w:vMerge w:val="continue"/>
            <w:noWrap/>
            <w:vAlign w:val="center"/>
          </w:tcPr>
          <w:p>
            <w:pPr>
              <w:widowControl/>
              <w:jc w:val="center"/>
              <w:textAlignment w:val="center"/>
            </w:pPr>
          </w:p>
        </w:tc>
        <w:tc>
          <w:tcPr>
            <w:tcW w:w="1521" w:type="dxa"/>
            <w:vMerge w:val="continue"/>
            <w:noWrap/>
            <w:vAlign w:val="center"/>
          </w:tcPr>
          <w:p>
            <w:pPr>
              <w:widowControl/>
              <w:jc w:val="center"/>
              <w:textAlignment w:val="center"/>
            </w:pPr>
          </w:p>
        </w:tc>
        <w:tc>
          <w:tcPr>
            <w:tcW w:w="1050" w:type="dxa"/>
            <w:vAlign w:val="center"/>
          </w:tcPr>
          <w:p>
            <w:pPr>
              <w:widowControl/>
              <w:jc w:val="center"/>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项目实施区统</w:t>
            </w:r>
          </w:p>
          <w:p>
            <w:pPr>
              <w:widowControl/>
              <w:jc w:val="center"/>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防统治夜盖率</w:t>
            </w:r>
          </w:p>
        </w:tc>
        <w:tc>
          <w:tcPr>
            <w:tcW w:w="918" w:type="dxa"/>
            <w:vAlign w:val="center"/>
          </w:tcPr>
          <w:p>
            <w:pPr>
              <w:widowControl/>
              <w:jc w:val="center"/>
              <w:textAlignment w:val="center"/>
              <w:rPr>
                <w:rFonts w:hint="eastAsia" w:ascii="宋体" w:hAnsi="宋体" w:eastAsia="宋体" w:cs="宋体"/>
                <w:spacing w:val="3"/>
                <w:sz w:val="16"/>
                <w:szCs w:val="16"/>
              </w:rPr>
            </w:pPr>
            <w:r>
              <w:rPr>
                <w:rFonts w:hint="eastAsia" w:eastAsia="宋体"/>
                <w:color w:val="000000"/>
                <w:sz w:val="16"/>
                <w:szCs w:val="16"/>
              </w:rPr>
              <w:t>＞46%</w:t>
            </w:r>
          </w:p>
        </w:tc>
        <w:tc>
          <w:tcPr>
            <w:tcW w:w="1451" w:type="dxa"/>
            <w:vAlign w:val="center"/>
          </w:tcPr>
          <w:p>
            <w:pPr>
              <w:widowControl/>
              <w:jc w:val="center"/>
              <w:textAlignment w:val="center"/>
              <w:rPr>
                <w:rFonts w:hint="eastAsia" w:ascii="宋体" w:hAnsi="宋体" w:eastAsia="宋体" w:cs="宋体"/>
                <w:spacing w:val="3"/>
                <w:sz w:val="16"/>
                <w:szCs w:val="16"/>
              </w:rPr>
            </w:pPr>
            <w:r>
              <w:rPr>
                <w:rFonts w:hint="eastAsia" w:eastAsia="宋体"/>
                <w:color w:val="000000"/>
                <w:sz w:val="16"/>
                <w:szCs w:val="16"/>
              </w:rPr>
              <w:t>46.3%</w:t>
            </w:r>
          </w:p>
        </w:tc>
        <w:tc>
          <w:tcPr>
            <w:tcW w:w="2073" w:type="dxa"/>
            <w:noWrap/>
            <w:vAlign w:val="center"/>
          </w:tcPr>
          <w:p>
            <w:pPr>
              <w:widowControl/>
              <w:jc w:val="center"/>
              <w:textAlignment w:val="center"/>
              <w:rPr>
                <w:rFonts w:hint="eastAsia" w:ascii="宋体" w:hAnsi="宋体" w:eastAsia="宋体" w:cs="宋体"/>
                <w:spacing w:val="3"/>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6" w:type="dxa"/>
            <w:vMerge w:val="continue"/>
            <w:vAlign w:val="center"/>
          </w:tcPr>
          <w:p>
            <w:pPr>
              <w:jc w:val="center"/>
              <w:rPr>
                <w:rFonts w:eastAsia="宋体"/>
                <w:color w:val="000000"/>
                <w:sz w:val="16"/>
                <w:szCs w:val="16"/>
              </w:rPr>
            </w:pPr>
          </w:p>
        </w:tc>
        <w:tc>
          <w:tcPr>
            <w:tcW w:w="1381" w:type="dxa"/>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时效指标</w:t>
            </w:r>
          </w:p>
        </w:tc>
        <w:tc>
          <w:tcPr>
            <w:tcW w:w="1050" w:type="dxa"/>
            <w:vAlign w:val="center"/>
          </w:tcPr>
          <w:p>
            <w:pPr>
              <w:widowControl/>
              <w:jc w:val="left"/>
              <w:textAlignment w:val="center"/>
              <w:rPr>
                <w:rFonts w:eastAsia="宋体"/>
                <w:color w:val="000000"/>
                <w:sz w:val="16"/>
                <w:szCs w:val="16"/>
              </w:rPr>
            </w:pPr>
            <w:r>
              <w:rPr>
                <w:rFonts w:hint="eastAsia" w:ascii="宋体" w:hAnsi="宋体" w:eastAsia="宋体" w:cs="宋体"/>
                <w:spacing w:val="3"/>
                <w:sz w:val="16"/>
                <w:szCs w:val="16"/>
              </w:rPr>
              <w:t>农作物病虫害防治组织实施时效</w:t>
            </w:r>
          </w:p>
        </w:tc>
        <w:tc>
          <w:tcPr>
            <w:tcW w:w="918" w:type="dxa"/>
            <w:vAlign w:val="center"/>
          </w:tcPr>
          <w:p>
            <w:pPr>
              <w:widowControl/>
              <w:jc w:val="left"/>
              <w:textAlignment w:val="center"/>
              <w:rPr>
                <w:rFonts w:eastAsia="宋体"/>
                <w:color w:val="000000"/>
                <w:sz w:val="16"/>
                <w:szCs w:val="16"/>
              </w:rPr>
            </w:pPr>
            <w:r>
              <w:rPr>
                <w:rFonts w:hint="eastAsia" w:eastAsia="宋体"/>
                <w:color w:val="000000"/>
                <w:sz w:val="16"/>
                <w:szCs w:val="16"/>
              </w:rPr>
              <w:t>在农作物病虫害防控期及时组织实施.</w:t>
            </w:r>
          </w:p>
        </w:tc>
        <w:tc>
          <w:tcPr>
            <w:tcW w:w="1451" w:type="dxa"/>
            <w:vAlign w:val="center"/>
          </w:tcPr>
          <w:p>
            <w:pPr>
              <w:widowControl/>
              <w:jc w:val="center"/>
              <w:textAlignment w:val="center"/>
              <w:rPr>
                <w:rFonts w:hint="default" w:eastAsia="宋体"/>
                <w:color w:val="000000"/>
                <w:sz w:val="16"/>
                <w:szCs w:val="16"/>
                <w:lang w:val="en-US" w:eastAsia="zh-CN"/>
              </w:rPr>
            </w:pPr>
            <w:r>
              <w:rPr>
                <w:rFonts w:hint="eastAsia" w:eastAsia="宋体"/>
                <w:color w:val="000000"/>
                <w:kern w:val="0"/>
                <w:sz w:val="16"/>
                <w:szCs w:val="16"/>
                <w:lang w:val="en-US" w:eastAsia="zh-CN" w:bidi="ar"/>
              </w:rPr>
              <w:t>100%</w:t>
            </w:r>
          </w:p>
        </w:tc>
        <w:tc>
          <w:tcPr>
            <w:tcW w:w="2073" w:type="dxa"/>
            <w:noWrap/>
            <w:vAlign w:val="center"/>
          </w:tcPr>
          <w:p>
            <w:pP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6" w:type="dxa"/>
            <w:vMerge w:val="continue"/>
            <w:vAlign w:val="center"/>
          </w:tcPr>
          <w:p>
            <w:pPr>
              <w:jc w:val="center"/>
              <w:rPr>
                <w:rFonts w:eastAsia="宋体"/>
                <w:color w:val="000000"/>
                <w:sz w:val="16"/>
                <w:szCs w:val="16"/>
              </w:rPr>
            </w:pPr>
          </w:p>
        </w:tc>
        <w:tc>
          <w:tcPr>
            <w:tcW w:w="1381" w:type="dxa"/>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成本指标</w:t>
            </w:r>
          </w:p>
        </w:tc>
        <w:tc>
          <w:tcPr>
            <w:tcW w:w="1050" w:type="dxa"/>
            <w:vAlign w:val="center"/>
          </w:tcPr>
          <w:p>
            <w:pPr>
              <w:widowControl/>
              <w:jc w:val="left"/>
              <w:textAlignment w:val="center"/>
              <w:rPr>
                <w:rFonts w:eastAsia="宋体"/>
                <w:color w:val="000000"/>
                <w:sz w:val="16"/>
                <w:szCs w:val="16"/>
              </w:rPr>
            </w:pPr>
            <w:r>
              <w:rPr>
                <w:rFonts w:eastAsia="宋体"/>
                <w:color w:val="000000"/>
                <w:sz w:val="16"/>
                <w:szCs w:val="16"/>
              </w:rPr>
              <w:t>采购物资或服务价格</w:t>
            </w:r>
          </w:p>
        </w:tc>
        <w:tc>
          <w:tcPr>
            <w:tcW w:w="918" w:type="dxa"/>
            <w:vAlign w:val="center"/>
          </w:tcPr>
          <w:p>
            <w:pPr>
              <w:widowControl/>
              <w:jc w:val="center"/>
              <w:textAlignment w:val="center"/>
              <w:rPr>
                <w:rFonts w:eastAsia="宋体"/>
                <w:color w:val="000000"/>
                <w:sz w:val="16"/>
                <w:szCs w:val="16"/>
              </w:rPr>
            </w:pPr>
            <w:r>
              <w:rPr>
                <w:rFonts w:eastAsia="宋体"/>
                <w:color w:val="000000"/>
                <w:sz w:val="16"/>
                <w:szCs w:val="16"/>
              </w:rPr>
              <w:t>不超过市场价格</w:t>
            </w:r>
          </w:p>
        </w:tc>
        <w:tc>
          <w:tcPr>
            <w:tcW w:w="1451" w:type="dxa"/>
            <w:vAlign w:val="center"/>
          </w:tcPr>
          <w:p>
            <w:pPr>
              <w:widowControl/>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100%</w:t>
            </w:r>
          </w:p>
        </w:tc>
        <w:tc>
          <w:tcPr>
            <w:tcW w:w="2073" w:type="dxa"/>
            <w:vAlign w:val="center"/>
          </w:tcPr>
          <w:p>
            <w:pPr>
              <w:widowControl/>
              <w:jc w:val="left"/>
              <w:textAlignment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76" w:type="dxa"/>
            <w:vMerge w:val="continue"/>
            <w:vAlign w:val="center"/>
          </w:tcPr>
          <w:p>
            <w:pPr>
              <w:widowControl/>
              <w:jc w:val="center"/>
              <w:textAlignment w:val="center"/>
            </w:pPr>
          </w:p>
        </w:tc>
        <w:tc>
          <w:tcPr>
            <w:tcW w:w="1381" w:type="dxa"/>
            <w:vMerge w:val="restart"/>
            <w:noWrap/>
            <w:vAlign w:val="center"/>
          </w:tcPr>
          <w:p>
            <w:pPr>
              <w:widowControl/>
              <w:jc w:val="center"/>
              <w:textAlignment w:val="center"/>
            </w:pPr>
            <w:r>
              <w:rPr>
                <w:rFonts w:hint="eastAsia" w:eastAsia="宋体"/>
                <w:color w:val="000000"/>
                <w:kern w:val="0"/>
                <w:sz w:val="16"/>
                <w:szCs w:val="16"/>
                <w:lang w:bidi="ar"/>
              </w:rPr>
              <w:t>效益指标</w:t>
            </w:r>
          </w:p>
        </w:tc>
        <w:tc>
          <w:tcPr>
            <w:tcW w:w="1521" w:type="dxa"/>
            <w:noWrap/>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社会效益指标</w:t>
            </w:r>
          </w:p>
        </w:tc>
        <w:tc>
          <w:tcPr>
            <w:tcW w:w="1050" w:type="dxa"/>
            <w:vAlign w:val="center"/>
          </w:tcPr>
          <w:p>
            <w:pPr>
              <w:widowControl/>
              <w:jc w:val="left"/>
              <w:textAlignment w:val="center"/>
              <w:rPr>
                <w:rFonts w:hint="eastAsia" w:ascii="宋体" w:hAnsi="宋体" w:eastAsia="宋体" w:cs="宋体"/>
                <w:spacing w:val="3"/>
                <w:sz w:val="16"/>
                <w:szCs w:val="16"/>
              </w:rPr>
            </w:pPr>
            <w:bookmarkStart w:id="3" w:name="_Hlk192015808"/>
            <w:r>
              <w:rPr>
                <w:rFonts w:hint="eastAsia" w:ascii="宋体" w:hAnsi="宋体" w:eastAsia="宋体" w:cs="宋体"/>
                <w:spacing w:val="3"/>
                <w:sz w:val="16"/>
                <w:szCs w:val="16"/>
              </w:rPr>
              <w:t>防灾措施保障粮食安全和农业生产安全效</w:t>
            </w:r>
          </w:p>
          <w:p>
            <w:pPr>
              <w:widowControl/>
              <w:jc w:val="left"/>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果</w:t>
            </w:r>
            <w:bookmarkEnd w:id="3"/>
          </w:p>
        </w:tc>
        <w:tc>
          <w:tcPr>
            <w:tcW w:w="918" w:type="dxa"/>
            <w:vAlign w:val="center"/>
          </w:tcPr>
          <w:p>
            <w:pPr>
              <w:widowControl/>
              <w:jc w:val="left"/>
              <w:textAlignment w:val="center"/>
              <w:rPr>
                <w:rFonts w:eastAsia="宋体"/>
                <w:color w:val="000000"/>
                <w:kern w:val="0"/>
                <w:sz w:val="16"/>
                <w:szCs w:val="16"/>
                <w:lang w:bidi="ar"/>
              </w:rPr>
            </w:pPr>
            <w:r>
              <w:rPr>
                <w:rFonts w:hint="eastAsia" w:eastAsia="宋体"/>
                <w:color w:val="000000"/>
                <w:kern w:val="0"/>
                <w:sz w:val="16"/>
                <w:szCs w:val="16"/>
                <w:lang w:bidi="ar"/>
              </w:rPr>
              <w:t>重发区域病虫害得到有效控制，农作物不出现大范围成灾绝收</w:t>
            </w:r>
          </w:p>
        </w:tc>
        <w:tc>
          <w:tcPr>
            <w:tcW w:w="1451" w:type="dxa"/>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2073" w:type="dxa"/>
            <w:noWrap/>
            <w:vAlign w:val="center"/>
          </w:tcPr>
          <w:p>
            <w:pPr>
              <w:widowControl/>
              <w:jc w:val="center"/>
              <w:textAlignment w:val="center"/>
              <w:rPr>
                <w:rFonts w:eastAsia="宋体"/>
                <w:color w:val="000000"/>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6" w:type="dxa"/>
            <w:vMerge w:val="continue"/>
            <w:vAlign w:val="center"/>
          </w:tcPr>
          <w:p>
            <w:pPr>
              <w:jc w:val="center"/>
              <w:rPr>
                <w:rFonts w:eastAsia="宋体"/>
                <w:color w:val="000000"/>
                <w:sz w:val="16"/>
                <w:szCs w:val="16"/>
              </w:rPr>
            </w:pPr>
          </w:p>
        </w:tc>
        <w:tc>
          <w:tcPr>
            <w:tcW w:w="1381" w:type="dxa"/>
            <w:vMerge w:val="continue"/>
            <w:noWrap/>
            <w:vAlign w:val="center"/>
          </w:tcPr>
          <w:p>
            <w:pPr>
              <w:jc w:val="center"/>
              <w:rPr>
                <w:rFonts w:eastAsia="宋体"/>
                <w:color w:val="000000"/>
                <w:sz w:val="16"/>
                <w:szCs w:val="16"/>
              </w:rPr>
            </w:pP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可持续影响指标</w:t>
            </w:r>
          </w:p>
        </w:tc>
        <w:tc>
          <w:tcPr>
            <w:tcW w:w="1050" w:type="dxa"/>
            <w:vAlign w:val="center"/>
          </w:tcPr>
          <w:p>
            <w:pPr>
              <w:widowControl/>
              <w:jc w:val="left"/>
              <w:textAlignment w:val="center"/>
              <w:rPr>
                <w:rFonts w:hint="eastAsia" w:ascii="宋体" w:hAnsi="宋体" w:eastAsia="宋体" w:cs="宋体"/>
                <w:spacing w:val="3"/>
                <w:sz w:val="16"/>
                <w:szCs w:val="16"/>
              </w:rPr>
            </w:pPr>
            <w:r>
              <w:rPr>
                <w:rFonts w:hint="eastAsia" w:ascii="宋体" w:hAnsi="宋体" w:eastAsia="宋体" w:cs="宋体"/>
                <w:spacing w:val="3"/>
                <w:sz w:val="16"/>
                <w:szCs w:val="16"/>
              </w:rPr>
              <w:t>有效保持重大病虫疫情灾快监测预警能力</w:t>
            </w:r>
          </w:p>
        </w:tc>
        <w:tc>
          <w:tcPr>
            <w:tcW w:w="918" w:type="dxa"/>
            <w:vAlign w:val="center"/>
          </w:tcPr>
          <w:p>
            <w:pPr>
              <w:widowControl/>
              <w:jc w:val="center"/>
              <w:textAlignment w:val="center"/>
              <w:rPr>
                <w:rFonts w:eastAsia="宋体"/>
                <w:color w:val="000000"/>
                <w:sz w:val="16"/>
                <w:szCs w:val="16"/>
              </w:rPr>
            </w:pPr>
            <w:r>
              <w:rPr>
                <w:rFonts w:hint="eastAsia" w:eastAsia="宋体"/>
                <w:color w:val="000000"/>
                <w:sz w:val="16"/>
                <w:szCs w:val="16"/>
              </w:rPr>
              <w:t>病虫害防控期内</w:t>
            </w:r>
          </w:p>
        </w:tc>
        <w:tc>
          <w:tcPr>
            <w:tcW w:w="1451" w:type="dxa"/>
            <w:vAlign w:val="center"/>
          </w:tcPr>
          <w:p>
            <w:pPr>
              <w:widowControl/>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100%</w:t>
            </w:r>
          </w:p>
        </w:tc>
        <w:tc>
          <w:tcPr>
            <w:tcW w:w="2073" w:type="dxa"/>
            <w:noWrap/>
            <w:vAlign w:val="center"/>
          </w:tcPr>
          <w:p>
            <w:pP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6" w:type="dxa"/>
            <w:vMerge w:val="continue"/>
            <w:vAlign w:val="center"/>
          </w:tcPr>
          <w:p>
            <w:pPr>
              <w:jc w:val="center"/>
              <w:rPr>
                <w:rFonts w:eastAsia="宋体"/>
                <w:color w:val="000000"/>
                <w:sz w:val="16"/>
                <w:szCs w:val="16"/>
              </w:rPr>
            </w:pPr>
          </w:p>
        </w:tc>
        <w:tc>
          <w:tcPr>
            <w:tcW w:w="138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满意度指标</w:t>
            </w:r>
          </w:p>
        </w:tc>
        <w:tc>
          <w:tcPr>
            <w:tcW w:w="1521" w:type="dxa"/>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服务对象满意度指标</w:t>
            </w:r>
          </w:p>
        </w:tc>
        <w:tc>
          <w:tcPr>
            <w:tcW w:w="1050" w:type="dxa"/>
            <w:vAlign w:val="center"/>
          </w:tcPr>
          <w:p>
            <w:pPr>
              <w:widowControl/>
              <w:jc w:val="left"/>
              <w:textAlignment w:val="center"/>
              <w:rPr>
                <w:rFonts w:eastAsia="宋体"/>
                <w:color w:val="000000"/>
                <w:sz w:val="16"/>
                <w:szCs w:val="16"/>
              </w:rPr>
            </w:pPr>
            <w:r>
              <w:rPr>
                <w:rFonts w:hint="eastAsia" w:ascii="宋体" w:hAnsi="宋体" w:eastAsia="宋体" w:cs="宋体"/>
                <w:spacing w:val="3"/>
                <w:sz w:val="16"/>
                <w:szCs w:val="16"/>
              </w:rPr>
              <w:t>指导服务对象满意度(%)</w:t>
            </w:r>
          </w:p>
        </w:tc>
        <w:tc>
          <w:tcPr>
            <w:tcW w:w="918" w:type="dxa"/>
            <w:vAlign w:val="center"/>
          </w:tcPr>
          <w:p>
            <w:pPr>
              <w:widowControl/>
              <w:jc w:val="center"/>
              <w:textAlignment w:val="center"/>
              <w:rPr>
                <w:rFonts w:eastAsia="宋体"/>
                <w:color w:val="000000"/>
                <w:sz w:val="16"/>
                <w:szCs w:val="16"/>
              </w:rPr>
            </w:pPr>
            <w:r>
              <w:rPr>
                <w:rFonts w:hint="eastAsia" w:eastAsia="宋体"/>
                <w:color w:val="000000"/>
                <w:sz w:val="16"/>
                <w:szCs w:val="16"/>
              </w:rPr>
              <w:t>≥</w:t>
            </w:r>
            <w:r>
              <w:rPr>
                <w:rFonts w:eastAsia="宋体"/>
                <w:color w:val="000000"/>
                <w:sz w:val="16"/>
                <w:szCs w:val="16"/>
              </w:rPr>
              <w:t>85%</w:t>
            </w:r>
          </w:p>
        </w:tc>
        <w:tc>
          <w:tcPr>
            <w:tcW w:w="1451" w:type="dxa"/>
            <w:vAlign w:val="center"/>
          </w:tcPr>
          <w:p>
            <w:pPr>
              <w:widowControl/>
              <w:jc w:val="center"/>
              <w:textAlignment w:val="center"/>
              <w:rPr>
                <w:rFonts w:eastAsia="宋体"/>
                <w:color w:val="000000"/>
                <w:sz w:val="16"/>
                <w:szCs w:val="16"/>
              </w:rPr>
            </w:pPr>
            <w:r>
              <w:rPr>
                <w:rFonts w:hint="eastAsia" w:eastAsia="宋体"/>
                <w:color w:val="000000"/>
                <w:sz w:val="16"/>
                <w:szCs w:val="16"/>
              </w:rPr>
              <w:t>90%</w:t>
            </w:r>
          </w:p>
        </w:tc>
        <w:tc>
          <w:tcPr>
            <w:tcW w:w="2073" w:type="dxa"/>
            <w:noWrap/>
            <w:vAlign w:val="center"/>
          </w:tcPr>
          <w:p>
            <w:pP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6" w:type="dxa"/>
            <w:noWrap/>
            <w:vAlign w:val="center"/>
          </w:tcPr>
          <w:p>
            <w:pPr>
              <w:widowControl/>
              <w:jc w:val="left"/>
              <w:textAlignment w:val="center"/>
              <w:rPr>
                <w:rFonts w:eastAsia="宋体"/>
                <w:color w:val="000000"/>
                <w:sz w:val="16"/>
                <w:szCs w:val="16"/>
              </w:rPr>
            </w:pPr>
            <w:r>
              <w:rPr>
                <w:rFonts w:eastAsia="宋体"/>
                <w:color w:val="000000"/>
                <w:kern w:val="0"/>
                <w:sz w:val="16"/>
                <w:szCs w:val="16"/>
                <w:lang w:bidi="ar"/>
              </w:rPr>
              <w:t>说明</w:t>
            </w:r>
          </w:p>
        </w:tc>
        <w:tc>
          <w:tcPr>
            <w:tcW w:w="8394" w:type="dxa"/>
            <w:gridSpan w:val="6"/>
            <w:noWrap/>
            <w:vAlign w:val="center"/>
          </w:tcPr>
          <w:p>
            <w:pPr>
              <w:widowControl/>
              <w:jc w:val="center"/>
              <w:textAlignment w:val="center"/>
              <w:rPr>
                <w:rFonts w:eastAsia="宋体"/>
                <w:color w:val="000000"/>
                <w:sz w:val="16"/>
                <w:szCs w:val="16"/>
              </w:rPr>
            </w:pPr>
            <w:r>
              <w:rPr>
                <w:rFonts w:eastAsia="宋体"/>
                <w:color w:val="000000"/>
                <w:kern w:val="0"/>
                <w:sz w:val="16"/>
                <w:szCs w:val="16"/>
                <w:lang w:bidi="ar"/>
              </w:rPr>
              <w:t>无</w:t>
            </w:r>
          </w:p>
        </w:tc>
      </w:tr>
    </w:tbl>
    <w:p>
      <w:pP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br w:type="page"/>
      </w:r>
    </w:p>
    <w:p>
      <w:pPr>
        <w:pStyle w:val="12"/>
        <w:spacing w:line="600" w:lineRule="exact"/>
        <w:ind w:firstLine="0" w:firstLineChars="0"/>
        <w:jc w:val="left"/>
        <w:rPr>
          <w:rFonts w:hint="eastAsia"/>
          <w:b/>
          <w:bCs/>
          <w:sz w:val="22"/>
          <w:szCs w:val="20"/>
        </w:rPr>
      </w:pPr>
      <w:r>
        <w:rPr>
          <w:rFonts w:hint="eastAsia" w:ascii="方正黑体_GBK" w:hAnsi="方正黑体_GBK" w:eastAsia="方正黑体_GBK" w:cs="方正黑体_GBK"/>
          <w:sz w:val="32"/>
        </w:rPr>
        <w:t>附件3：</w:t>
      </w:r>
    </w:p>
    <w:p>
      <w:pPr>
        <w:pStyle w:val="12"/>
        <w:spacing w:line="600" w:lineRule="exact"/>
        <w:ind w:firstLine="0" w:firstLineChars="0"/>
        <w:jc w:val="center"/>
        <w:rPr>
          <w:rFonts w:ascii="Times New Roman" w:hAnsi="Times New Roman" w:cs="Times New Roman"/>
          <w:b/>
          <w:bCs/>
          <w:kern w:val="0"/>
          <w:sz w:val="36"/>
          <w:szCs w:val="36"/>
          <w:lang w:val="en-US"/>
        </w:rPr>
      </w:pPr>
      <w:r>
        <w:rPr>
          <w:rFonts w:hint="eastAsia" w:ascii="Times New Roman" w:hAnsi="Times New Roman" w:cs="Times New Roman"/>
          <w:b/>
          <w:bCs/>
          <w:kern w:val="0"/>
          <w:sz w:val="36"/>
          <w:szCs w:val="36"/>
          <w:lang w:val="en-US"/>
        </w:rPr>
        <w:t>2024年中央对地方专项转移支付绩效目标自评表</w:t>
      </w:r>
    </w:p>
    <w:p>
      <w:pPr>
        <w:pStyle w:val="12"/>
        <w:spacing w:line="600" w:lineRule="exact"/>
        <w:ind w:firstLine="0" w:firstLineChars="0"/>
        <w:jc w:val="center"/>
        <w:rPr>
          <w:rFonts w:hint="eastAsia"/>
          <w:b/>
          <w:bCs/>
          <w:sz w:val="22"/>
          <w:szCs w:val="20"/>
        </w:rPr>
      </w:pPr>
      <w:r>
        <w:rPr>
          <w:rFonts w:hint="eastAsia" w:ascii="Times New Roman" w:hAnsi="Times New Roman" w:cs="Times New Roman"/>
          <w:b/>
          <w:bCs/>
          <w:kern w:val="0"/>
          <w:sz w:val="36"/>
          <w:szCs w:val="36"/>
          <w:lang w:val="en-US"/>
        </w:rPr>
        <w:t>（农业防灾救灾和水利救灾资金预算自评表）</w:t>
      </w:r>
    </w:p>
    <w:tbl>
      <w:tblPr>
        <w:tblStyle w:val="14"/>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
        <w:gridCol w:w="1119"/>
        <w:gridCol w:w="79"/>
        <w:gridCol w:w="1978"/>
        <w:gridCol w:w="1386"/>
        <w:gridCol w:w="1382"/>
        <w:gridCol w:w="980"/>
        <w:gridCol w:w="255"/>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1463" w:type="dxa"/>
            <w:gridSpan w:val="3"/>
            <w:vMerge w:val="restart"/>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转移支付（项目）名称</w:t>
            </w:r>
          </w:p>
        </w:tc>
        <w:tc>
          <w:tcPr>
            <w:tcW w:w="7595" w:type="dxa"/>
            <w:gridSpan w:val="6"/>
            <w:vMerge w:val="restart"/>
            <w:noWrap/>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2024年</w:t>
            </w:r>
            <w:r>
              <w:rPr>
                <w:rFonts w:eastAsia="宋体"/>
                <w:kern w:val="0"/>
                <w:sz w:val="16"/>
                <w:szCs w:val="16"/>
                <w:lang w:bidi="ar"/>
              </w:rPr>
              <w:t>中央农业防灾减灾和水利救灾资金预算（防灾救灾第十</w:t>
            </w:r>
            <w:r>
              <w:rPr>
                <w:rFonts w:hint="eastAsia" w:eastAsia="宋体"/>
                <w:kern w:val="0"/>
                <w:sz w:val="16"/>
                <w:szCs w:val="16"/>
                <w:lang w:bidi="ar"/>
              </w:rPr>
              <w:t>四</w:t>
            </w:r>
            <w:r>
              <w:rPr>
                <w:rFonts w:eastAsia="宋体"/>
                <w:kern w:val="0"/>
                <w:sz w:val="16"/>
                <w:szCs w:val="16"/>
                <w:lang w:bidi="ar"/>
              </w:rPr>
              <w:t>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1463" w:type="dxa"/>
            <w:gridSpan w:val="3"/>
            <w:vMerge w:val="continue"/>
            <w:vAlign w:val="center"/>
          </w:tcPr>
          <w:p>
            <w:pPr>
              <w:spacing w:line="0" w:lineRule="atLeast"/>
              <w:jc w:val="center"/>
              <w:rPr>
                <w:rFonts w:eastAsia="宋体"/>
                <w:sz w:val="16"/>
                <w:szCs w:val="16"/>
              </w:rPr>
            </w:pPr>
          </w:p>
        </w:tc>
        <w:tc>
          <w:tcPr>
            <w:tcW w:w="7595" w:type="dxa"/>
            <w:gridSpan w:val="6"/>
            <w:vMerge w:val="continue"/>
            <w:noWrap/>
            <w:vAlign w:val="center"/>
          </w:tcPr>
          <w:p>
            <w:pPr>
              <w:spacing w:line="0" w:lineRule="atLeast"/>
              <w:jc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中央主管部门</w:t>
            </w:r>
          </w:p>
        </w:tc>
        <w:tc>
          <w:tcPr>
            <w:tcW w:w="7595" w:type="dxa"/>
            <w:gridSpan w:val="6"/>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地方主管部门</w:t>
            </w:r>
          </w:p>
        </w:tc>
        <w:tc>
          <w:tcPr>
            <w:tcW w:w="3364"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自治区财政厅、农业农村厅</w:t>
            </w:r>
          </w:p>
        </w:tc>
        <w:tc>
          <w:tcPr>
            <w:tcW w:w="2362" w:type="dxa"/>
            <w:gridSpan w:val="2"/>
            <w:noWrap/>
            <w:vAlign w:val="center"/>
          </w:tcPr>
          <w:p>
            <w:pPr>
              <w:widowControl/>
              <w:spacing w:line="0" w:lineRule="atLeast"/>
              <w:jc w:val="left"/>
              <w:textAlignment w:val="center"/>
              <w:rPr>
                <w:rFonts w:eastAsia="宋体"/>
                <w:sz w:val="16"/>
                <w:szCs w:val="16"/>
              </w:rPr>
            </w:pPr>
            <w:r>
              <w:rPr>
                <w:rFonts w:eastAsia="宋体"/>
                <w:kern w:val="0"/>
                <w:sz w:val="16"/>
                <w:szCs w:val="16"/>
                <w:lang w:bidi="ar"/>
              </w:rPr>
              <w:t>资金使用单位</w:t>
            </w:r>
          </w:p>
        </w:tc>
        <w:tc>
          <w:tcPr>
            <w:tcW w:w="1869"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县市农业农村局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463" w:type="dxa"/>
            <w:gridSpan w:val="3"/>
            <w:vMerge w:val="restart"/>
            <w:vAlign w:val="center"/>
          </w:tcPr>
          <w:p>
            <w:pPr>
              <w:widowControl/>
              <w:spacing w:line="0" w:lineRule="atLeast"/>
              <w:jc w:val="center"/>
              <w:textAlignment w:val="center"/>
              <w:rPr>
                <w:rFonts w:eastAsia="宋体"/>
                <w:sz w:val="16"/>
                <w:szCs w:val="16"/>
              </w:rPr>
            </w:pPr>
            <w:r>
              <w:rPr>
                <w:rFonts w:eastAsia="宋体"/>
                <w:kern w:val="0"/>
                <w:sz w:val="16"/>
                <w:szCs w:val="16"/>
                <w:lang w:bidi="ar"/>
              </w:rPr>
              <w:t>资金投入情况</w:t>
            </w:r>
            <w:r>
              <w:rPr>
                <w:rFonts w:eastAsia="宋体"/>
                <w:kern w:val="0"/>
                <w:sz w:val="16"/>
                <w:szCs w:val="16"/>
                <w:lang w:bidi="ar"/>
              </w:rPr>
              <w:br w:type="textWrapping"/>
            </w:r>
            <w:r>
              <w:rPr>
                <w:rFonts w:eastAsia="宋体"/>
                <w:kern w:val="0"/>
                <w:sz w:val="16"/>
                <w:szCs w:val="16"/>
                <w:lang w:bidi="ar"/>
              </w:rPr>
              <w:t>（万元）</w:t>
            </w:r>
          </w:p>
        </w:tc>
        <w:tc>
          <w:tcPr>
            <w:tcW w:w="1978" w:type="dxa"/>
            <w:noWrap/>
            <w:vAlign w:val="center"/>
          </w:tcPr>
          <w:p>
            <w:pPr>
              <w:spacing w:line="0" w:lineRule="atLeast"/>
              <w:rPr>
                <w:rFonts w:eastAsia="宋体"/>
                <w:sz w:val="16"/>
                <w:szCs w:val="16"/>
              </w:rPr>
            </w:pPr>
          </w:p>
        </w:tc>
        <w:tc>
          <w:tcPr>
            <w:tcW w:w="1386"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全年预算数（A)</w:t>
            </w:r>
          </w:p>
        </w:tc>
        <w:tc>
          <w:tcPr>
            <w:tcW w:w="2362"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全年执行数（B)</w:t>
            </w:r>
          </w:p>
        </w:tc>
        <w:tc>
          <w:tcPr>
            <w:tcW w:w="1869" w:type="dxa"/>
            <w:gridSpan w:val="2"/>
            <w:vAlign w:val="center"/>
          </w:tcPr>
          <w:p>
            <w:pPr>
              <w:widowControl/>
              <w:spacing w:line="0" w:lineRule="atLeast"/>
              <w:jc w:val="center"/>
              <w:textAlignment w:val="center"/>
              <w:rPr>
                <w:rFonts w:eastAsia="宋体"/>
                <w:sz w:val="16"/>
                <w:szCs w:val="16"/>
              </w:rPr>
            </w:pPr>
            <w:r>
              <w:rPr>
                <w:rFonts w:eastAsia="宋体"/>
                <w:kern w:val="0"/>
                <w:sz w:val="16"/>
                <w:szCs w:val="16"/>
                <w:lang w:bidi="ar"/>
              </w:rPr>
              <w:t>预算执行率</w:t>
            </w:r>
            <w:r>
              <w:rPr>
                <w:rFonts w:eastAsia="宋体"/>
                <w:kern w:val="0"/>
                <w:sz w:val="16"/>
                <w:szCs w:val="16"/>
                <w:lang w:bidi="ar"/>
              </w:rPr>
              <w:br w:type="textWrapping"/>
            </w:r>
            <w:r>
              <w:rPr>
                <w:rFonts w:eastAsia="宋体"/>
                <w:kern w:val="0"/>
                <w:sz w:val="16"/>
                <w:szCs w:val="16"/>
                <w:lang w:bidi="ar"/>
              </w:rPr>
              <w:t>（B/A×100%）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vMerge w:val="continue"/>
            <w:vAlign w:val="center"/>
          </w:tcPr>
          <w:p>
            <w:pPr>
              <w:spacing w:line="0" w:lineRule="atLeast"/>
              <w:jc w:val="center"/>
              <w:rPr>
                <w:rFonts w:eastAsia="宋体"/>
                <w:sz w:val="16"/>
                <w:szCs w:val="16"/>
              </w:rPr>
            </w:pPr>
          </w:p>
        </w:tc>
        <w:tc>
          <w:tcPr>
            <w:tcW w:w="1978" w:type="dxa"/>
            <w:noWrap/>
            <w:vAlign w:val="center"/>
          </w:tcPr>
          <w:p>
            <w:pPr>
              <w:widowControl/>
              <w:spacing w:line="0" w:lineRule="atLeast"/>
              <w:jc w:val="left"/>
              <w:textAlignment w:val="center"/>
              <w:rPr>
                <w:rFonts w:eastAsia="宋体"/>
                <w:kern w:val="0"/>
                <w:sz w:val="16"/>
                <w:szCs w:val="16"/>
                <w:lang w:bidi="ar"/>
              </w:rPr>
            </w:pPr>
            <w:r>
              <w:rPr>
                <w:rFonts w:eastAsia="宋体"/>
                <w:kern w:val="0"/>
                <w:sz w:val="16"/>
                <w:szCs w:val="16"/>
                <w:lang w:bidi="ar"/>
              </w:rPr>
              <w:t>年度资金总额：</w:t>
            </w:r>
          </w:p>
        </w:tc>
        <w:tc>
          <w:tcPr>
            <w:tcW w:w="1386" w:type="dxa"/>
            <w:vAlign w:val="center"/>
          </w:tcPr>
          <w:p>
            <w:pPr>
              <w:widowControl/>
              <w:spacing w:line="0" w:lineRule="atLeast"/>
              <w:jc w:val="center"/>
              <w:textAlignment w:val="center"/>
              <w:rPr>
                <w:rFonts w:eastAsia="宋体"/>
                <w:kern w:val="0"/>
                <w:sz w:val="20"/>
                <w:szCs w:val="20"/>
                <w:lang w:bidi="ar"/>
              </w:rPr>
            </w:pPr>
            <w:r>
              <w:rPr>
                <w:rFonts w:eastAsia="宋体"/>
                <w:snapToGrid w:val="0"/>
                <w:spacing w:val="-2"/>
                <w:kern w:val="0"/>
                <w:sz w:val="15"/>
                <w:szCs w:val="15"/>
                <w:lang w:eastAsia="en-US"/>
              </w:rPr>
              <w:t>9</w:t>
            </w:r>
            <w:r>
              <w:rPr>
                <w:rFonts w:hint="eastAsia" w:eastAsia="宋体"/>
                <w:snapToGrid w:val="0"/>
                <w:spacing w:val="-2"/>
                <w:kern w:val="0"/>
                <w:sz w:val="15"/>
                <w:szCs w:val="15"/>
              </w:rPr>
              <w:t>8</w:t>
            </w:r>
            <w:r>
              <w:rPr>
                <w:rFonts w:eastAsia="宋体"/>
                <w:snapToGrid w:val="0"/>
                <w:spacing w:val="-2"/>
                <w:kern w:val="0"/>
                <w:sz w:val="15"/>
                <w:szCs w:val="15"/>
                <w:lang w:eastAsia="en-US"/>
              </w:rPr>
              <w:t>20</w:t>
            </w:r>
          </w:p>
        </w:tc>
        <w:tc>
          <w:tcPr>
            <w:tcW w:w="2362" w:type="dxa"/>
            <w:gridSpan w:val="2"/>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0</w:t>
            </w:r>
          </w:p>
        </w:tc>
        <w:tc>
          <w:tcPr>
            <w:tcW w:w="1869" w:type="dxa"/>
            <w:gridSpan w:val="2"/>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vMerge w:val="continue"/>
            <w:vAlign w:val="center"/>
          </w:tcPr>
          <w:p>
            <w:pPr>
              <w:spacing w:line="0" w:lineRule="atLeast"/>
              <w:jc w:val="center"/>
              <w:rPr>
                <w:rFonts w:eastAsia="宋体"/>
                <w:sz w:val="16"/>
                <w:szCs w:val="16"/>
              </w:rPr>
            </w:pPr>
          </w:p>
        </w:tc>
        <w:tc>
          <w:tcPr>
            <w:tcW w:w="1978" w:type="dxa"/>
            <w:noWrap/>
            <w:vAlign w:val="center"/>
          </w:tcPr>
          <w:p>
            <w:pPr>
              <w:widowControl/>
              <w:spacing w:line="0" w:lineRule="atLeast"/>
              <w:jc w:val="left"/>
              <w:textAlignment w:val="center"/>
              <w:rPr>
                <w:rFonts w:eastAsia="宋体"/>
                <w:kern w:val="0"/>
                <w:sz w:val="16"/>
                <w:szCs w:val="16"/>
                <w:lang w:bidi="ar"/>
              </w:rPr>
            </w:pPr>
            <w:r>
              <w:rPr>
                <w:rFonts w:eastAsia="宋体"/>
                <w:kern w:val="0"/>
                <w:sz w:val="16"/>
                <w:szCs w:val="16"/>
                <w:lang w:bidi="ar"/>
              </w:rPr>
              <w:t>其中：中央财政资金</w:t>
            </w:r>
          </w:p>
        </w:tc>
        <w:tc>
          <w:tcPr>
            <w:tcW w:w="1386" w:type="dxa"/>
            <w:vAlign w:val="center"/>
          </w:tcPr>
          <w:p>
            <w:pPr>
              <w:widowControl/>
              <w:spacing w:line="0" w:lineRule="atLeast"/>
              <w:jc w:val="center"/>
              <w:textAlignment w:val="center"/>
              <w:rPr>
                <w:rFonts w:eastAsia="宋体"/>
                <w:kern w:val="0"/>
                <w:sz w:val="20"/>
                <w:szCs w:val="20"/>
                <w:lang w:bidi="ar"/>
              </w:rPr>
            </w:pPr>
            <w:r>
              <w:rPr>
                <w:rFonts w:eastAsia="宋体"/>
                <w:snapToGrid w:val="0"/>
                <w:spacing w:val="-2"/>
                <w:kern w:val="0"/>
                <w:sz w:val="15"/>
                <w:szCs w:val="15"/>
                <w:lang w:eastAsia="en-US"/>
              </w:rPr>
              <w:t>9</w:t>
            </w:r>
            <w:r>
              <w:rPr>
                <w:rFonts w:hint="eastAsia" w:eastAsia="宋体"/>
                <w:snapToGrid w:val="0"/>
                <w:spacing w:val="-2"/>
                <w:kern w:val="0"/>
                <w:sz w:val="15"/>
                <w:szCs w:val="15"/>
              </w:rPr>
              <w:t>8</w:t>
            </w:r>
            <w:r>
              <w:rPr>
                <w:rFonts w:eastAsia="宋体"/>
                <w:snapToGrid w:val="0"/>
                <w:spacing w:val="-2"/>
                <w:kern w:val="0"/>
                <w:sz w:val="15"/>
                <w:szCs w:val="15"/>
                <w:lang w:eastAsia="en-US"/>
              </w:rPr>
              <w:t>20</w:t>
            </w:r>
          </w:p>
        </w:tc>
        <w:tc>
          <w:tcPr>
            <w:tcW w:w="2362" w:type="dxa"/>
            <w:gridSpan w:val="2"/>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0</w:t>
            </w:r>
          </w:p>
        </w:tc>
        <w:tc>
          <w:tcPr>
            <w:tcW w:w="1869" w:type="dxa"/>
            <w:gridSpan w:val="2"/>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vMerge w:val="continue"/>
            <w:vAlign w:val="center"/>
          </w:tcPr>
          <w:p>
            <w:pPr>
              <w:spacing w:line="0" w:lineRule="atLeast"/>
              <w:jc w:val="center"/>
              <w:rPr>
                <w:rFonts w:eastAsia="宋体"/>
                <w:sz w:val="16"/>
                <w:szCs w:val="16"/>
              </w:rPr>
            </w:pPr>
          </w:p>
        </w:tc>
        <w:tc>
          <w:tcPr>
            <w:tcW w:w="1978" w:type="dxa"/>
            <w:noWrap/>
            <w:vAlign w:val="center"/>
          </w:tcPr>
          <w:p>
            <w:pPr>
              <w:widowControl/>
              <w:spacing w:line="0" w:lineRule="atLeast"/>
              <w:jc w:val="left"/>
              <w:textAlignment w:val="center"/>
              <w:rPr>
                <w:rFonts w:eastAsia="宋体"/>
                <w:sz w:val="16"/>
                <w:szCs w:val="16"/>
              </w:rPr>
            </w:pPr>
            <w:r>
              <w:rPr>
                <w:rFonts w:eastAsia="宋体"/>
                <w:kern w:val="0"/>
                <w:sz w:val="16"/>
                <w:szCs w:val="16"/>
                <w:lang w:bidi="ar"/>
              </w:rPr>
              <w:t>地方资金</w:t>
            </w:r>
          </w:p>
        </w:tc>
        <w:tc>
          <w:tcPr>
            <w:tcW w:w="1386" w:type="dxa"/>
            <w:vAlign w:val="center"/>
          </w:tcPr>
          <w:p>
            <w:pPr>
              <w:widowControl/>
              <w:spacing w:line="0" w:lineRule="atLeast"/>
              <w:jc w:val="center"/>
              <w:textAlignment w:val="center"/>
              <w:rPr>
                <w:rFonts w:eastAsia="宋体"/>
                <w:sz w:val="16"/>
                <w:szCs w:val="16"/>
              </w:rPr>
            </w:pPr>
          </w:p>
        </w:tc>
        <w:tc>
          <w:tcPr>
            <w:tcW w:w="2362" w:type="dxa"/>
            <w:gridSpan w:val="2"/>
            <w:vAlign w:val="center"/>
          </w:tcPr>
          <w:p>
            <w:pPr>
              <w:widowControl/>
              <w:spacing w:line="0" w:lineRule="atLeast"/>
              <w:jc w:val="center"/>
              <w:textAlignment w:val="center"/>
              <w:rPr>
                <w:rFonts w:eastAsia="宋体"/>
                <w:sz w:val="16"/>
                <w:szCs w:val="16"/>
              </w:rPr>
            </w:pPr>
          </w:p>
        </w:tc>
        <w:tc>
          <w:tcPr>
            <w:tcW w:w="1869" w:type="dxa"/>
            <w:gridSpan w:val="2"/>
            <w:noWrap/>
            <w:vAlign w:val="center"/>
          </w:tcPr>
          <w:p>
            <w:pPr>
              <w:widowControl/>
              <w:spacing w:line="0" w:lineRule="atLeast"/>
              <w:jc w:val="center"/>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vMerge w:val="continue"/>
            <w:vAlign w:val="center"/>
          </w:tcPr>
          <w:p>
            <w:pPr>
              <w:spacing w:line="0" w:lineRule="atLeast"/>
              <w:jc w:val="center"/>
              <w:rPr>
                <w:rFonts w:eastAsia="宋体"/>
                <w:sz w:val="16"/>
                <w:szCs w:val="16"/>
              </w:rPr>
            </w:pPr>
          </w:p>
        </w:tc>
        <w:tc>
          <w:tcPr>
            <w:tcW w:w="1978" w:type="dxa"/>
            <w:noWrap/>
            <w:vAlign w:val="center"/>
          </w:tcPr>
          <w:p>
            <w:pPr>
              <w:widowControl/>
              <w:spacing w:line="0" w:lineRule="atLeast"/>
              <w:jc w:val="left"/>
              <w:textAlignment w:val="center"/>
              <w:rPr>
                <w:rFonts w:eastAsia="宋体"/>
                <w:sz w:val="16"/>
                <w:szCs w:val="16"/>
              </w:rPr>
            </w:pPr>
            <w:r>
              <w:rPr>
                <w:rFonts w:eastAsia="宋体"/>
                <w:kern w:val="0"/>
                <w:sz w:val="16"/>
                <w:szCs w:val="16"/>
                <w:lang w:bidi="ar"/>
              </w:rPr>
              <w:t>其他资金</w:t>
            </w:r>
          </w:p>
        </w:tc>
        <w:tc>
          <w:tcPr>
            <w:tcW w:w="1386" w:type="dxa"/>
            <w:noWrap/>
            <w:vAlign w:val="center"/>
          </w:tcPr>
          <w:p>
            <w:pPr>
              <w:spacing w:line="0" w:lineRule="atLeast"/>
              <w:jc w:val="center"/>
              <w:rPr>
                <w:rFonts w:eastAsia="宋体"/>
                <w:sz w:val="16"/>
                <w:szCs w:val="16"/>
              </w:rPr>
            </w:pPr>
          </w:p>
        </w:tc>
        <w:tc>
          <w:tcPr>
            <w:tcW w:w="2362" w:type="dxa"/>
            <w:gridSpan w:val="2"/>
            <w:noWrap/>
            <w:vAlign w:val="center"/>
          </w:tcPr>
          <w:p>
            <w:pPr>
              <w:spacing w:line="0" w:lineRule="atLeast"/>
              <w:jc w:val="center"/>
              <w:rPr>
                <w:rFonts w:eastAsia="宋体"/>
                <w:sz w:val="16"/>
                <w:szCs w:val="16"/>
              </w:rPr>
            </w:pPr>
          </w:p>
        </w:tc>
        <w:tc>
          <w:tcPr>
            <w:tcW w:w="1869" w:type="dxa"/>
            <w:gridSpan w:val="2"/>
            <w:noWrap/>
            <w:vAlign w:val="center"/>
          </w:tcPr>
          <w:p>
            <w:pPr>
              <w:spacing w:line="0" w:lineRule="atLeast"/>
              <w:jc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463" w:type="dxa"/>
            <w:gridSpan w:val="3"/>
            <w:vMerge w:val="restart"/>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资金管理情况</w:t>
            </w:r>
          </w:p>
        </w:tc>
        <w:tc>
          <w:tcPr>
            <w:tcW w:w="1978" w:type="dxa"/>
            <w:noWrap/>
            <w:vAlign w:val="center"/>
          </w:tcPr>
          <w:p>
            <w:pPr>
              <w:spacing w:line="0" w:lineRule="atLeast"/>
              <w:rPr>
                <w:rFonts w:eastAsia="宋体"/>
                <w:sz w:val="16"/>
                <w:szCs w:val="16"/>
              </w:rPr>
            </w:pPr>
          </w:p>
        </w:tc>
        <w:tc>
          <w:tcPr>
            <w:tcW w:w="3748" w:type="dxa"/>
            <w:gridSpan w:val="3"/>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情况说明</w:t>
            </w:r>
          </w:p>
        </w:tc>
        <w:tc>
          <w:tcPr>
            <w:tcW w:w="1869"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0"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分配科学性</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根据财政部、农业农村部、水利部《农业防灾减灾和水利救灾资金管理办法》（农财〔2023〕13号）和财政部《关于下达2024年农业防灾减灾和水利救灾资金预算（防灾救灾第十四批）的通知》要求，按照因素法测算分配资金，结合实际确定补助标准，对灾害易发、频发区域给予适当支持，充分应用上年度资金绩效评价结果，明确了资金主要用于支持购买调运防灾饲草料、受灾区灾后恢复畜牧业生产、保障防灾饲草料库运行、应急救灾饲草料调运及转移安置和兽药、消毒药品及品种改良等应急物资购置等5个方面。</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8"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下达及时性</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2024年12月19日，自治区收到中央下达我区的农业防灾减灾和水利救灾资金（防灾救灾第十四批）9820万元，自治区财政厅、畜牧兽医局在资金下达30日内完成资金分配，于2024年12月30日，自治区财政厅印发《关于下达2024年农业防灾减灾和水利救灾资金预算（防灾救灾第十四批）的通知》（新财农〔2024〕121号），自治区畜牧兽医局印发《2024年农业防灾减灾和水利救灾资金（防灾救灾第十四批）使用方案》，将项目资金和绩效目标分解至各地</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5"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拨付合规性</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按照财政部《关于提前部署做好2021年财政资金直达机制有关的通知》(财预便〔2020〕276号）等要求，中央农业防灾减灾和水利救灾资金纳入中央直达资金范围，直达资金标识为“01中央直达资金”，各级财政部门单独发文下达直达资金，列式资金资金来源，单独调拨库款。未出现违规将资金从国库转入财政专户或支付到预算单位实有资金账户等问题。</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3"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使用规范性</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按照《财政部 农业农村部 水利部关于印发&lt;农业防灾减灾和水利救灾资金管理办法&gt;的通知》(财农〔2023〕13号）的“第三章 资金分配、下达和使用管理”要求，根据受灾畜禽数量、饲草料缺口等，统筹安排资金用于农业防灾减灾防灾救灾，救灾资金主要按照因素法分配，并将绩效评价结果等作为调节因素进行适当调节，各省要在重大灾害发生前加大灾害预防预计灾后处置和恢复资金投入，防灾救灾资金的支出执行国库集中支付制度有关规定，属于政府采购范围的，按照政府采购法律制度规定执行。在中央巡视、各级审计和财政监督中未发现问题。</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执行准确性</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按照《财政部 农业农村部 水利部关于印发&lt;农业防灾减灾和水利救灾资金管理办法&gt;的通知》(财农〔2023〕13号）的“第四章 绩效管理和资金监督”要求，按照上级下达和本级预算安排的金额执行，不存在挪用、徇私舞弊等违法违规问题。</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7"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预算绩效管理情况</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按照《中共中央国务院关于全面实施预算绩效管理的意见》、《关于印发&lt;</w:t>
            </w:r>
            <w:r>
              <w:rPr>
                <w:rFonts w:hint="eastAsia" w:eastAsia="宋体"/>
                <w:snapToGrid w:val="0"/>
                <w:spacing w:val="-2"/>
                <w:kern w:val="0"/>
                <w:sz w:val="15"/>
                <w:szCs w:val="15"/>
                <w:lang w:eastAsia="zh-CN"/>
              </w:rPr>
              <w:t>新疆维吾尔自治区</w:t>
            </w:r>
            <w:r>
              <w:rPr>
                <w:rFonts w:hint="eastAsia" w:eastAsia="宋体"/>
                <w:snapToGrid w:val="0"/>
                <w:spacing w:val="-2"/>
                <w:kern w:val="0"/>
                <w:sz w:val="15"/>
                <w:szCs w:val="15"/>
              </w:rPr>
              <w:t>农业相关转移支付资金绩效管理办法实施细则&gt;的通知》（新财规〔2020〕15号）等相关文件要求，自治区农业农村厅强化资金使用监管，严格执行有关财经制度，进一步加强预算绩效管理，在预算执行中做好绩效监控，预算执行完做好绩效评价，切实提高财政资金使用效益，确保资金安全规范使用，确保年度绩效目标如期实现。</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8" w:hRule="atLeast"/>
          <w:jc w:val="center"/>
        </w:trPr>
        <w:tc>
          <w:tcPr>
            <w:tcW w:w="1463" w:type="dxa"/>
            <w:gridSpan w:val="3"/>
            <w:vMerge w:val="continue"/>
            <w:noWrap/>
            <w:vAlign w:val="center"/>
          </w:tcPr>
          <w:p>
            <w:pPr>
              <w:spacing w:line="0" w:lineRule="atLeast"/>
              <w:jc w:val="center"/>
              <w:rPr>
                <w:rFonts w:eastAsia="宋体"/>
                <w:sz w:val="16"/>
                <w:szCs w:val="16"/>
              </w:rPr>
            </w:pPr>
          </w:p>
        </w:tc>
        <w:tc>
          <w:tcPr>
            <w:tcW w:w="1978"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支出责任履行情况</w:t>
            </w:r>
          </w:p>
        </w:tc>
        <w:tc>
          <w:tcPr>
            <w:tcW w:w="3748" w:type="dxa"/>
            <w:gridSpan w:val="3"/>
            <w:vAlign w:val="center"/>
          </w:tcPr>
          <w:p>
            <w:pPr>
              <w:widowControl/>
              <w:spacing w:line="0" w:lineRule="atLeast"/>
              <w:jc w:val="center"/>
              <w:textAlignment w:val="center"/>
              <w:rPr>
                <w:rFonts w:eastAsia="宋体"/>
                <w:snapToGrid w:val="0"/>
                <w:spacing w:val="-2"/>
                <w:kern w:val="0"/>
                <w:sz w:val="15"/>
                <w:szCs w:val="15"/>
              </w:rPr>
            </w:pPr>
            <w:r>
              <w:rPr>
                <w:rFonts w:hint="eastAsia" w:eastAsia="宋体"/>
                <w:snapToGrid w:val="0"/>
                <w:spacing w:val="-2"/>
                <w:kern w:val="0"/>
                <w:sz w:val="15"/>
                <w:szCs w:val="15"/>
              </w:rPr>
              <w:t>一是自治区财政厅于2024年12月30日向14个地（州、市）、14个地州的95个县（市、区）及畜牧科学院机关，根据政策规定的程序和标准足额拨付农业防灾减灾和水利救灾资金（农业防灾减灾第十四批）9820万元，用于支持购买调运防灾饲草料、受灾区灾后恢复畜牧业生产、保障防灾饲草料库运行、应急救灾饲草料调运及转移安置和兽药、消毒药品及品种改良等应急物资购置等5个方面。二是根据《财政部 农业农村部 水利部关于印发&lt;农业防灾减灾和水利救灾资金管理办法&gt;的通知》(财农〔2023〕13号）《2024年农业防灾减灾和水利救灾资金（防灾救灾第十四批）使用方案》规定的补贴标准，审核饲草料储备、调运资金补贴的申请资料，确保补贴对象符合政策要求，遵循公开、公正、公平的原则，确保资金使用合理、透明、安全。</w:t>
            </w:r>
          </w:p>
        </w:tc>
        <w:tc>
          <w:tcPr>
            <w:tcW w:w="1869" w:type="dxa"/>
            <w:gridSpan w:val="2"/>
            <w:noWrap/>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65" w:type="dxa"/>
            <w:vMerge w:val="restart"/>
            <w:vAlign w:val="center"/>
          </w:tcPr>
          <w:p>
            <w:pPr>
              <w:widowControl/>
              <w:spacing w:line="0" w:lineRule="atLeast"/>
              <w:jc w:val="center"/>
              <w:textAlignment w:val="center"/>
              <w:rPr>
                <w:rFonts w:eastAsia="宋体"/>
                <w:sz w:val="16"/>
                <w:szCs w:val="16"/>
              </w:rPr>
            </w:pPr>
            <w:r>
              <w:rPr>
                <w:rFonts w:eastAsia="宋体"/>
                <w:kern w:val="0"/>
                <w:sz w:val="16"/>
                <w:szCs w:val="16"/>
                <w:lang w:bidi="ar"/>
              </w:rPr>
              <w:t>总体目标完成情况</w:t>
            </w:r>
          </w:p>
        </w:tc>
        <w:tc>
          <w:tcPr>
            <w:tcW w:w="4562" w:type="dxa"/>
            <w:gridSpan w:val="4"/>
            <w:noWrap/>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总体目标</w:t>
            </w:r>
          </w:p>
        </w:tc>
        <w:tc>
          <w:tcPr>
            <w:tcW w:w="4231" w:type="dxa"/>
            <w:gridSpan w:val="4"/>
            <w:noWrap/>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65" w:type="dxa"/>
            <w:vMerge w:val="continue"/>
            <w:vAlign w:val="center"/>
          </w:tcPr>
          <w:p>
            <w:pPr>
              <w:spacing w:line="0" w:lineRule="atLeast"/>
              <w:jc w:val="center"/>
              <w:rPr>
                <w:rFonts w:eastAsia="宋体"/>
                <w:sz w:val="16"/>
                <w:szCs w:val="16"/>
              </w:rPr>
            </w:pPr>
          </w:p>
        </w:tc>
        <w:tc>
          <w:tcPr>
            <w:tcW w:w="4562" w:type="dxa"/>
            <w:gridSpan w:val="4"/>
            <w:vMerge w:val="restart"/>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通过使用救灾资金，调运和储备饲草料，减少灾害损失，确保全年畜牧业生产稳定。</w:t>
            </w:r>
          </w:p>
        </w:tc>
        <w:tc>
          <w:tcPr>
            <w:tcW w:w="4231" w:type="dxa"/>
            <w:gridSpan w:val="4"/>
            <w:vMerge w:val="restart"/>
            <w:vAlign w:val="center"/>
          </w:tcPr>
          <w:p>
            <w:pPr>
              <w:widowControl/>
              <w:spacing w:line="0" w:lineRule="atLeast"/>
              <w:jc w:val="center"/>
              <w:textAlignment w:val="center"/>
              <w:rPr>
                <w:rFonts w:hint="eastAsia" w:eastAsia="宋体"/>
                <w:snapToGrid w:val="0"/>
                <w:spacing w:val="-2"/>
                <w:kern w:val="0"/>
                <w:sz w:val="15"/>
                <w:szCs w:val="15"/>
                <w:lang w:eastAsia="zh-CN"/>
              </w:rPr>
            </w:pPr>
            <w:r>
              <w:rPr>
                <w:rFonts w:hint="eastAsia" w:eastAsia="宋体"/>
                <w:snapToGrid w:val="0"/>
                <w:spacing w:val="-2"/>
                <w:kern w:val="0"/>
                <w:sz w:val="15"/>
                <w:szCs w:val="15"/>
              </w:rPr>
              <w:t>2024年12月15日财政部下达农业防灾减灾和水利救灾资金（防灾救灾第十四批）9820万元，因资金发放较晚，资金结余到2025年开展</w:t>
            </w:r>
            <w:r>
              <w:rPr>
                <w:rFonts w:hint="eastAsia" w:eastAsia="宋体"/>
                <w:snapToGrid w:val="0"/>
                <w:spacing w:val="-2"/>
                <w:kern w:val="0"/>
                <w:sz w:val="15"/>
                <w:szCs w:val="15"/>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65" w:type="dxa"/>
            <w:vMerge w:val="continue"/>
            <w:vAlign w:val="center"/>
          </w:tcPr>
          <w:p>
            <w:pPr>
              <w:spacing w:line="0" w:lineRule="atLeast"/>
              <w:jc w:val="center"/>
              <w:rPr>
                <w:rFonts w:eastAsia="宋体"/>
                <w:sz w:val="16"/>
                <w:szCs w:val="16"/>
              </w:rPr>
            </w:pPr>
          </w:p>
        </w:tc>
        <w:tc>
          <w:tcPr>
            <w:tcW w:w="4562" w:type="dxa"/>
            <w:gridSpan w:val="4"/>
            <w:vMerge w:val="continue"/>
            <w:vAlign w:val="center"/>
          </w:tcPr>
          <w:p>
            <w:pPr>
              <w:widowControl/>
              <w:spacing w:line="0" w:lineRule="atLeast"/>
              <w:jc w:val="center"/>
              <w:textAlignment w:val="center"/>
              <w:rPr>
                <w:rFonts w:eastAsia="宋体"/>
                <w:snapToGrid w:val="0"/>
                <w:spacing w:val="-2"/>
                <w:kern w:val="0"/>
                <w:sz w:val="15"/>
                <w:szCs w:val="15"/>
              </w:rPr>
            </w:pPr>
          </w:p>
        </w:tc>
        <w:tc>
          <w:tcPr>
            <w:tcW w:w="4231" w:type="dxa"/>
            <w:gridSpan w:val="4"/>
            <w:vMerge w:val="continue"/>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65" w:type="dxa"/>
            <w:vMerge w:val="continue"/>
            <w:vAlign w:val="center"/>
          </w:tcPr>
          <w:p>
            <w:pPr>
              <w:spacing w:line="0" w:lineRule="atLeast"/>
              <w:jc w:val="center"/>
              <w:rPr>
                <w:rFonts w:eastAsia="宋体"/>
                <w:sz w:val="16"/>
                <w:szCs w:val="16"/>
              </w:rPr>
            </w:pPr>
          </w:p>
        </w:tc>
        <w:tc>
          <w:tcPr>
            <w:tcW w:w="4562" w:type="dxa"/>
            <w:gridSpan w:val="4"/>
            <w:vMerge w:val="continue"/>
            <w:vAlign w:val="center"/>
          </w:tcPr>
          <w:p>
            <w:pPr>
              <w:widowControl/>
              <w:spacing w:line="0" w:lineRule="atLeast"/>
              <w:jc w:val="center"/>
              <w:textAlignment w:val="center"/>
              <w:rPr>
                <w:rFonts w:eastAsia="宋体"/>
                <w:snapToGrid w:val="0"/>
                <w:spacing w:val="-2"/>
                <w:kern w:val="0"/>
                <w:sz w:val="15"/>
                <w:szCs w:val="15"/>
              </w:rPr>
            </w:pPr>
          </w:p>
        </w:tc>
        <w:tc>
          <w:tcPr>
            <w:tcW w:w="4231" w:type="dxa"/>
            <w:gridSpan w:val="4"/>
            <w:vMerge w:val="continue"/>
            <w:vAlign w:val="center"/>
          </w:tcPr>
          <w:p>
            <w:pPr>
              <w:widowControl/>
              <w:spacing w:line="0" w:lineRule="atLeast"/>
              <w:jc w:val="center"/>
              <w:textAlignment w:val="center"/>
              <w:rPr>
                <w:rFonts w:eastAsia="宋体"/>
                <w:snapToGrid w:val="0"/>
                <w:spacing w:val="-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265" w:type="dxa"/>
            <w:vMerge w:val="restart"/>
            <w:vAlign w:val="center"/>
          </w:tcPr>
          <w:p>
            <w:pPr>
              <w:widowControl/>
              <w:spacing w:line="0" w:lineRule="atLeast"/>
              <w:textAlignment w:val="center"/>
              <w:rPr>
                <w:rFonts w:eastAsia="宋体"/>
                <w:kern w:val="0"/>
                <w:sz w:val="16"/>
                <w:szCs w:val="16"/>
                <w:lang w:bidi="ar"/>
              </w:rPr>
            </w:pPr>
          </w:p>
          <w:p>
            <w:pPr>
              <w:widowControl/>
              <w:spacing w:line="0" w:lineRule="atLeast"/>
              <w:jc w:val="center"/>
              <w:textAlignment w:val="center"/>
              <w:rPr>
                <w:rFonts w:eastAsia="宋体"/>
                <w:sz w:val="16"/>
                <w:szCs w:val="16"/>
              </w:rPr>
            </w:pPr>
            <w:r>
              <w:rPr>
                <w:rFonts w:eastAsia="宋体"/>
                <w:kern w:val="0"/>
                <w:sz w:val="16"/>
                <w:szCs w:val="16"/>
                <w:lang w:bidi="ar"/>
              </w:rPr>
              <w:t>绩</w:t>
            </w:r>
            <w:r>
              <w:rPr>
                <w:rFonts w:eastAsia="宋体"/>
                <w:kern w:val="0"/>
                <w:sz w:val="16"/>
                <w:szCs w:val="16"/>
                <w:lang w:bidi="ar"/>
              </w:rPr>
              <w:br w:type="textWrapping"/>
            </w:r>
            <w:r>
              <w:rPr>
                <w:rFonts w:eastAsia="宋体"/>
                <w:kern w:val="0"/>
                <w:sz w:val="16"/>
                <w:szCs w:val="16"/>
                <w:lang w:bidi="ar"/>
              </w:rPr>
              <w:t>效</w:t>
            </w:r>
            <w:r>
              <w:rPr>
                <w:rFonts w:eastAsia="宋体"/>
                <w:kern w:val="0"/>
                <w:sz w:val="16"/>
                <w:szCs w:val="16"/>
                <w:lang w:bidi="ar"/>
              </w:rPr>
              <w:br w:type="textWrapping"/>
            </w:r>
            <w:r>
              <w:rPr>
                <w:rFonts w:eastAsia="宋体"/>
                <w:kern w:val="0"/>
                <w:sz w:val="16"/>
                <w:szCs w:val="16"/>
                <w:lang w:bidi="ar"/>
              </w:rPr>
              <w:t>指</w:t>
            </w:r>
            <w:r>
              <w:rPr>
                <w:rFonts w:eastAsia="宋体"/>
                <w:kern w:val="0"/>
                <w:sz w:val="16"/>
                <w:szCs w:val="16"/>
                <w:lang w:bidi="ar"/>
              </w:rPr>
              <w:br w:type="textWrapping"/>
            </w:r>
            <w:r>
              <w:rPr>
                <w:rFonts w:eastAsia="宋体"/>
                <w:kern w:val="0"/>
                <w:sz w:val="16"/>
                <w:szCs w:val="16"/>
                <w:lang w:bidi="ar"/>
              </w:rPr>
              <w:t>标</w:t>
            </w:r>
          </w:p>
        </w:tc>
        <w:tc>
          <w:tcPr>
            <w:tcW w:w="1119"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一级指标</w:t>
            </w: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二级指标</w:t>
            </w:r>
          </w:p>
        </w:tc>
        <w:tc>
          <w:tcPr>
            <w:tcW w:w="1386" w:type="dxa"/>
            <w:noWrap/>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三级指标</w:t>
            </w:r>
          </w:p>
        </w:tc>
        <w:tc>
          <w:tcPr>
            <w:tcW w:w="1382" w:type="dxa"/>
            <w:noWrap/>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指标值</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全年实际完成值</w:t>
            </w:r>
          </w:p>
        </w:tc>
        <w:tc>
          <w:tcPr>
            <w:tcW w:w="1614"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restart"/>
            <w:noWrap/>
            <w:vAlign w:val="center"/>
          </w:tcPr>
          <w:p>
            <w:pPr>
              <w:widowControl/>
              <w:spacing w:line="0" w:lineRule="atLeast"/>
              <w:jc w:val="center"/>
              <w:textAlignment w:val="center"/>
              <w:rPr>
                <w:rFonts w:eastAsia="宋体"/>
                <w:kern w:val="0"/>
                <w:sz w:val="16"/>
                <w:szCs w:val="16"/>
                <w:lang w:bidi="ar"/>
              </w:rPr>
            </w:pPr>
          </w:p>
          <w:p>
            <w:pPr>
              <w:widowControl/>
              <w:spacing w:line="0" w:lineRule="atLeast"/>
              <w:jc w:val="center"/>
              <w:textAlignment w:val="center"/>
              <w:rPr>
                <w:rFonts w:eastAsia="宋体"/>
                <w:kern w:val="0"/>
                <w:sz w:val="16"/>
                <w:szCs w:val="16"/>
                <w:lang w:bidi="ar"/>
              </w:rPr>
            </w:pPr>
          </w:p>
          <w:p>
            <w:pPr>
              <w:widowControl/>
              <w:spacing w:line="0" w:lineRule="atLeast"/>
              <w:jc w:val="center"/>
              <w:textAlignment w:val="center"/>
              <w:rPr>
                <w:rFonts w:eastAsia="宋体"/>
                <w:sz w:val="16"/>
                <w:szCs w:val="16"/>
              </w:rPr>
            </w:pPr>
            <w:r>
              <w:rPr>
                <w:rFonts w:eastAsia="宋体"/>
                <w:kern w:val="0"/>
                <w:sz w:val="16"/>
                <w:szCs w:val="16"/>
                <w:lang w:bidi="ar"/>
              </w:rPr>
              <w:t>产出指标</w:t>
            </w:r>
          </w:p>
        </w:tc>
        <w:tc>
          <w:tcPr>
            <w:tcW w:w="2057" w:type="dxa"/>
            <w:gridSpan w:val="2"/>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数量指标</w:t>
            </w:r>
          </w:p>
        </w:tc>
        <w:tc>
          <w:tcPr>
            <w:tcW w:w="1386"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lang w:eastAsia="en-US"/>
              </w:rPr>
              <w:t>调运和储备饲草料</w:t>
            </w:r>
          </w:p>
        </w:tc>
        <w:tc>
          <w:tcPr>
            <w:tcW w:w="1382"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w:t>
            </w:r>
            <w:r>
              <w:rPr>
                <w:rFonts w:eastAsia="宋体"/>
                <w:snapToGrid w:val="0"/>
                <w:spacing w:val="-2"/>
                <w:kern w:val="0"/>
                <w:sz w:val="15"/>
                <w:szCs w:val="15"/>
                <w:lang w:eastAsia="en-US"/>
              </w:rPr>
              <w:t>54万吨</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0</w:t>
            </w:r>
          </w:p>
        </w:tc>
        <w:tc>
          <w:tcPr>
            <w:tcW w:w="1614" w:type="dxa"/>
            <w:vMerge w:val="restart"/>
            <w:noWrap/>
            <w:vAlign w:val="center"/>
          </w:tcPr>
          <w:p>
            <w:pPr>
              <w:widowControl/>
              <w:spacing w:line="0" w:lineRule="atLeast"/>
              <w:textAlignment w:val="center"/>
              <w:rPr>
                <w:rFonts w:eastAsia="宋体"/>
                <w:sz w:val="16"/>
                <w:szCs w:val="16"/>
              </w:rPr>
            </w:pPr>
            <w:r>
              <w:rPr>
                <w:rFonts w:hint="eastAsia" w:eastAsia="宋体"/>
                <w:kern w:val="0"/>
                <w:sz w:val="16"/>
                <w:szCs w:val="16"/>
                <w:lang w:bidi="ar"/>
              </w:rPr>
              <w:t>资金下发较晚，资金暂未执行，结余到2025年开展实施。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质量指标</w:t>
            </w:r>
          </w:p>
        </w:tc>
        <w:tc>
          <w:tcPr>
            <w:tcW w:w="1386"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用于农业生产救灾相关支出的比例</w:t>
            </w:r>
          </w:p>
        </w:tc>
        <w:tc>
          <w:tcPr>
            <w:tcW w:w="1382" w:type="dxa"/>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lang w:eastAsia="en-US"/>
              </w:rPr>
              <w:t>100%</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0</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时效指标</w:t>
            </w:r>
          </w:p>
        </w:tc>
        <w:tc>
          <w:tcPr>
            <w:tcW w:w="1386"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救灾资金下达到自治区3个月内预算执行率</w:t>
            </w:r>
          </w:p>
        </w:tc>
        <w:tc>
          <w:tcPr>
            <w:tcW w:w="1382" w:type="dxa"/>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w:t>
            </w:r>
            <w:r>
              <w:rPr>
                <w:rFonts w:eastAsia="宋体"/>
                <w:snapToGrid w:val="0"/>
                <w:spacing w:val="-2"/>
                <w:kern w:val="0"/>
                <w:sz w:val="15"/>
                <w:szCs w:val="15"/>
                <w:lang w:eastAsia="en-US"/>
              </w:rPr>
              <w:t>80%</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rPr>
              <w:t>0</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成本指标</w:t>
            </w:r>
          </w:p>
        </w:tc>
        <w:tc>
          <w:tcPr>
            <w:tcW w:w="1386" w:type="dxa"/>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lang w:eastAsia="en-US"/>
              </w:rPr>
              <w:t>采购物资或服务价格</w:t>
            </w:r>
          </w:p>
        </w:tc>
        <w:tc>
          <w:tcPr>
            <w:tcW w:w="1382" w:type="dxa"/>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lang w:eastAsia="en-US"/>
              </w:rPr>
              <w:t>不超过市场价格</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hint="eastAsia" w:eastAsia="宋体"/>
                <w:snapToGrid w:val="0"/>
                <w:spacing w:val="-2"/>
                <w:kern w:val="0"/>
                <w:sz w:val="15"/>
                <w:szCs w:val="15"/>
                <w:lang w:val="en-US" w:eastAsia="zh-CN"/>
              </w:rPr>
              <w:t>0</w:t>
            </w:r>
            <w:r>
              <w:rPr>
                <w:rFonts w:hint="eastAsia" w:eastAsia="宋体"/>
                <w:snapToGrid w:val="0"/>
                <w:spacing w:val="-2"/>
                <w:kern w:val="0"/>
                <w:sz w:val="15"/>
                <w:szCs w:val="15"/>
              </w:rPr>
              <w:t>%</w:t>
            </w:r>
          </w:p>
        </w:tc>
        <w:tc>
          <w:tcPr>
            <w:tcW w:w="1614" w:type="dxa"/>
            <w:vMerge w:val="restart"/>
            <w:vAlign w:val="center"/>
          </w:tcPr>
          <w:p>
            <w:pPr>
              <w:widowControl/>
              <w:spacing w:line="0" w:lineRule="atLeast"/>
              <w:textAlignment w:val="center"/>
              <w:rPr>
                <w:rFonts w:eastAsia="宋体"/>
                <w:sz w:val="16"/>
                <w:szCs w:val="16"/>
              </w:rPr>
            </w:pPr>
            <w:r>
              <w:rPr>
                <w:rFonts w:hint="eastAsia" w:eastAsia="宋体"/>
                <w:kern w:val="0"/>
                <w:sz w:val="16"/>
                <w:szCs w:val="16"/>
                <w:lang w:bidi="ar"/>
              </w:rPr>
              <w:t>资金下发较晚，资金暂未执行，结余到2025年开展实施。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restart"/>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效益指标</w:t>
            </w: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经济效益指标</w:t>
            </w:r>
          </w:p>
        </w:tc>
        <w:tc>
          <w:tcPr>
            <w:tcW w:w="1386"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受灾地区主要牲畜存栏量减幅</w:t>
            </w:r>
          </w:p>
        </w:tc>
        <w:tc>
          <w:tcPr>
            <w:tcW w:w="1382"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重灾区少减产,轻灾区不减产</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hint="eastAsia" w:eastAsia="宋体"/>
                <w:snapToGrid w:val="0"/>
                <w:spacing w:val="-2"/>
                <w:kern w:val="0"/>
                <w:sz w:val="15"/>
                <w:szCs w:val="15"/>
                <w:lang w:val="en-US" w:eastAsia="zh-CN"/>
              </w:rPr>
              <w:t>0</w:t>
            </w:r>
            <w:r>
              <w:rPr>
                <w:rFonts w:hint="eastAsia" w:eastAsia="宋体"/>
                <w:snapToGrid w:val="0"/>
                <w:spacing w:val="-2"/>
                <w:kern w:val="0"/>
                <w:sz w:val="15"/>
                <w:szCs w:val="15"/>
              </w:rPr>
              <w:t>%</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社会效益指标</w:t>
            </w:r>
          </w:p>
        </w:tc>
        <w:tc>
          <w:tcPr>
            <w:tcW w:w="1386"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灾区畜牧业生产秩序恢复</w:t>
            </w:r>
          </w:p>
        </w:tc>
        <w:tc>
          <w:tcPr>
            <w:tcW w:w="1382" w:type="dxa"/>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lang w:eastAsia="en-US"/>
              </w:rPr>
              <w:t>基本恢复</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hint="eastAsia" w:eastAsia="宋体"/>
                <w:snapToGrid w:val="0"/>
                <w:spacing w:val="-2"/>
                <w:kern w:val="0"/>
                <w:sz w:val="15"/>
                <w:szCs w:val="15"/>
                <w:lang w:val="en-US" w:eastAsia="zh-CN"/>
              </w:rPr>
              <w:t>0</w:t>
            </w:r>
            <w:r>
              <w:rPr>
                <w:rFonts w:hint="eastAsia" w:eastAsia="宋体"/>
                <w:snapToGrid w:val="0"/>
                <w:spacing w:val="-2"/>
                <w:kern w:val="0"/>
                <w:sz w:val="15"/>
                <w:szCs w:val="15"/>
              </w:rPr>
              <w:t>%</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sz w:val="16"/>
                <w:szCs w:val="16"/>
              </w:rPr>
              <w:t>生态效益指标</w:t>
            </w:r>
          </w:p>
        </w:tc>
        <w:tc>
          <w:tcPr>
            <w:tcW w:w="1386" w:type="dxa"/>
            <w:vAlign w:val="center"/>
          </w:tcPr>
          <w:p>
            <w:pPr>
              <w:widowControl/>
              <w:spacing w:line="0" w:lineRule="atLeast"/>
              <w:jc w:val="center"/>
              <w:textAlignment w:val="center"/>
              <w:rPr>
                <w:rFonts w:eastAsia="宋体"/>
                <w:snapToGrid w:val="0"/>
                <w:spacing w:val="-2"/>
                <w:kern w:val="0"/>
                <w:sz w:val="15"/>
                <w:szCs w:val="15"/>
              </w:rPr>
            </w:pPr>
            <w:r>
              <w:rPr>
                <w:rFonts w:eastAsia="宋体"/>
                <w:snapToGrid w:val="0"/>
                <w:spacing w:val="-2"/>
                <w:kern w:val="0"/>
                <w:sz w:val="15"/>
                <w:szCs w:val="15"/>
              </w:rPr>
              <w:t>灾区畜牧业生产能力恢复</w:t>
            </w:r>
          </w:p>
        </w:tc>
        <w:tc>
          <w:tcPr>
            <w:tcW w:w="1382" w:type="dxa"/>
            <w:vAlign w:val="center"/>
          </w:tcPr>
          <w:p>
            <w:pPr>
              <w:widowControl/>
              <w:spacing w:line="0" w:lineRule="atLeast"/>
              <w:jc w:val="center"/>
              <w:textAlignment w:val="center"/>
              <w:rPr>
                <w:rFonts w:eastAsia="宋体"/>
                <w:snapToGrid w:val="0"/>
                <w:spacing w:val="-2"/>
                <w:kern w:val="0"/>
                <w:sz w:val="15"/>
                <w:szCs w:val="15"/>
                <w:lang w:eastAsia="en-US"/>
              </w:rPr>
            </w:pPr>
            <w:r>
              <w:rPr>
                <w:rFonts w:eastAsia="宋体"/>
                <w:snapToGrid w:val="0"/>
                <w:spacing w:val="-2"/>
                <w:kern w:val="0"/>
                <w:sz w:val="15"/>
                <w:szCs w:val="15"/>
                <w:lang w:eastAsia="en-US"/>
              </w:rPr>
              <w:t>基本恢复</w:t>
            </w:r>
          </w:p>
        </w:tc>
        <w:tc>
          <w:tcPr>
            <w:tcW w:w="1235" w:type="dxa"/>
            <w:gridSpan w:val="2"/>
            <w:vAlign w:val="center"/>
          </w:tcPr>
          <w:p>
            <w:pPr>
              <w:widowControl/>
              <w:spacing w:line="0" w:lineRule="atLeast"/>
              <w:jc w:val="center"/>
              <w:textAlignment w:val="center"/>
              <w:rPr>
                <w:rFonts w:eastAsia="宋体"/>
                <w:snapToGrid w:val="0"/>
                <w:spacing w:val="-2"/>
                <w:kern w:val="0"/>
                <w:sz w:val="15"/>
                <w:szCs w:val="15"/>
                <w:lang w:eastAsia="en-US"/>
              </w:rPr>
            </w:pPr>
            <w:r>
              <w:rPr>
                <w:rFonts w:hint="eastAsia" w:eastAsia="宋体"/>
                <w:snapToGrid w:val="0"/>
                <w:spacing w:val="-2"/>
                <w:kern w:val="0"/>
                <w:sz w:val="15"/>
                <w:szCs w:val="15"/>
                <w:lang w:val="en-US" w:eastAsia="zh-CN"/>
              </w:rPr>
              <w:t>0</w:t>
            </w:r>
            <w:r>
              <w:rPr>
                <w:rFonts w:hint="eastAsia" w:eastAsia="宋体"/>
                <w:snapToGrid w:val="0"/>
                <w:spacing w:val="-2"/>
                <w:kern w:val="0"/>
                <w:sz w:val="15"/>
                <w:szCs w:val="15"/>
              </w:rPr>
              <w:t>%</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vMerge w:val="restart"/>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可持续影响指标</w:t>
            </w:r>
          </w:p>
        </w:tc>
        <w:tc>
          <w:tcPr>
            <w:tcW w:w="1386" w:type="dxa"/>
            <w:vAlign w:val="center"/>
          </w:tcPr>
          <w:p>
            <w:pPr>
              <w:widowControl/>
              <w:spacing w:line="0" w:lineRule="atLeast"/>
              <w:textAlignment w:val="center"/>
              <w:rPr>
                <w:rFonts w:eastAsia="宋体"/>
                <w:kern w:val="0"/>
                <w:sz w:val="16"/>
                <w:szCs w:val="16"/>
                <w:lang w:bidi="ar"/>
              </w:rPr>
            </w:pPr>
            <w:r>
              <w:rPr>
                <w:rFonts w:eastAsia="宋体"/>
                <w:kern w:val="0"/>
                <w:sz w:val="16"/>
                <w:szCs w:val="16"/>
                <w:lang w:bidi="ar"/>
              </w:rPr>
              <w:t>稳定农</w:t>
            </w:r>
            <w:r>
              <w:rPr>
                <w:rFonts w:hint="eastAsia" w:eastAsia="宋体"/>
                <w:kern w:val="0"/>
                <w:sz w:val="16"/>
                <w:szCs w:val="16"/>
                <w:lang w:bidi="ar"/>
              </w:rPr>
              <w:t>（</w:t>
            </w:r>
            <w:r>
              <w:rPr>
                <w:rFonts w:eastAsia="宋体"/>
                <w:kern w:val="0"/>
                <w:sz w:val="16"/>
                <w:szCs w:val="16"/>
                <w:lang w:bidi="ar"/>
              </w:rPr>
              <w:t>牧</w:t>
            </w:r>
            <w:r>
              <w:rPr>
                <w:rFonts w:hint="eastAsia" w:eastAsia="宋体"/>
                <w:kern w:val="0"/>
                <w:sz w:val="16"/>
                <w:szCs w:val="16"/>
                <w:lang w:bidi="ar"/>
              </w:rPr>
              <w:t>）</w:t>
            </w:r>
            <w:r>
              <w:rPr>
                <w:rFonts w:eastAsia="宋体"/>
                <w:kern w:val="0"/>
                <w:sz w:val="16"/>
                <w:szCs w:val="16"/>
                <w:lang w:bidi="ar"/>
              </w:rPr>
              <w:t>民生产积极性</w:t>
            </w:r>
          </w:p>
        </w:tc>
        <w:tc>
          <w:tcPr>
            <w:tcW w:w="1382" w:type="dxa"/>
            <w:vAlign w:val="center"/>
          </w:tcPr>
          <w:p>
            <w:pPr>
              <w:widowControl/>
              <w:spacing w:line="0" w:lineRule="atLeast"/>
              <w:jc w:val="center"/>
              <w:textAlignment w:val="center"/>
              <w:rPr>
                <w:rFonts w:eastAsia="宋体"/>
                <w:kern w:val="0"/>
                <w:sz w:val="16"/>
                <w:szCs w:val="16"/>
                <w:lang w:eastAsia="en-US" w:bidi="ar"/>
              </w:rPr>
            </w:pPr>
            <w:r>
              <w:rPr>
                <w:rFonts w:eastAsia="宋体"/>
                <w:kern w:val="0"/>
                <w:sz w:val="16"/>
                <w:szCs w:val="16"/>
                <w:lang w:eastAsia="en-US" w:bidi="ar"/>
              </w:rPr>
              <w:t>保持稳定</w:t>
            </w:r>
          </w:p>
        </w:tc>
        <w:tc>
          <w:tcPr>
            <w:tcW w:w="1235" w:type="dxa"/>
            <w:gridSpan w:val="2"/>
            <w:vAlign w:val="center"/>
          </w:tcPr>
          <w:p>
            <w:pPr>
              <w:widowControl/>
              <w:spacing w:line="0" w:lineRule="atLeast"/>
              <w:jc w:val="center"/>
              <w:textAlignment w:val="center"/>
              <w:rPr>
                <w:rFonts w:eastAsia="宋体"/>
                <w:sz w:val="16"/>
                <w:szCs w:val="16"/>
              </w:rPr>
            </w:pPr>
            <w:r>
              <w:rPr>
                <w:rFonts w:hint="eastAsia" w:eastAsia="宋体"/>
                <w:sz w:val="16"/>
                <w:szCs w:val="16"/>
                <w:lang w:val="en-US" w:eastAsia="zh-CN"/>
              </w:rPr>
              <w:t>0</w:t>
            </w:r>
            <w:r>
              <w:rPr>
                <w:rFonts w:hint="eastAsia" w:eastAsia="宋体"/>
                <w:sz w:val="16"/>
                <w:szCs w:val="16"/>
              </w:rPr>
              <w:t>%</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265" w:type="dxa"/>
            <w:vMerge w:val="continue"/>
            <w:vAlign w:val="center"/>
          </w:tcPr>
          <w:p>
            <w:pPr>
              <w:spacing w:line="0" w:lineRule="atLeast"/>
              <w:jc w:val="center"/>
              <w:rPr>
                <w:rFonts w:eastAsia="宋体"/>
                <w:sz w:val="16"/>
                <w:szCs w:val="16"/>
              </w:rPr>
            </w:pPr>
          </w:p>
        </w:tc>
        <w:tc>
          <w:tcPr>
            <w:tcW w:w="1119" w:type="dxa"/>
            <w:vMerge w:val="continue"/>
            <w:noWrap/>
            <w:vAlign w:val="center"/>
          </w:tcPr>
          <w:p>
            <w:pPr>
              <w:spacing w:line="0" w:lineRule="atLeast"/>
              <w:jc w:val="center"/>
              <w:rPr>
                <w:rFonts w:eastAsia="宋体"/>
                <w:sz w:val="16"/>
                <w:szCs w:val="16"/>
              </w:rPr>
            </w:pPr>
          </w:p>
        </w:tc>
        <w:tc>
          <w:tcPr>
            <w:tcW w:w="2057" w:type="dxa"/>
            <w:gridSpan w:val="2"/>
            <w:vMerge w:val="continue"/>
            <w:noWrap/>
            <w:vAlign w:val="center"/>
          </w:tcPr>
          <w:p>
            <w:pPr>
              <w:widowControl/>
              <w:spacing w:line="0" w:lineRule="atLeast"/>
              <w:jc w:val="center"/>
              <w:textAlignment w:val="center"/>
              <w:rPr>
                <w:rFonts w:eastAsia="宋体"/>
                <w:kern w:val="0"/>
                <w:sz w:val="16"/>
                <w:szCs w:val="16"/>
                <w:lang w:bidi="ar"/>
              </w:rPr>
            </w:pPr>
          </w:p>
        </w:tc>
        <w:tc>
          <w:tcPr>
            <w:tcW w:w="1386" w:type="dxa"/>
            <w:vAlign w:val="center"/>
          </w:tcPr>
          <w:p>
            <w:pPr>
              <w:widowControl/>
              <w:spacing w:line="0" w:lineRule="atLeast"/>
              <w:textAlignment w:val="center"/>
              <w:rPr>
                <w:rFonts w:eastAsia="宋体"/>
                <w:kern w:val="0"/>
                <w:sz w:val="16"/>
                <w:szCs w:val="16"/>
                <w:lang w:bidi="ar"/>
              </w:rPr>
            </w:pPr>
            <w:r>
              <w:rPr>
                <w:rFonts w:eastAsia="宋体"/>
                <w:kern w:val="0"/>
                <w:sz w:val="16"/>
                <w:szCs w:val="16"/>
                <w:lang w:bidi="ar"/>
              </w:rPr>
              <w:t>保证主要畜禽存栏量稳定</w:t>
            </w:r>
          </w:p>
        </w:tc>
        <w:tc>
          <w:tcPr>
            <w:tcW w:w="1382" w:type="dxa"/>
            <w:vAlign w:val="center"/>
          </w:tcPr>
          <w:p>
            <w:pPr>
              <w:widowControl/>
              <w:spacing w:line="0" w:lineRule="atLeast"/>
              <w:jc w:val="center"/>
              <w:textAlignment w:val="center"/>
              <w:rPr>
                <w:rFonts w:eastAsia="宋体"/>
                <w:kern w:val="0"/>
                <w:sz w:val="16"/>
                <w:szCs w:val="16"/>
                <w:lang w:eastAsia="en-US" w:bidi="ar"/>
              </w:rPr>
            </w:pPr>
            <w:r>
              <w:rPr>
                <w:rFonts w:eastAsia="宋体"/>
                <w:kern w:val="0"/>
                <w:sz w:val="16"/>
                <w:szCs w:val="16"/>
                <w:lang w:eastAsia="en-US" w:bidi="ar"/>
              </w:rPr>
              <w:t>保持稳定</w:t>
            </w:r>
          </w:p>
        </w:tc>
        <w:tc>
          <w:tcPr>
            <w:tcW w:w="1235" w:type="dxa"/>
            <w:gridSpan w:val="2"/>
            <w:vAlign w:val="center"/>
          </w:tcPr>
          <w:p>
            <w:pPr>
              <w:widowControl/>
              <w:spacing w:line="0" w:lineRule="atLeast"/>
              <w:jc w:val="center"/>
              <w:textAlignment w:val="center"/>
              <w:rPr>
                <w:rFonts w:eastAsia="宋体"/>
                <w:sz w:val="16"/>
                <w:szCs w:val="16"/>
              </w:rPr>
            </w:pPr>
            <w:r>
              <w:rPr>
                <w:rFonts w:hint="eastAsia" w:eastAsia="宋体"/>
                <w:sz w:val="16"/>
                <w:szCs w:val="16"/>
                <w:lang w:val="en-US" w:eastAsia="zh-CN"/>
              </w:rPr>
              <w:t>0</w:t>
            </w:r>
            <w:r>
              <w:rPr>
                <w:rFonts w:hint="eastAsia" w:eastAsia="宋体"/>
                <w:sz w:val="16"/>
                <w:szCs w:val="16"/>
              </w:rPr>
              <w:t>%</w:t>
            </w:r>
          </w:p>
        </w:tc>
        <w:tc>
          <w:tcPr>
            <w:tcW w:w="1614" w:type="dxa"/>
            <w:vMerge w:val="continue"/>
            <w:noWrap/>
            <w:vAlign w:val="center"/>
          </w:tcPr>
          <w:p>
            <w:pPr>
              <w:widowControl/>
              <w:spacing w:line="0" w:lineRule="atLeast"/>
              <w:textAlignment w:val="center"/>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4" w:hRule="atLeast"/>
          <w:jc w:val="center"/>
        </w:trPr>
        <w:tc>
          <w:tcPr>
            <w:tcW w:w="265" w:type="dxa"/>
            <w:vMerge w:val="continue"/>
            <w:vAlign w:val="center"/>
          </w:tcPr>
          <w:p>
            <w:pPr>
              <w:spacing w:line="0" w:lineRule="atLeast"/>
              <w:jc w:val="center"/>
              <w:rPr>
                <w:rFonts w:eastAsia="宋体"/>
                <w:sz w:val="16"/>
                <w:szCs w:val="16"/>
              </w:rPr>
            </w:pPr>
          </w:p>
        </w:tc>
        <w:tc>
          <w:tcPr>
            <w:tcW w:w="1119" w:type="dxa"/>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满意度指标</w:t>
            </w:r>
          </w:p>
        </w:tc>
        <w:tc>
          <w:tcPr>
            <w:tcW w:w="2057" w:type="dxa"/>
            <w:gridSpan w:val="2"/>
            <w:noWrap/>
            <w:vAlign w:val="center"/>
          </w:tcPr>
          <w:p>
            <w:pPr>
              <w:widowControl/>
              <w:spacing w:line="0" w:lineRule="atLeast"/>
              <w:jc w:val="center"/>
              <w:textAlignment w:val="center"/>
              <w:rPr>
                <w:rFonts w:eastAsia="宋体"/>
                <w:sz w:val="16"/>
                <w:szCs w:val="16"/>
              </w:rPr>
            </w:pPr>
            <w:r>
              <w:rPr>
                <w:rFonts w:eastAsia="宋体"/>
                <w:kern w:val="0"/>
                <w:sz w:val="16"/>
                <w:szCs w:val="16"/>
                <w:lang w:bidi="ar"/>
              </w:rPr>
              <w:t>服务对象满意度指标</w:t>
            </w:r>
          </w:p>
        </w:tc>
        <w:tc>
          <w:tcPr>
            <w:tcW w:w="1386" w:type="dxa"/>
            <w:vAlign w:val="center"/>
          </w:tcPr>
          <w:p>
            <w:pPr>
              <w:widowControl/>
              <w:spacing w:line="0" w:lineRule="atLeast"/>
              <w:textAlignment w:val="center"/>
              <w:rPr>
                <w:rFonts w:eastAsia="宋体"/>
                <w:kern w:val="0"/>
                <w:sz w:val="16"/>
                <w:szCs w:val="16"/>
                <w:lang w:bidi="ar"/>
              </w:rPr>
            </w:pPr>
            <w:r>
              <w:rPr>
                <w:rFonts w:eastAsia="宋体"/>
                <w:kern w:val="0"/>
                <w:sz w:val="16"/>
                <w:szCs w:val="16"/>
                <w:lang w:eastAsia="en-US" w:bidi="ar"/>
              </w:rPr>
              <w:t>指导服务对象满意度</w:t>
            </w:r>
          </w:p>
        </w:tc>
        <w:tc>
          <w:tcPr>
            <w:tcW w:w="1382" w:type="dxa"/>
            <w:vAlign w:val="center"/>
          </w:tcPr>
          <w:p>
            <w:pPr>
              <w:widowControl/>
              <w:spacing w:line="0" w:lineRule="atLeast"/>
              <w:jc w:val="center"/>
              <w:textAlignment w:val="center"/>
              <w:rPr>
                <w:rFonts w:eastAsia="宋体"/>
                <w:kern w:val="0"/>
                <w:sz w:val="16"/>
                <w:szCs w:val="16"/>
                <w:lang w:eastAsia="en-US" w:bidi="ar"/>
              </w:rPr>
            </w:pPr>
            <w:r>
              <w:rPr>
                <w:rFonts w:eastAsia="宋体"/>
                <w:kern w:val="0"/>
                <w:sz w:val="16"/>
                <w:szCs w:val="16"/>
                <w:lang w:bidi="ar"/>
              </w:rPr>
              <w:t>＞</w:t>
            </w:r>
            <w:r>
              <w:rPr>
                <w:rFonts w:eastAsia="宋体"/>
                <w:kern w:val="0"/>
                <w:sz w:val="16"/>
                <w:szCs w:val="16"/>
                <w:lang w:eastAsia="en-US" w:bidi="ar"/>
              </w:rPr>
              <w:t>8</w:t>
            </w:r>
            <w:r>
              <w:rPr>
                <w:rFonts w:eastAsia="宋体"/>
                <w:kern w:val="0"/>
                <w:sz w:val="16"/>
                <w:szCs w:val="16"/>
                <w:lang w:bidi="ar"/>
              </w:rPr>
              <w:t>5</w:t>
            </w:r>
            <w:r>
              <w:rPr>
                <w:rFonts w:eastAsia="宋体"/>
                <w:kern w:val="0"/>
                <w:sz w:val="16"/>
                <w:szCs w:val="16"/>
                <w:lang w:eastAsia="en-US" w:bidi="ar"/>
              </w:rPr>
              <w:t>%</w:t>
            </w:r>
          </w:p>
        </w:tc>
        <w:tc>
          <w:tcPr>
            <w:tcW w:w="1235" w:type="dxa"/>
            <w:gridSpan w:val="2"/>
            <w:vAlign w:val="center"/>
          </w:tcPr>
          <w:p>
            <w:pPr>
              <w:widowControl/>
              <w:spacing w:line="0" w:lineRule="atLeast"/>
              <w:jc w:val="center"/>
              <w:textAlignment w:val="center"/>
              <w:rPr>
                <w:rFonts w:hint="eastAsia" w:eastAsia="宋体"/>
                <w:sz w:val="16"/>
                <w:szCs w:val="16"/>
                <w:lang w:val="en-US" w:eastAsia="zh-CN"/>
              </w:rPr>
            </w:pPr>
            <w:r>
              <w:rPr>
                <w:rFonts w:eastAsia="宋体"/>
                <w:sz w:val="16"/>
                <w:szCs w:val="16"/>
              </w:rPr>
              <w:t>0</w:t>
            </w:r>
            <w:r>
              <w:rPr>
                <w:rFonts w:hint="eastAsia" w:eastAsia="宋体"/>
                <w:sz w:val="16"/>
                <w:szCs w:val="16"/>
                <w:lang w:val="en-US" w:eastAsia="zh-CN"/>
              </w:rPr>
              <w:t>%</w:t>
            </w:r>
          </w:p>
        </w:tc>
        <w:tc>
          <w:tcPr>
            <w:tcW w:w="1614" w:type="dxa"/>
            <w:noWrap/>
            <w:vAlign w:val="center"/>
          </w:tcPr>
          <w:p>
            <w:pPr>
              <w:widowControl/>
              <w:spacing w:line="0" w:lineRule="atLeast"/>
              <w:textAlignment w:val="center"/>
              <w:rPr>
                <w:rFonts w:eastAsia="宋体"/>
                <w:sz w:val="16"/>
                <w:szCs w:val="16"/>
              </w:rPr>
            </w:pPr>
            <w:r>
              <w:rPr>
                <w:rFonts w:hint="eastAsia" w:eastAsia="宋体"/>
                <w:kern w:val="0"/>
                <w:sz w:val="16"/>
                <w:szCs w:val="16"/>
                <w:lang w:bidi="ar"/>
              </w:rPr>
              <w:t>资金下发较晚，资金暂未执行，结余到2025年开展实施。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65" w:type="dxa"/>
            <w:noWrap/>
            <w:vAlign w:val="center"/>
          </w:tcPr>
          <w:p>
            <w:pPr>
              <w:widowControl/>
              <w:spacing w:line="0" w:lineRule="atLeast"/>
              <w:jc w:val="left"/>
              <w:textAlignment w:val="center"/>
              <w:rPr>
                <w:rFonts w:eastAsia="宋体"/>
                <w:sz w:val="16"/>
                <w:szCs w:val="16"/>
              </w:rPr>
            </w:pPr>
            <w:r>
              <w:rPr>
                <w:rFonts w:eastAsia="宋体"/>
                <w:kern w:val="0"/>
                <w:sz w:val="16"/>
                <w:szCs w:val="16"/>
                <w:lang w:bidi="ar"/>
              </w:rPr>
              <w:t>说明</w:t>
            </w:r>
          </w:p>
        </w:tc>
        <w:tc>
          <w:tcPr>
            <w:tcW w:w="8793" w:type="dxa"/>
            <w:gridSpan w:val="8"/>
            <w:noWrap/>
            <w:vAlign w:val="center"/>
          </w:tcPr>
          <w:p>
            <w:pPr>
              <w:widowControl/>
              <w:spacing w:line="0" w:lineRule="atLeast"/>
              <w:jc w:val="center"/>
              <w:textAlignment w:val="center"/>
              <w:rPr>
                <w:rFonts w:eastAsia="宋体"/>
                <w:sz w:val="16"/>
                <w:szCs w:val="16"/>
              </w:rPr>
            </w:pPr>
            <w:r>
              <w:rPr>
                <w:rFonts w:hint="eastAsia" w:eastAsia="宋体"/>
                <w:kern w:val="0"/>
                <w:sz w:val="16"/>
                <w:szCs w:val="16"/>
                <w:lang w:bidi="ar"/>
              </w:rPr>
              <w:t>2024年12月15日财政部下达</w:t>
            </w:r>
            <w:r>
              <w:rPr>
                <w:rFonts w:eastAsia="宋体"/>
                <w:kern w:val="0"/>
                <w:sz w:val="16"/>
                <w:szCs w:val="16"/>
                <w:lang w:bidi="ar"/>
              </w:rPr>
              <w:t>农业防灾减灾和水利救灾资金（防灾救灾第十一批）</w:t>
            </w:r>
            <w:r>
              <w:rPr>
                <w:rFonts w:hint="eastAsia" w:eastAsia="宋体"/>
                <w:kern w:val="0"/>
                <w:sz w:val="16"/>
                <w:szCs w:val="16"/>
                <w:lang w:bidi="ar"/>
              </w:rPr>
              <w:t>9620万元，2024年</w:t>
            </w:r>
            <w:r>
              <w:rPr>
                <w:rFonts w:eastAsia="宋体"/>
                <w:kern w:val="0"/>
                <w:sz w:val="16"/>
                <w:szCs w:val="16"/>
                <w:lang w:bidi="ar"/>
              </w:rPr>
              <w:t>12月29日，</w:t>
            </w:r>
            <w:r>
              <w:rPr>
                <w:rFonts w:hint="eastAsia" w:eastAsia="宋体"/>
                <w:kern w:val="0"/>
                <w:sz w:val="16"/>
                <w:szCs w:val="16"/>
                <w:lang w:bidi="ar"/>
              </w:rPr>
              <w:t>我区将资金分解下达至</w:t>
            </w:r>
            <w:r>
              <w:rPr>
                <w:rFonts w:eastAsia="宋体"/>
                <w:kern w:val="0"/>
                <w:sz w:val="16"/>
                <w:szCs w:val="16"/>
                <w:lang w:bidi="ar"/>
              </w:rPr>
              <w:t>各项目执行县，</w:t>
            </w:r>
            <w:r>
              <w:rPr>
                <w:rFonts w:hint="eastAsia" w:eastAsia="宋体"/>
                <w:kern w:val="0"/>
                <w:sz w:val="16"/>
                <w:szCs w:val="16"/>
                <w:lang w:eastAsia="zh-CN" w:bidi="ar"/>
              </w:rPr>
              <w:t>截至</w:t>
            </w:r>
            <w:r>
              <w:rPr>
                <w:rFonts w:hint="eastAsia" w:eastAsia="宋体"/>
                <w:kern w:val="0"/>
                <w:sz w:val="16"/>
                <w:szCs w:val="16"/>
                <w:lang w:bidi="ar"/>
              </w:rPr>
              <w:t>2024年底，各地仅开展项目前期工作，资金暂未执行</w:t>
            </w:r>
            <w:r>
              <w:rPr>
                <w:rFonts w:eastAsia="宋体"/>
                <w:kern w:val="0"/>
                <w:sz w:val="16"/>
                <w:szCs w:val="16"/>
                <w:lang w:bidi="ar"/>
              </w:rPr>
              <w:t>。</w:t>
            </w:r>
          </w:p>
        </w:tc>
      </w:tr>
    </w:tbl>
    <w:p>
      <w:pPr>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br w:type="page"/>
      </w:r>
    </w:p>
    <w:p>
      <w:pPr>
        <w:pStyle w:val="12"/>
        <w:spacing w:line="600" w:lineRule="exact"/>
        <w:ind w:firstLine="0" w:firstLineChars="0"/>
        <w:jc w:val="left"/>
        <w:rPr>
          <w:rFonts w:hint="eastAsia" w:ascii="方正黑体_GBK" w:hAnsi="方正黑体_GBK" w:eastAsia="方正黑体_GBK" w:cs="方正黑体_GBK"/>
          <w:sz w:val="32"/>
        </w:rPr>
      </w:pPr>
      <w:r>
        <w:rPr>
          <w:rFonts w:hint="eastAsia" w:ascii="方正黑体_GBK" w:hAnsi="方正黑体_GBK" w:eastAsia="方正黑体_GBK" w:cs="方正黑体_GBK"/>
          <w:sz w:val="32"/>
        </w:rPr>
        <w:t>附件4：</w:t>
      </w:r>
    </w:p>
    <w:p>
      <w:pPr>
        <w:rPr>
          <w:rFonts w:hint="eastAsia"/>
          <w:b/>
          <w:bCs/>
          <w:sz w:val="22"/>
          <w:szCs w:val="20"/>
        </w:rPr>
      </w:pPr>
      <w:r>
        <w:rPr>
          <w:rFonts w:hint="eastAsia" w:asciiTheme="minorEastAsia" w:hAnsiTheme="minorEastAsia" w:eastAsiaTheme="minorEastAsia" w:cstheme="minorEastAsia"/>
          <w:b/>
          <w:bCs/>
          <w:sz w:val="36"/>
          <w:szCs w:val="36"/>
        </w:rPr>
        <w:t>2024年中央农业防灾减灾和水利救灾资金（动物防疫补助）转移支付区域（项目）绩效目标自评表</w:t>
      </w:r>
    </w:p>
    <w:tbl>
      <w:tblPr>
        <w:tblStyle w:val="14"/>
        <w:tblW w:w="9064" w:type="dxa"/>
        <w:tblInd w:w="-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
        <w:gridCol w:w="415"/>
        <w:gridCol w:w="377"/>
        <w:gridCol w:w="787"/>
        <w:gridCol w:w="1191"/>
        <w:gridCol w:w="1124"/>
        <w:gridCol w:w="355"/>
        <w:gridCol w:w="4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041" w:type="dxa"/>
            <w:gridSpan w:val="3"/>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转移支付(项</w:t>
            </w:r>
            <w:r>
              <w:rPr>
                <w:rFonts w:hint="eastAsia" w:eastAsia="宋体"/>
                <w:kern w:val="0"/>
                <w:sz w:val="16"/>
                <w:szCs w:val="16"/>
                <w:lang w:bidi="ar"/>
              </w:rPr>
              <w:t>目</w:t>
            </w:r>
            <w:r>
              <w:rPr>
                <w:rFonts w:eastAsia="宋体"/>
                <w:kern w:val="0"/>
                <w:sz w:val="16"/>
                <w:szCs w:val="16"/>
                <w:lang w:bidi="ar"/>
              </w:rPr>
              <w:t>)名称</w:t>
            </w:r>
          </w:p>
        </w:tc>
        <w:tc>
          <w:tcPr>
            <w:tcW w:w="8023" w:type="dxa"/>
            <w:gridSpan w:val="5"/>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2024年中央农业防灾减灾和水利救灾资金（动物防疫补助）转移支付区域（项目）绩效目标自评表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中央主管部门</w:t>
            </w:r>
          </w:p>
        </w:tc>
        <w:tc>
          <w:tcPr>
            <w:tcW w:w="8023" w:type="dxa"/>
            <w:gridSpan w:val="5"/>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1041" w:type="dxa"/>
            <w:gridSpan w:val="3"/>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地方主管部门</w:t>
            </w: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自治区财政厅、自治区农业农村厅</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资金使用单位</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各地（州、市）财政局、农业农村局</w:t>
            </w:r>
            <w:r>
              <w:rPr>
                <w:rFonts w:eastAsia="宋体"/>
                <w:kern w:val="0"/>
                <w:sz w:val="16"/>
                <w:szCs w:val="16"/>
                <w:lang w:bidi="ar"/>
              </w:rPr>
              <w:t>(</w:t>
            </w:r>
            <w:r>
              <w:rPr>
                <w:rFonts w:hint="eastAsia" w:eastAsia="宋体"/>
                <w:kern w:val="0"/>
                <w:sz w:val="16"/>
                <w:szCs w:val="16"/>
                <w:lang w:bidi="ar"/>
              </w:rPr>
              <w:t>畜牧兽医局</w:t>
            </w:r>
            <w:r>
              <w:rPr>
                <w:rFonts w:eastAsia="宋体"/>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资金投入情况(万元)</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p>
        </w:tc>
        <w:tc>
          <w:tcPr>
            <w:tcW w:w="1191"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全年预算数(A)</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全年执行数(B)</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预竹执行率(B/A×100%)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年度资金总额：</w:t>
            </w:r>
          </w:p>
        </w:tc>
        <w:tc>
          <w:tcPr>
            <w:tcW w:w="1191"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29482.74</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28791.223</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其中：中央财政资金</w:t>
            </w:r>
          </w:p>
        </w:tc>
        <w:tc>
          <w:tcPr>
            <w:tcW w:w="1191"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29147</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28456.588</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地方资金</w:t>
            </w:r>
          </w:p>
        </w:tc>
        <w:tc>
          <w:tcPr>
            <w:tcW w:w="1191"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335.735</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334.635</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其他资金</w:t>
            </w:r>
          </w:p>
        </w:tc>
        <w:tc>
          <w:tcPr>
            <w:tcW w:w="1191" w:type="dxa"/>
            <w:shd w:val="clear" w:color="auto" w:fill="auto"/>
            <w:vAlign w:val="center"/>
          </w:tcPr>
          <w:p>
            <w:pPr>
              <w:widowControl/>
              <w:spacing w:line="0" w:lineRule="atLeast"/>
              <w:jc w:val="center"/>
              <w:textAlignment w:val="center"/>
              <w:rPr>
                <w:rFonts w:eastAsia="宋体"/>
                <w:kern w:val="0"/>
                <w:sz w:val="16"/>
                <w:szCs w:val="16"/>
                <w:lang w:bidi="ar"/>
              </w:rPr>
            </w:pP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资金管理情况</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p>
        </w:tc>
        <w:tc>
          <w:tcPr>
            <w:tcW w:w="2670" w:type="dxa"/>
            <w:gridSpan w:val="3"/>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情况说明</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分配科学性</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依照国家下达任务清单，结合新疆实际，综合考虑各地（州、市）畜禽饲养量、防疫工作任务量、上年度资金执行率等绩效完成情况等因素科学合理分配资金。</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下达及时性</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严格按照〔2023〕88号、财农〔2024〕14号要求，在通知规定的时限内将资金下达至县级以上财政部门，做到了及时下达。</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拨付合规性</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严格按照《中华人民共和国预算法》、《中央财政预算执行动态监控管理办法》（财库〔2020〕3号）等法律法规的要求，拨付资金。</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使用规范性</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严格按照《农业防灾减灾和水利救灾资金管理办法》（财农〔2023〕13号）和《新疆维吾尔自治区动物防疫等补助经费管理办法》等规章制度，规范使用补助资金。</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执行准确性</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按照上级下达和本级预算安排的金额和任务清单所涉及的项目类型执行，不存在执行数偏离预算数较多的问题。</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预算绩效管理情况</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在细化下达预算时同步下达绩效目标，将有关资金纳入本级预算或对下转移支付绩效管理，开展绩效监控和绩效评价。</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41" w:type="dxa"/>
            <w:gridSpan w:val="3"/>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978"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支出责任履行情况</w:t>
            </w:r>
          </w:p>
        </w:tc>
        <w:tc>
          <w:tcPr>
            <w:tcW w:w="1479"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对共同财政事权转移支付，按照财政事权和支出责任划分有关规定，足额安排资金履行本级支出责任。</w:t>
            </w:r>
          </w:p>
        </w:tc>
        <w:tc>
          <w:tcPr>
            <w:tcW w:w="4566"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49"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总体目标完成情况</w:t>
            </w:r>
          </w:p>
        </w:tc>
        <w:tc>
          <w:tcPr>
            <w:tcW w:w="1579" w:type="dxa"/>
            <w:gridSpan w:val="3"/>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总体月标</w:t>
            </w:r>
          </w:p>
        </w:tc>
        <w:tc>
          <w:tcPr>
            <w:tcW w:w="7236" w:type="dxa"/>
            <w:gridSpan w:val="4"/>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1579" w:type="dxa"/>
            <w:gridSpan w:val="3"/>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根据相关规划或实施方案，结合地方实际开展强制免疫、强制扑杀和销毁以及养殖环节无害化处理等方面工作。</w:t>
            </w:r>
          </w:p>
        </w:tc>
        <w:tc>
          <w:tcPr>
            <w:tcW w:w="7236" w:type="dxa"/>
            <w:gridSpan w:val="4"/>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强制免疫、强制扑杀和养殖环节病死猪无害化处理均按国家要求较好完成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9"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绩效指标</w:t>
            </w:r>
          </w:p>
        </w:tc>
        <w:tc>
          <w:tcPr>
            <w:tcW w:w="415"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一级指标</w:t>
            </w:r>
          </w:p>
        </w:tc>
        <w:tc>
          <w:tcPr>
            <w:tcW w:w="377"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二级指标</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三级指标</w:t>
            </w:r>
          </w:p>
        </w:tc>
        <w:tc>
          <w:tcPr>
            <w:tcW w:w="1191"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指标值</w:t>
            </w:r>
          </w:p>
        </w:tc>
        <w:tc>
          <w:tcPr>
            <w:tcW w:w="1124"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全年实际完成值</w:t>
            </w:r>
          </w:p>
        </w:tc>
        <w:tc>
          <w:tcPr>
            <w:tcW w:w="4921" w:type="dxa"/>
            <w:gridSpan w:val="2"/>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未完成原因和改进括施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产出指标</w:t>
            </w:r>
          </w:p>
        </w:tc>
        <w:tc>
          <w:tcPr>
            <w:tcW w:w="377"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数量指标</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强制扑杀补助数量（头、只）</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12382</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12367</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一是自治区财政厅随文下达强制扑杀补助数量</w:t>
            </w:r>
            <w:r>
              <w:rPr>
                <w:rFonts w:eastAsia="宋体"/>
                <w:kern w:val="0"/>
                <w:sz w:val="16"/>
                <w:szCs w:val="16"/>
                <w:lang w:bidi="ar"/>
              </w:rPr>
              <w:t>(头、只)指标，指标值为 1161(头、只)，未完成原因为:阿勒泰市在疫情监测平台数据上报时在 2022年至2023年强制扑杀的15头奶牛重复统计。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养殖环节病死猪无害化处理补助数量（头）</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115867</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112647</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一是克州养殖环节病死畜禽无害化处理补助头数，阿克陶县在制定2024年度“养殖环节病死猪无害化处理补助头数”指标时，将指标值设定为210头，而在实际执行过程中最终完成无害化处理补助头数仅为59头，导致实际完成数据与所设指标值存在较大差距。因实际完成的病死畜禽无害化处理补助头数远低于设定指标值。二是喀什地区已将材料已提交财政局，目前因县财政紧张，暂未进行支付，下一步督促县级财政加快支付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重大动物疫情应扑杀动物扑杀率</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100%</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100%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质量指标</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春秋防检查免疫抗体合格率（除布病和包虫病外）</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≥70%</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≥70%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春秋防检查养殖场户免疫密度合格率</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≥90%</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依法对重大动物疫情处置率</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100%</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100%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时效指标</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重大动物疫情及时报告率</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100%</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100%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社会效益</w:t>
            </w:r>
            <w:r>
              <w:rPr>
                <w:rFonts w:eastAsia="宋体"/>
                <w:kern w:val="0"/>
                <w:sz w:val="16"/>
                <w:szCs w:val="16"/>
                <w:lang w:bidi="ar"/>
              </w:rPr>
              <w:br w:type="textWrapping"/>
            </w:r>
            <w:r>
              <w:rPr>
                <w:rFonts w:eastAsia="宋体"/>
                <w:kern w:val="0"/>
                <w:sz w:val="16"/>
                <w:szCs w:val="16"/>
                <w:lang w:bidi="ar"/>
              </w:rPr>
              <w:t>指标</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大规模随意抛弃病死猪事件发生率</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不发生</w:t>
            </w:r>
          </w:p>
        </w:tc>
        <w:tc>
          <w:tcPr>
            <w:tcW w:w="1124" w:type="dxa"/>
            <w:shd w:val="clear" w:color="auto" w:fill="auto"/>
            <w:noWrap/>
            <w:vAlign w:val="center"/>
          </w:tcPr>
          <w:p>
            <w:pPr>
              <w:widowControl/>
              <w:spacing w:line="0" w:lineRule="atLeast"/>
              <w:jc w:val="center"/>
              <w:textAlignment w:val="center"/>
              <w:rPr>
                <w:rFonts w:hint="default" w:eastAsia="宋体"/>
                <w:kern w:val="0"/>
                <w:sz w:val="16"/>
                <w:szCs w:val="16"/>
                <w:lang w:val="en-US" w:eastAsia="zh-CN" w:bidi="ar"/>
              </w:rPr>
            </w:pPr>
            <w:r>
              <w:rPr>
                <w:rFonts w:hint="eastAsia" w:eastAsia="宋体"/>
                <w:kern w:val="0"/>
                <w:sz w:val="16"/>
                <w:szCs w:val="16"/>
                <w:lang w:val="en-US" w:eastAsia="zh-CN" w:bidi="ar"/>
              </w:rPr>
              <w:t>100%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restart"/>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效益指标</w:t>
            </w:r>
          </w:p>
        </w:tc>
        <w:tc>
          <w:tcPr>
            <w:tcW w:w="377"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资金使用重大违规违纪问题</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因扑杀不及时造成重大动物疫情扩散</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不发生</w:t>
            </w:r>
          </w:p>
        </w:tc>
        <w:tc>
          <w:tcPr>
            <w:tcW w:w="1124" w:type="dxa"/>
            <w:shd w:val="clear" w:color="auto" w:fill="auto"/>
            <w:noWrap/>
            <w:vAlign w:val="center"/>
          </w:tcPr>
          <w:p>
            <w:pPr>
              <w:widowControl/>
              <w:spacing w:line="0" w:lineRule="atLeast"/>
              <w:jc w:val="center"/>
              <w:textAlignment w:val="center"/>
              <w:rPr>
                <w:rFonts w:hint="default" w:eastAsia="宋体"/>
                <w:kern w:val="0"/>
                <w:sz w:val="16"/>
                <w:szCs w:val="16"/>
                <w:lang w:val="en-US" w:eastAsia="zh-CN" w:bidi="ar"/>
              </w:rPr>
            </w:pPr>
            <w:r>
              <w:rPr>
                <w:rFonts w:hint="eastAsia" w:eastAsia="宋体"/>
                <w:kern w:val="0"/>
                <w:sz w:val="16"/>
                <w:szCs w:val="16"/>
                <w:lang w:val="en-US" w:eastAsia="zh-CN" w:bidi="ar"/>
              </w:rPr>
              <w:t>100%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9"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415" w:type="dxa"/>
            <w:vMerge w:val="continue"/>
            <w:shd w:val="clear" w:color="auto" w:fill="auto"/>
            <w:vAlign w:val="center"/>
          </w:tcPr>
          <w:p>
            <w:pPr>
              <w:widowControl/>
              <w:spacing w:line="0" w:lineRule="atLeast"/>
              <w:jc w:val="center"/>
              <w:textAlignment w:val="center"/>
              <w:rPr>
                <w:rFonts w:eastAsia="宋体"/>
                <w:kern w:val="0"/>
                <w:sz w:val="16"/>
                <w:szCs w:val="16"/>
                <w:lang w:bidi="ar"/>
              </w:rPr>
            </w:pPr>
          </w:p>
        </w:tc>
        <w:tc>
          <w:tcPr>
            <w:tcW w:w="37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服务对象满意度指标</w:t>
            </w:r>
          </w:p>
        </w:tc>
        <w:tc>
          <w:tcPr>
            <w:tcW w:w="787" w:type="dxa"/>
            <w:shd w:val="clear" w:color="auto" w:fill="auto"/>
            <w:vAlign w:val="center"/>
          </w:tcPr>
          <w:p>
            <w:pPr>
              <w:widowControl/>
              <w:spacing w:line="0" w:lineRule="atLeast"/>
              <w:jc w:val="center"/>
              <w:textAlignment w:val="center"/>
              <w:rPr>
                <w:rFonts w:eastAsia="宋体"/>
                <w:kern w:val="0"/>
                <w:sz w:val="16"/>
                <w:szCs w:val="16"/>
                <w:lang w:bidi="ar"/>
              </w:rPr>
            </w:pPr>
            <w:r>
              <w:rPr>
                <w:rFonts w:hint="eastAsia" w:eastAsia="宋体"/>
                <w:kern w:val="0"/>
                <w:sz w:val="16"/>
                <w:szCs w:val="16"/>
                <w:lang w:bidi="ar"/>
              </w:rPr>
              <w:t>补助对象对政策实施的满意度</w:t>
            </w:r>
          </w:p>
        </w:tc>
        <w:tc>
          <w:tcPr>
            <w:tcW w:w="1191"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≥90%</w:t>
            </w:r>
          </w:p>
        </w:tc>
        <w:tc>
          <w:tcPr>
            <w:tcW w:w="1124" w:type="dxa"/>
            <w:shd w:val="clear" w:color="auto" w:fill="auto"/>
            <w:noWrap/>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≥90%</w:t>
            </w:r>
          </w:p>
        </w:tc>
        <w:tc>
          <w:tcPr>
            <w:tcW w:w="4921" w:type="dxa"/>
            <w:gridSpan w:val="2"/>
            <w:shd w:val="clear" w:color="auto" w:fill="auto"/>
            <w:noWrap/>
            <w:vAlign w:val="center"/>
          </w:tcPr>
          <w:p>
            <w:pPr>
              <w:widowControl/>
              <w:spacing w:line="0" w:lineRule="atLeast"/>
              <w:jc w:val="center"/>
              <w:textAlignment w:val="center"/>
              <w:rPr>
                <w:rFonts w:eastAsia="宋体"/>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9" w:type="dxa"/>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说明</w:t>
            </w:r>
          </w:p>
        </w:tc>
        <w:tc>
          <w:tcPr>
            <w:tcW w:w="8815" w:type="dxa"/>
            <w:gridSpan w:val="7"/>
            <w:shd w:val="clear" w:color="auto" w:fill="auto"/>
            <w:vAlign w:val="center"/>
          </w:tcPr>
          <w:p>
            <w:pPr>
              <w:widowControl/>
              <w:spacing w:line="0" w:lineRule="atLeast"/>
              <w:jc w:val="center"/>
              <w:textAlignment w:val="center"/>
              <w:rPr>
                <w:rFonts w:eastAsia="宋体"/>
                <w:kern w:val="0"/>
                <w:sz w:val="16"/>
                <w:szCs w:val="16"/>
                <w:lang w:bidi="ar"/>
              </w:rPr>
            </w:pPr>
            <w:r>
              <w:rPr>
                <w:rFonts w:eastAsia="宋体"/>
                <w:kern w:val="0"/>
                <w:sz w:val="16"/>
                <w:szCs w:val="16"/>
                <w:lang w:bidi="ar"/>
              </w:rPr>
              <w:t>无</w:t>
            </w:r>
          </w:p>
        </w:tc>
      </w:tr>
    </w:tbl>
    <w:p>
      <w:pPr>
        <w:rPr>
          <w:rFonts w:hint="eastAsia"/>
          <w:b/>
          <w:bCs/>
          <w:sz w:val="22"/>
          <w:szCs w:val="20"/>
        </w:rPr>
      </w:pPr>
    </w:p>
    <w:p>
      <w:pPr>
        <w:rPr>
          <w:b/>
          <w:bCs/>
          <w:sz w:val="22"/>
          <w:szCs w:val="20"/>
        </w:rPr>
      </w:pPr>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等线">
    <w:altName w:val="汉仪中圆B5"/>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圆B5">
    <w:panose1 w:val="02010600000101010101"/>
    <w:charset w:val="88"/>
    <w:family w:val="auto"/>
    <w:pitch w:val="default"/>
    <w:sig w:usb0="00000001" w:usb1="080E0800" w:usb2="00000002"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npu/GgIAACc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Uq7IcujLpK0uoycrdtuuX3Vr&#10;6xM29fYileD4qsEoaxbiI/PQBsaH3uMDDqksWtreomRv/ae/3ad8UIYoJS20VlGDx0CJemtAZZLl&#10;YPjB2A6GOeg7C/GCHsySTfzgoxpM6a3+iEewTD0kUwGFmeHoBqIG8y7C64N4TFwsl1cfQnQsrs3G&#10;8Z7ahFZwy0MEuhn0hNEFGJCVHKgx09a/nCT3X/2c9fS+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B6em78aAgAAJwQAAA4AAAAAAAAAAQAgAAAANQEAAGRycy9lMm9Eb2MueG1sUEsFBgAA&#10;AAAGAAYAWQEAAME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8A60BA"/>
    <w:multiLevelType w:val="singleLevel"/>
    <w:tmpl w:val="4F8A60B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Y2FlYmQ5ZDk2ODhhNjA1MDNkMTg2OGE1NTVkYmYifQ=="/>
  </w:docVars>
  <w:rsids>
    <w:rsidRoot w:val="690A7624"/>
    <w:rsid w:val="000338BE"/>
    <w:rsid w:val="000C6B81"/>
    <w:rsid w:val="001519CF"/>
    <w:rsid w:val="001D529F"/>
    <w:rsid w:val="00223AAD"/>
    <w:rsid w:val="00272559"/>
    <w:rsid w:val="002C4674"/>
    <w:rsid w:val="00364BE2"/>
    <w:rsid w:val="0047130A"/>
    <w:rsid w:val="004A2E77"/>
    <w:rsid w:val="004C5706"/>
    <w:rsid w:val="004D2B50"/>
    <w:rsid w:val="0060797C"/>
    <w:rsid w:val="00705C0C"/>
    <w:rsid w:val="00767E72"/>
    <w:rsid w:val="0078513C"/>
    <w:rsid w:val="008126E2"/>
    <w:rsid w:val="009A632D"/>
    <w:rsid w:val="009F2599"/>
    <w:rsid w:val="009F44BE"/>
    <w:rsid w:val="00A95F6B"/>
    <w:rsid w:val="00B273AA"/>
    <w:rsid w:val="00BD0823"/>
    <w:rsid w:val="00C3560A"/>
    <w:rsid w:val="00D158E6"/>
    <w:rsid w:val="00D15BE9"/>
    <w:rsid w:val="00D9319D"/>
    <w:rsid w:val="00DE7D95"/>
    <w:rsid w:val="00E5381C"/>
    <w:rsid w:val="00E53E9E"/>
    <w:rsid w:val="00EF362C"/>
    <w:rsid w:val="00F6271D"/>
    <w:rsid w:val="00FA46D1"/>
    <w:rsid w:val="01D9415D"/>
    <w:rsid w:val="02F2197A"/>
    <w:rsid w:val="03D34F9C"/>
    <w:rsid w:val="05336BA0"/>
    <w:rsid w:val="07434552"/>
    <w:rsid w:val="07B94814"/>
    <w:rsid w:val="07E55609"/>
    <w:rsid w:val="080B17EA"/>
    <w:rsid w:val="0902043D"/>
    <w:rsid w:val="0B1464A6"/>
    <w:rsid w:val="0BFC73C5"/>
    <w:rsid w:val="0CA21D12"/>
    <w:rsid w:val="0D5C5C58"/>
    <w:rsid w:val="0E1C78AB"/>
    <w:rsid w:val="0E9B34BF"/>
    <w:rsid w:val="0EC3241C"/>
    <w:rsid w:val="0F39623B"/>
    <w:rsid w:val="0FCD53EB"/>
    <w:rsid w:val="103510F8"/>
    <w:rsid w:val="132C67E2"/>
    <w:rsid w:val="13DF3855"/>
    <w:rsid w:val="140040F4"/>
    <w:rsid w:val="14514BA0"/>
    <w:rsid w:val="145204CA"/>
    <w:rsid w:val="156A35F2"/>
    <w:rsid w:val="15C076B6"/>
    <w:rsid w:val="16730284"/>
    <w:rsid w:val="169C4ED1"/>
    <w:rsid w:val="18F629B6"/>
    <w:rsid w:val="193D18B1"/>
    <w:rsid w:val="19EDC8C0"/>
    <w:rsid w:val="1B304996"/>
    <w:rsid w:val="1BA50EE0"/>
    <w:rsid w:val="1C9A4858"/>
    <w:rsid w:val="1ED7EAD3"/>
    <w:rsid w:val="1EFFF60F"/>
    <w:rsid w:val="1F6A30D3"/>
    <w:rsid w:val="214B412D"/>
    <w:rsid w:val="228D26CE"/>
    <w:rsid w:val="22A13307"/>
    <w:rsid w:val="22D64075"/>
    <w:rsid w:val="22F4634C"/>
    <w:rsid w:val="22FF1AC1"/>
    <w:rsid w:val="24422247"/>
    <w:rsid w:val="246278A5"/>
    <w:rsid w:val="249E20BE"/>
    <w:rsid w:val="262F241A"/>
    <w:rsid w:val="28773F37"/>
    <w:rsid w:val="28D128DF"/>
    <w:rsid w:val="29080D00"/>
    <w:rsid w:val="2916166F"/>
    <w:rsid w:val="2B4F2C16"/>
    <w:rsid w:val="2B5621F6"/>
    <w:rsid w:val="2B916ECE"/>
    <w:rsid w:val="2BAC0068"/>
    <w:rsid w:val="2C02237E"/>
    <w:rsid w:val="2CC31B0E"/>
    <w:rsid w:val="2CE33F5E"/>
    <w:rsid w:val="2E5E282E"/>
    <w:rsid w:val="30623970"/>
    <w:rsid w:val="309A0332"/>
    <w:rsid w:val="31A71BB0"/>
    <w:rsid w:val="328947D0"/>
    <w:rsid w:val="328C2DBD"/>
    <w:rsid w:val="3525766B"/>
    <w:rsid w:val="35960D13"/>
    <w:rsid w:val="36375FA0"/>
    <w:rsid w:val="374C09A7"/>
    <w:rsid w:val="37FBE499"/>
    <w:rsid w:val="380076C9"/>
    <w:rsid w:val="388D46D6"/>
    <w:rsid w:val="3A6A35C8"/>
    <w:rsid w:val="3AAA35B1"/>
    <w:rsid w:val="3B871F58"/>
    <w:rsid w:val="3CFC3141"/>
    <w:rsid w:val="3DAC3EF8"/>
    <w:rsid w:val="3E060C40"/>
    <w:rsid w:val="3E932215"/>
    <w:rsid w:val="3EBEC166"/>
    <w:rsid w:val="3ECA05D1"/>
    <w:rsid w:val="3FB35DA1"/>
    <w:rsid w:val="3FF771F8"/>
    <w:rsid w:val="3FFF7CAE"/>
    <w:rsid w:val="410D4CAE"/>
    <w:rsid w:val="428471F1"/>
    <w:rsid w:val="42E27550"/>
    <w:rsid w:val="434B7D0F"/>
    <w:rsid w:val="43726A93"/>
    <w:rsid w:val="44D00E94"/>
    <w:rsid w:val="4588349D"/>
    <w:rsid w:val="4876419D"/>
    <w:rsid w:val="4A997114"/>
    <w:rsid w:val="4ACF1226"/>
    <w:rsid w:val="4DED25B9"/>
    <w:rsid w:val="4DEF484E"/>
    <w:rsid w:val="4E09402A"/>
    <w:rsid w:val="4EC543A7"/>
    <w:rsid w:val="4F367901"/>
    <w:rsid w:val="4F7911BC"/>
    <w:rsid w:val="4FC96B8B"/>
    <w:rsid w:val="51E26D14"/>
    <w:rsid w:val="52D62C91"/>
    <w:rsid w:val="52E71802"/>
    <w:rsid w:val="52FC2DD4"/>
    <w:rsid w:val="565B7189"/>
    <w:rsid w:val="57D91936"/>
    <w:rsid w:val="58205520"/>
    <w:rsid w:val="58EB1921"/>
    <w:rsid w:val="59E43CD1"/>
    <w:rsid w:val="5A8E2EAB"/>
    <w:rsid w:val="5A957D96"/>
    <w:rsid w:val="5ABBBF66"/>
    <w:rsid w:val="5AF83342"/>
    <w:rsid w:val="5B7025B1"/>
    <w:rsid w:val="5E094708"/>
    <w:rsid w:val="5ED1CF38"/>
    <w:rsid w:val="5FBB029F"/>
    <w:rsid w:val="60015C3D"/>
    <w:rsid w:val="6065020A"/>
    <w:rsid w:val="60C05441"/>
    <w:rsid w:val="60E5096F"/>
    <w:rsid w:val="63454459"/>
    <w:rsid w:val="65FBBEEC"/>
    <w:rsid w:val="66AF3F8D"/>
    <w:rsid w:val="674F4BB3"/>
    <w:rsid w:val="677FD083"/>
    <w:rsid w:val="68E25D18"/>
    <w:rsid w:val="690507DD"/>
    <w:rsid w:val="690A7624"/>
    <w:rsid w:val="6945507D"/>
    <w:rsid w:val="69F765FE"/>
    <w:rsid w:val="69FD9AED"/>
    <w:rsid w:val="6A1707C7"/>
    <w:rsid w:val="6A6432E1"/>
    <w:rsid w:val="6A86594D"/>
    <w:rsid w:val="6C1D408F"/>
    <w:rsid w:val="6CB26586"/>
    <w:rsid w:val="6CE23A73"/>
    <w:rsid w:val="6D7B1B3D"/>
    <w:rsid w:val="6DAF6153"/>
    <w:rsid w:val="6E62032D"/>
    <w:rsid w:val="6EE91E80"/>
    <w:rsid w:val="6EFB4DE0"/>
    <w:rsid w:val="6F4D7C6E"/>
    <w:rsid w:val="71CD5C10"/>
    <w:rsid w:val="72FE9CF6"/>
    <w:rsid w:val="751E590F"/>
    <w:rsid w:val="75A5BC1E"/>
    <w:rsid w:val="75EB5BD1"/>
    <w:rsid w:val="76FD5E25"/>
    <w:rsid w:val="7720419D"/>
    <w:rsid w:val="7736692B"/>
    <w:rsid w:val="78372035"/>
    <w:rsid w:val="78AD12FC"/>
    <w:rsid w:val="796450AB"/>
    <w:rsid w:val="7A61783D"/>
    <w:rsid w:val="7A93506E"/>
    <w:rsid w:val="7AB2421A"/>
    <w:rsid w:val="7B6B0973"/>
    <w:rsid w:val="7C607F1C"/>
    <w:rsid w:val="7DD8701C"/>
    <w:rsid w:val="7DE60785"/>
    <w:rsid w:val="7DE67452"/>
    <w:rsid w:val="7DFB41A3"/>
    <w:rsid w:val="7E114840"/>
    <w:rsid w:val="7E1846B6"/>
    <w:rsid w:val="7E462FD2"/>
    <w:rsid w:val="7E7318ED"/>
    <w:rsid w:val="7E7C4C45"/>
    <w:rsid w:val="7EB78B07"/>
    <w:rsid w:val="7EEF14E1"/>
    <w:rsid w:val="7F6E0E0A"/>
    <w:rsid w:val="7F803FA7"/>
    <w:rsid w:val="7FBA45A6"/>
    <w:rsid w:val="7FCF06B4"/>
    <w:rsid w:val="7FFFB6A9"/>
    <w:rsid w:val="86F61F58"/>
    <w:rsid w:val="87F7E915"/>
    <w:rsid w:val="9FFF8982"/>
    <w:rsid w:val="A1B90189"/>
    <w:rsid w:val="A4C725C4"/>
    <w:rsid w:val="ABFFFED0"/>
    <w:rsid w:val="AFBDE2C7"/>
    <w:rsid w:val="AFD60EFB"/>
    <w:rsid w:val="BEEE69B2"/>
    <w:rsid w:val="BEFF9C57"/>
    <w:rsid w:val="BFACE987"/>
    <w:rsid w:val="BFF7AAC4"/>
    <w:rsid w:val="D3976D50"/>
    <w:rsid w:val="D7CD262B"/>
    <w:rsid w:val="DD7CDF0B"/>
    <w:rsid w:val="DFEAFF10"/>
    <w:rsid w:val="DFED35C3"/>
    <w:rsid w:val="DFFC9BEF"/>
    <w:rsid w:val="E6FF0EF2"/>
    <w:rsid w:val="EAEFCBCC"/>
    <w:rsid w:val="EFDF41BE"/>
    <w:rsid w:val="F3C88C9A"/>
    <w:rsid w:val="F5EFAC75"/>
    <w:rsid w:val="F726FED3"/>
    <w:rsid w:val="F79F6F99"/>
    <w:rsid w:val="F7BB634F"/>
    <w:rsid w:val="FA770E71"/>
    <w:rsid w:val="FD175F5C"/>
    <w:rsid w:val="FDBFD41C"/>
    <w:rsid w:val="FDEE8864"/>
    <w:rsid w:val="FEE1B7DE"/>
    <w:rsid w:val="FEF1BB80"/>
    <w:rsid w:val="FEF6B773"/>
    <w:rsid w:val="FF7D0A32"/>
    <w:rsid w:val="FFF93369"/>
    <w:rsid w:val="FFFA2275"/>
    <w:rsid w:val="FFFFB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0"/>
    <w:pPr>
      <w:keepNext/>
      <w:keepLines/>
      <w:outlineLvl w:val="1"/>
    </w:pPr>
    <w:rPr>
      <w:rFonts w:ascii="仿宋_GB2312" w:hAnsi="仿宋_GB2312"/>
    </w:rPr>
  </w:style>
  <w:style w:type="paragraph" w:styleId="4">
    <w:name w:val="heading 3"/>
    <w:basedOn w:val="1"/>
    <w:next w:val="1"/>
    <w:qFormat/>
    <w:uiPriority w:val="9"/>
    <w:pPr>
      <w:keepNext/>
      <w:keepLines/>
      <w:spacing w:before="260" w:after="260" w:line="416" w:lineRule="auto"/>
      <w:outlineLvl w:val="2"/>
    </w:pPr>
    <w:rPr>
      <w:rFonts w:ascii="Calibri" w:hAnsi="Calibri" w:eastAsia="宋体"/>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spacing w:line="560" w:lineRule="exact"/>
      <w:textAlignment w:val="baseline"/>
    </w:pPr>
    <w:rPr>
      <w:rFonts w:eastAsia="楷体_GB2312"/>
      <w:b/>
      <w:szCs w:val="22"/>
    </w:rPr>
  </w:style>
  <w:style w:type="paragraph" w:styleId="5">
    <w:name w:val="Normal Indent"/>
    <w:basedOn w:val="1"/>
    <w:unhideWhenUsed/>
    <w:qFormat/>
    <w:uiPriority w:val="99"/>
    <w:pPr>
      <w:ind w:firstLine="420" w:firstLineChars="200"/>
    </w:pPr>
    <w:rPr>
      <w:rFonts w:eastAsia="仿宋"/>
      <w:sz w:val="32"/>
    </w:rPr>
  </w:style>
  <w:style w:type="paragraph" w:styleId="6">
    <w:name w:val="annotation text"/>
    <w:basedOn w:val="1"/>
    <w:qFormat/>
    <w:uiPriority w:val="0"/>
    <w:pPr>
      <w:jc w:val="left"/>
    </w:pPr>
  </w:style>
  <w:style w:type="paragraph" w:styleId="7">
    <w:name w:val="Body Text"/>
    <w:basedOn w:val="1"/>
    <w:next w:val="1"/>
    <w:qFormat/>
    <w:uiPriority w:val="0"/>
    <w:rPr>
      <w:rFonts w:ascii="宋体" w:hAnsi="宋体" w:eastAsia="宋体" w:cs="宋体"/>
      <w:szCs w:val="32"/>
      <w:lang w:val="zh-CN" w:bidi="zh-CN"/>
    </w:rPr>
  </w:style>
  <w:style w:type="paragraph" w:styleId="8">
    <w:name w:val="Body Text Indent"/>
    <w:basedOn w:val="1"/>
    <w:next w:val="5"/>
    <w:semiHidden/>
    <w:qFormat/>
    <w:uiPriority w:val="99"/>
    <w:pPr>
      <w:spacing w:after="120"/>
      <w:ind w:left="420" w:leftChars="200"/>
    </w:pPr>
  </w:style>
  <w:style w:type="paragraph" w:styleId="9">
    <w:name w:val="Plain Text"/>
    <w:basedOn w:val="1"/>
    <w:qFormat/>
    <w:uiPriority w:val="0"/>
    <w:rPr>
      <w:rFonts w:ascii="宋体" w:hAnsi="Courier New" w:eastAsia="宋体"/>
      <w:kern w:val="0"/>
      <w:sz w:val="20"/>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link w:val="32"/>
    <w:qFormat/>
    <w:uiPriority w:val="0"/>
    <w:pPr>
      <w:tabs>
        <w:tab w:val="center" w:pos="4153"/>
        <w:tab w:val="right" w:pos="8306"/>
      </w:tabs>
      <w:snapToGrid w:val="0"/>
      <w:spacing w:line="240" w:lineRule="auto"/>
      <w:jc w:val="center"/>
    </w:pPr>
    <w:rPr>
      <w:sz w:val="18"/>
      <w:szCs w:val="18"/>
    </w:rPr>
  </w:style>
  <w:style w:type="paragraph" w:styleId="12">
    <w:name w:val="Body Text First Indent"/>
    <w:basedOn w:val="7"/>
    <w:qFormat/>
    <w:uiPriority w:val="0"/>
    <w:pPr>
      <w:ind w:firstLine="420" w:firstLineChars="100"/>
    </w:pPr>
  </w:style>
  <w:style w:type="paragraph" w:styleId="13">
    <w:name w:val="Body Text First Indent 2"/>
    <w:basedOn w:val="8"/>
    <w:next w:val="12"/>
    <w:qFormat/>
    <w:uiPriority w:val="99"/>
    <w:pPr>
      <w:ind w:firstLine="420" w:firstLineChars="200"/>
    </w:pPr>
    <w:rPr>
      <w:rFonts w:ascii="Calibri" w:hAnsi="Calibri"/>
    </w:rPr>
  </w:style>
  <w:style w:type="paragraph" w:customStyle="1" w:styleId="16">
    <w:name w:val="Table Text"/>
    <w:basedOn w:val="1"/>
    <w:semiHidden/>
    <w:qFormat/>
    <w:uiPriority w:val="0"/>
    <w:rPr>
      <w:rFonts w:ascii="宋体" w:hAnsi="宋体" w:eastAsia="宋体" w:cs="宋体"/>
      <w:sz w:val="19"/>
      <w:szCs w:val="19"/>
      <w:lang w:eastAsia="en-US"/>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_Style 1"/>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19">
    <w:name w:val="font11"/>
    <w:basedOn w:val="15"/>
    <w:qFormat/>
    <w:uiPriority w:val="0"/>
    <w:rPr>
      <w:rFonts w:hint="eastAsia" w:ascii="黑体" w:hAnsi="宋体" w:eastAsia="黑体" w:cs="黑体"/>
      <w:b/>
      <w:bCs/>
      <w:color w:val="000000"/>
      <w:sz w:val="20"/>
      <w:szCs w:val="20"/>
      <w:u w:val="none"/>
    </w:rPr>
  </w:style>
  <w:style w:type="character" w:customStyle="1" w:styleId="20">
    <w:name w:val="font41"/>
    <w:basedOn w:val="15"/>
    <w:qFormat/>
    <w:uiPriority w:val="0"/>
    <w:rPr>
      <w:rFonts w:ascii="楷体_GB2312" w:eastAsia="楷体_GB2312" w:cs="楷体_GB2312"/>
      <w:b/>
      <w:bCs/>
      <w:color w:val="000000"/>
      <w:sz w:val="20"/>
      <w:szCs w:val="20"/>
      <w:u w:val="none"/>
    </w:rPr>
  </w:style>
  <w:style w:type="character" w:customStyle="1" w:styleId="21">
    <w:name w:val="font21"/>
    <w:basedOn w:val="15"/>
    <w:qFormat/>
    <w:uiPriority w:val="0"/>
    <w:rPr>
      <w:rFonts w:hint="eastAsia" w:ascii="宋体" w:hAnsi="宋体" w:eastAsia="宋体" w:cs="宋体"/>
      <w:color w:val="000000"/>
      <w:sz w:val="18"/>
      <w:szCs w:val="18"/>
      <w:u w:val="none"/>
    </w:rPr>
  </w:style>
  <w:style w:type="character" w:customStyle="1" w:styleId="22">
    <w:name w:val="font91"/>
    <w:basedOn w:val="15"/>
    <w:qFormat/>
    <w:uiPriority w:val="0"/>
    <w:rPr>
      <w:rFonts w:hint="eastAsia" w:ascii="仿宋_GB2312" w:eastAsia="仿宋_GB2312" w:cs="仿宋_GB2312"/>
      <w:color w:val="000000"/>
      <w:sz w:val="16"/>
      <w:szCs w:val="16"/>
      <w:u w:val="none"/>
    </w:rPr>
  </w:style>
  <w:style w:type="character" w:customStyle="1" w:styleId="23">
    <w:name w:val="font121"/>
    <w:basedOn w:val="15"/>
    <w:qFormat/>
    <w:uiPriority w:val="0"/>
    <w:rPr>
      <w:rFonts w:hint="default" w:ascii="Times New Roman" w:hAnsi="Times New Roman" w:cs="Times New Roman"/>
      <w:color w:val="000000"/>
      <w:sz w:val="16"/>
      <w:szCs w:val="16"/>
      <w:u w:val="none"/>
    </w:rPr>
  </w:style>
  <w:style w:type="character" w:customStyle="1" w:styleId="24">
    <w:name w:val="NormalCharacter"/>
    <w:basedOn w:val="15"/>
    <w:semiHidden/>
    <w:qFormat/>
    <w:uiPriority w:val="0"/>
    <w:rPr>
      <w:rFonts w:ascii="Calibri" w:hAnsi="Calibri"/>
      <w:kern w:val="2"/>
      <w:sz w:val="21"/>
      <w:szCs w:val="24"/>
      <w:lang w:val="en-US" w:eastAsia="zh-CN" w:bidi="ar-SA"/>
    </w:rPr>
  </w:style>
  <w:style w:type="character" w:customStyle="1" w:styleId="25">
    <w:name w:val="font31"/>
    <w:basedOn w:val="15"/>
    <w:qFormat/>
    <w:uiPriority w:val="0"/>
    <w:rPr>
      <w:rFonts w:hint="eastAsia" w:ascii="宋体" w:hAnsi="宋体" w:eastAsia="宋体" w:cs="宋体"/>
      <w:color w:val="000000"/>
      <w:sz w:val="18"/>
      <w:szCs w:val="18"/>
      <w:u w:val="none"/>
    </w:rPr>
  </w:style>
  <w:style w:type="character" w:customStyle="1" w:styleId="26">
    <w:name w:val="font51"/>
    <w:basedOn w:val="15"/>
    <w:qFormat/>
    <w:uiPriority w:val="0"/>
    <w:rPr>
      <w:rFonts w:hint="eastAsia" w:ascii="宋体" w:hAnsi="宋体" w:eastAsia="宋体" w:cs="宋体"/>
      <w:b/>
      <w:bCs/>
      <w:color w:val="000000"/>
      <w:sz w:val="18"/>
      <w:szCs w:val="18"/>
      <w:u w:val="none"/>
    </w:rPr>
  </w:style>
  <w:style w:type="character" w:customStyle="1" w:styleId="27">
    <w:name w:val="font61"/>
    <w:basedOn w:val="15"/>
    <w:qFormat/>
    <w:uiPriority w:val="0"/>
    <w:rPr>
      <w:rFonts w:hint="eastAsia" w:ascii="宋体" w:hAnsi="宋体" w:eastAsia="宋体" w:cs="宋体"/>
      <w:color w:val="000000"/>
      <w:sz w:val="18"/>
      <w:szCs w:val="18"/>
      <w:u w:val="none"/>
    </w:rPr>
  </w:style>
  <w:style w:type="character" w:customStyle="1" w:styleId="28">
    <w:name w:val="font81"/>
    <w:basedOn w:val="15"/>
    <w:qFormat/>
    <w:uiPriority w:val="0"/>
    <w:rPr>
      <w:rFonts w:hint="default" w:ascii="仿宋_GB2312" w:eastAsia="仿宋_GB2312" w:cs="仿宋_GB2312"/>
      <w:color w:val="000000"/>
      <w:sz w:val="16"/>
      <w:szCs w:val="16"/>
      <w:u w:val="none"/>
    </w:rPr>
  </w:style>
  <w:style w:type="character" w:customStyle="1" w:styleId="29">
    <w:name w:val="font112"/>
    <w:basedOn w:val="15"/>
    <w:qFormat/>
    <w:uiPriority w:val="0"/>
    <w:rPr>
      <w:rFonts w:hint="default" w:ascii="Times New Roman" w:hAnsi="Times New Roman" w:cs="Times New Roman"/>
      <w:color w:val="000000"/>
      <w:sz w:val="16"/>
      <w:szCs w:val="16"/>
      <w:u w:val="none"/>
    </w:rPr>
  </w:style>
  <w:style w:type="character" w:customStyle="1" w:styleId="30">
    <w:name w:val="font101"/>
    <w:basedOn w:val="15"/>
    <w:qFormat/>
    <w:uiPriority w:val="0"/>
    <w:rPr>
      <w:rFonts w:hint="eastAsia" w:ascii="宋体" w:hAnsi="宋体" w:eastAsia="宋体" w:cs="宋体"/>
      <w:color w:val="000000"/>
      <w:sz w:val="16"/>
      <w:szCs w:val="16"/>
      <w:u w:val="none"/>
    </w:rPr>
  </w:style>
  <w:style w:type="character" w:customStyle="1" w:styleId="31">
    <w:name w:val="font01"/>
    <w:basedOn w:val="15"/>
    <w:qFormat/>
    <w:uiPriority w:val="0"/>
    <w:rPr>
      <w:rFonts w:hint="eastAsia" w:ascii="宋体" w:hAnsi="宋体" w:eastAsia="宋体" w:cs="宋体"/>
      <w:color w:val="000000"/>
      <w:sz w:val="22"/>
      <w:szCs w:val="22"/>
      <w:u w:val="none"/>
    </w:rPr>
  </w:style>
  <w:style w:type="character" w:customStyle="1" w:styleId="32">
    <w:name w:val="页眉 字符"/>
    <w:basedOn w:val="15"/>
    <w:link w:val="11"/>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3348</Words>
  <Characters>3757</Characters>
  <Lines>247</Lines>
  <Paragraphs>69</Paragraphs>
  <TotalTime>38</TotalTime>
  <ScaleCrop>false</ScaleCrop>
  <LinksUpToDate>false</LinksUpToDate>
  <CharactersWithSpaces>3772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2024-03-14T11:04:00Z</dcterms:created>
  <dc:creator>Qin</dc:creator>
  <cp:lastModifiedBy>user</cp:lastModifiedBy>
  <cp:lastPrinted>2025-03-28T11:29:00Z</cp:lastPrinted>
  <dcterms:modified xsi:type="dcterms:W3CDTF">2026-08-25T13:47:14Z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FD3A1C08F6784DE4B6D7154FA9406E54_13</vt:lpwstr>
  </property>
  <property fmtid="{D5CDD505-2E9C-101B-9397-08002B2CF9AE}" pid="4" name="KSOTemplateDocerSaveRecord">
    <vt:lpwstr>eyJoZGlkIjoiZWVkNzFmYmU3ZmFiNTI4YTExMTUxMzU0YWNhNmVlYWQiLCJ1c2VySWQiOiIxNTU4MDYwODYxIn0=</vt:lpwstr>
  </property>
</Properties>
</file>