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both"/>
        <w:rPr>
          <w:rFonts w:ascii="华文中宋" w:hAnsi="华文中宋" w:eastAsia="华文中宋" w:cs="宋体"/>
          <w:b/>
          <w:kern w:val="0"/>
          <w:sz w:val="52"/>
          <w:szCs w:val="52"/>
        </w:rPr>
      </w:pPr>
      <w:bookmarkStart w:id="0" w:name="_GoBack"/>
      <w:bookmarkEnd w:id="0"/>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rPr>
        <w:t>自治区部门单位</w:t>
      </w:r>
      <w:r>
        <w:rPr>
          <w:rFonts w:hint="eastAsia" w:ascii="方正小标宋简体" w:hAnsi="方正小标宋简体" w:eastAsia="方正小标宋简体" w:cs="方正小标宋简体"/>
          <w:b/>
          <w:kern w:val="0"/>
          <w:sz w:val="48"/>
          <w:szCs w:val="48"/>
          <w:lang w:eastAsia="zh-CN"/>
        </w:rPr>
        <w:t>项目</w:t>
      </w:r>
      <w:r>
        <w:rPr>
          <w:rFonts w:hint="eastAsia" w:ascii="方正小标宋简体" w:hAnsi="方正小标宋简体" w:eastAsia="方正小标宋简体" w:cs="方正小标宋简体"/>
          <w:b/>
          <w:kern w:val="0"/>
          <w:sz w:val="48"/>
          <w:szCs w:val="48"/>
        </w:rPr>
        <w:t>支出绩效</w:t>
      </w:r>
    </w:p>
    <w:p>
      <w:pPr>
        <w:spacing w:line="540" w:lineRule="exact"/>
        <w:jc w:val="center"/>
        <w:rPr>
          <w:rFonts w:hint="eastAsia" w:ascii="方正小标宋简体" w:hAnsi="方正小标宋简体" w:eastAsia="方正小标宋简体" w:cs="方正小标宋简体"/>
          <w:b/>
          <w:kern w:val="0"/>
          <w:sz w:val="48"/>
          <w:szCs w:val="48"/>
        </w:rPr>
      </w:pPr>
      <w:r>
        <w:rPr>
          <w:rFonts w:hint="eastAsia" w:ascii="方正小标宋简体" w:hAnsi="方正小标宋简体" w:eastAsia="方正小标宋简体" w:cs="方正小标宋简体"/>
          <w:b/>
          <w:kern w:val="0"/>
          <w:sz w:val="48"/>
          <w:szCs w:val="48"/>
          <w:lang w:eastAsia="zh-CN"/>
        </w:rPr>
        <w:t>评价</w:t>
      </w:r>
      <w:r>
        <w:rPr>
          <w:rFonts w:hint="eastAsia" w:ascii="方正小标宋简体" w:hAnsi="方正小标宋简体" w:eastAsia="方正小标宋简体" w:cs="方正小标宋简体"/>
          <w:b/>
          <w:kern w:val="0"/>
          <w:sz w:val="48"/>
          <w:szCs w:val="48"/>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cs="宋体"/>
          <w:kern w:val="0"/>
          <w:sz w:val="36"/>
          <w:szCs w:val="36"/>
          <w:lang w:val="en-US" w:eastAsia="zh-CN"/>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int="default" w:hAnsi="宋体" w:eastAsia="仿宋_GB2312" w:cs="宋体"/>
          <w:kern w:val="0"/>
          <w:sz w:val="36"/>
          <w:szCs w:val="36"/>
          <w:lang w:val="en-US" w:eastAsia="zh-CN"/>
        </w:rPr>
      </w:pPr>
      <w:r>
        <w:rPr>
          <w:rFonts w:hint="eastAsia" w:hAnsi="宋体" w:eastAsia="仿宋_GB2312" w:cs="宋体"/>
          <w:kern w:val="0"/>
          <w:sz w:val="36"/>
          <w:szCs w:val="36"/>
        </w:rPr>
        <w:t>部门单位名称（公章）：</w:t>
      </w:r>
      <w:r>
        <w:rPr>
          <w:rFonts w:hint="eastAsia" w:hAnsi="宋体" w:cs="宋体"/>
          <w:kern w:val="0"/>
          <w:sz w:val="36"/>
          <w:szCs w:val="36"/>
          <w:lang w:val="en-US" w:eastAsia="zh-CN"/>
        </w:rPr>
        <w:t>新疆农业职业技术学院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cs="宋体"/>
          <w:kern w:val="0"/>
          <w:sz w:val="36"/>
          <w:szCs w:val="36"/>
          <w:lang w:val="en-US" w:eastAsia="zh-CN"/>
        </w:rPr>
        <w:t>2025</w:t>
      </w:r>
      <w:r>
        <w:rPr>
          <w:rFonts w:hint="eastAsia" w:hAnsi="宋体" w:eastAsia="仿宋_GB2312" w:cs="宋体"/>
          <w:kern w:val="0"/>
          <w:sz w:val="36"/>
          <w:szCs w:val="36"/>
        </w:rPr>
        <w:t xml:space="preserve">年 </w:t>
      </w:r>
      <w:r>
        <w:rPr>
          <w:rFonts w:hint="eastAsia" w:hAnsi="宋体" w:cs="宋体"/>
          <w:kern w:val="0"/>
          <w:sz w:val="36"/>
          <w:szCs w:val="36"/>
          <w:lang w:val="en-US" w:eastAsia="zh-CN"/>
        </w:rPr>
        <w:t>2</w:t>
      </w:r>
      <w:r>
        <w:rPr>
          <w:rFonts w:hint="eastAsia" w:hAnsi="宋体" w:eastAsia="仿宋_GB2312" w:cs="宋体"/>
          <w:kern w:val="0"/>
          <w:sz w:val="36"/>
          <w:szCs w:val="36"/>
        </w:rPr>
        <w:t xml:space="preserve">月 </w:t>
      </w:r>
      <w:r>
        <w:rPr>
          <w:rFonts w:hint="eastAsia" w:hAnsi="宋体" w:cs="宋体"/>
          <w:kern w:val="0"/>
          <w:sz w:val="36"/>
          <w:szCs w:val="36"/>
          <w:lang w:val="en-US" w:eastAsia="zh-CN"/>
        </w:rPr>
        <w:t>28</w:t>
      </w:r>
      <w:r>
        <w:rPr>
          <w:rFonts w:hint="eastAsia" w:hAnsi="宋体" w:eastAsia="仿宋_GB2312"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spacing w:line="700" w:lineRule="exact"/>
        <w:ind w:firstLine="849" w:firstLineChars="236"/>
        <w:jc w:val="left"/>
        <w:rPr>
          <w:rFonts w:hAnsi="宋体" w:eastAsia="仿宋_GB2312" w:cs="宋体"/>
          <w:kern w:val="0"/>
          <w:sz w:val="36"/>
          <w:szCs w:val="36"/>
        </w:rPr>
      </w:pPr>
    </w:p>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Theme="minorEastAsia" w:hAnsiTheme="minorEastAsia" w:eastAsiaTheme="minorEastAsia" w:cstheme="minorEastAsia"/>
          <w:color w:val="333333"/>
          <w:sz w:val="24"/>
          <w:szCs w:val="24"/>
          <w:lang w:eastAsia="zh-CN" w:bidi="ar"/>
        </w:rPr>
      </w:pP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spacing w:line="600" w:lineRule="exact"/>
        <w:ind w:firstLine="600" w:firstLineChars="200"/>
        <w:rPr>
          <w:rFonts w:ascii="黑体" w:hAnsi="黑体" w:eastAsia="黑体"/>
        </w:rPr>
      </w:pPr>
      <w:r>
        <w:rPr>
          <w:rFonts w:hint="eastAsia" w:ascii="黑体" w:hAnsi="黑体" w:eastAsia="黑体"/>
        </w:rPr>
        <w:t>一、基本情况</w:t>
      </w:r>
    </w:p>
    <w:p>
      <w:pPr>
        <w:spacing w:line="600" w:lineRule="exact"/>
        <w:ind w:firstLine="602" w:firstLineChars="200"/>
        <w:outlineLvl w:val="0"/>
        <w:rPr>
          <w:rFonts w:hint="eastAsia" w:ascii="仿宋_GB2312"/>
          <w:b/>
          <w:bCs/>
        </w:rPr>
      </w:pPr>
      <w:r>
        <w:rPr>
          <w:rFonts w:hint="eastAsia" w:ascii="仿宋_GB2312"/>
          <w:b/>
          <w:bCs/>
        </w:rPr>
        <w:t>（一）项目概况</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科研项目由学校教师2022年-2023年期间获批立项、2024年继续执行的7个项目及2023年获批立项、2024年拨付研究经费的4个项目组成，其中</w:t>
      </w:r>
      <w:r>
        <w:rPr>
          <w:rFonts w:hint="eastAsia" w:ascii="仿宋_GB2312" w:hAnsi="Times New Roman" w:cs="Times New Roman"/>
        </w:rPr>
        <w:t>教育部</w:t>
      </w:r>
      <w:r>
        <w:rPr>
          <w:rFonts w:hint="eastAsia" w:ascii="仿宋_GB2312" w:hAnsi="Times New Roman" w:cs="Times New Roman"/>
          <w:lang w:val="en-US" w:eastAsia="zh-CN"/>
        </w:rPr>
        <w:t>人文社会科学课题2项</w:t>
      </w:r>
      <w:r>
        <w:rPr>
          <w:rFonts w:hint="eastAsia" w:ascii="仿宋_GB2312" w:hAnsi="Times New Roman" w:cs="Times New Roman"/>
        </w:rPr>
        <w:t>、自治区</w:t>
      </w:r>
      <w:r>
        <w:rPr>
          <w:rFonts w:hint="eastAsia" w:ascii="仿宋_GB2312" w:hAnsi="Times New Roman" w:cs="Times New Roman"/>
          <w:lang w:val="en-US" w:eastAsia="zh-CN"/>
        </w:rPr>
        <w:t>科学技术</w:t>
      </w:r>
      <w:r>
        <w:rPr>
          <w:rFonts w:hint="eastAsia" w:ascii="仿宋_GB2312" w:hAnsi="Times New Roman" w:cs="Times New Roman"/>
        </w:rPr>
        <w:t>厅</w:t>
      </w:r>
      <w:r>
        <w:rPr>
          <w:rFonts w:hint="eastAsia" w:ascii="仿宋_GB2312" w:hAnsi="Times New Roman" w:cs="Times New Roman"/>
          <w:lang w:val="en-US" w:eastAsia="zh-CN"/>
        </w:rPr>
        <w:t>科研课题8项</w:t>
      </w:r>
      <w:r>
        <w:rPr>
          <w:rFonts w:hint="eastAsia" w:ascii="仿宋_GB2312" w:hAnsi="Times New Roman" w:cs="Times New Roman"/>
        </w:rPr>
        <w:t>、昌吉州教育局</w:t>
      </w:r>
      <w:r>
        <w:rPr>
          <w:rFonts w:hint="eastAsia" w:ascii="仿宋_GB2312" w:hAnsi="Times New Roman" w:cs="Times New Roman"/>
          <w:lang w:val="en-US" w:eastAsia="zh-CN"/>
        </w:rPr>
        <w:t>职教联盟专项2项。</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项目内容包括：①高校社会主义核心价值观铸魂育人的重点难点及体系构建研究；②</w:t>
      </w:r>
      <w:r>
        <w:rPr>
          <w:rFonts w:hint="default" w:ascii="仿宋_GB2312" w:hAnsi="Times New Roman" w:cs="Times New Roman"/>
          <w:lang w:val="en-US" w:eastAsia="zh-CN"/>
        </w:rPr>
        <w:t>新疆兵地职业教育融合发展机制研究</w:t>
      </w:r>
      <w:r>
        <w:rPr>
          <w:rFonts w:hint="eastAsia" w:ascii="仿宋_GB2312" w:hAnsi="Times New Roman" w:cs="Times New Roman"/>
          <w:lang w:val="en-US" w:eastAsia="zh-CN"/>
        </w:rPr>
        <w:t>；③</w:t>
      </w:r>
      <w:r>
        <w:rPr>
          <w:rFonts w:hint="default" w:ascii="仿宋_GB2312" w:hAnsi="Times New Roman" w:cs="Times New Roman"/>
          <w:lang w:val="en-US" w:eastAsia="zh-CN"/>
        </w:rPr>
        <w:t>气调大蒜响应高 CO2 胁迫抑制蒜氨酸酶活性的代谢机制</w:t>
      </w:r>
      <w:r>
        <w:rPr>
          <w:rFonts w:hint="eastAsia" w:ascii="仿宋_GB2312" w:hAnsi="Times New Roman" w:cs="Times New Roman"/>
          <w:lang w:val="en-US" w:eastAsia="zh-CN"/>
        </w:rPr>
        <w:t>；④海岛棉 GhTUBB1基因在棉花纤维发育中的功能及分子机制研究；⑤鼠伤寒沙门菌sRNA STnc1410靶基因及其生物学功能研究；⑥绵羊脂肪细胞去分化及其干细胞特性研究；⑦新疆棉花秸秆纤维素提取高值化利用关键技术研究；⑧猪精子差异耐冻性机制及耐冻性分子标志研究；⑨绵羊肌内脂肪沉积过程中的细胞分化及其分子调控机制研究；⑩基于节气养生茶研制与技术推广；⑪</w:t>
      </w:r>
      <w:r>
        <w:rPr>
          <w:rFonts w:hint="default" w:ascii="仿宋_GB2312" w:hAnsi="Times New Roman" w:cs="Times New Roman"/>
          <w:lang w:val="en-US" w:eastAsia="zh-CN"/>
        </w:rPr>
        <w:t>“双碳”视角下昌吉州西瓜两地联合育苗技术示范与推广</w:t>
      </w:r>
      <w:r>
        <w:rPr>
          <w:rFonts w:hint="eastAsia" w:ascii="仿宋_GB2312" w:hAnsi="Times New Roman" w:cs="Times New Roman"/>
          <w:lang w:val="en-US" w:eastAsia="zh-CN"/>
        </w:rPr>
        <w:t>；⑫水培牧草优质高效安全生产关键技术研究与推广。</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科研项目预算资金72.42万元。依据《昌吉回族自治州人民政府关于印发自治州促进职业教育联盟发展指导意见的通知》、《昌吉州职教联盟专项资金分配使用方案的通知》《新疆维吾尔自治区财政科研项目资金管理办法》和有关项目管理办法，严格按照项目合同书的内容推动科研活动顺利开展和科研成果产出，公开发表学术论文2篇，制定技术规程2项，到期应验收项目合格率100%；资金主要用于课题研究过程中实验耗材、测试化验加工、学术交流、专家咨询、知识产权事务费、差旅费、劳务费等费用的支出，</w:t>
      </w:r>
      <w:r>
        <w:rPr>
          <w:rFonts w:hint="eastAsia" w:ascii="仿宋_GB2312" w:cs="Times New Roman"/>
          <w:lang w:val="en-US" w:eastAsia="zh-CN"/>
        </w:rPr>
        <w:t>截至</w:t>
      </w:r>
      <w:r>
        <w:rPr>
          <w:rFonts w:hint="eastAsia" w:ascii="仿宋_GB2312" w:hAnsi="Times New Roman" w:cs="Times New Roman"/>
          <w:lang w:val="en-US" w:eastAsia="zh-CN"/>
        </w:rPr>
        <w:t>2024年12月，项目资金执行72.42万元，资金执行率100%。</w:t>
      </w:r>
    </w:p>
    <w:p>
      <w:pPr>
        <w:spacing w:line="600" w:lineRule="exact"/>
        <w:ind w:firstLine="602" w:firstLineChars="200"/>
        <w:outlineLvl w:val="0"/>
        <w:rPr>
          <w:rFonts w:hint="eastAsia" w:ascii="仿宋_GB2312" w:hAnsi="Times New Roman" w:cs="Times New Roman"/>
          <w:b/>
          <w:bCs/>
        </w:rPr>
      </w:pPr>
      <w:r>
        <w:rPr>
          <w:rFonts w:hint="eastAsia" w:ascii="仿宋_GB2312" w:hAnsi="Times New Roman" w:cs="Times New Roman"/>
          <w:b/>
          <w:bCs/>
        </w:rPr>
        <w:t>（二）项目绩效目标</w:t>
      </w:r>
    </w:p>
    <w:p>
      <w:pPr>
        <w:keepNext w:val="0"/>
        <w:keepLines w:val="0"/>
        <w:pageBreakBefore w:val="0"/>
        <w:widowControl w:val="0"/>
        <w:kinsoku/>
        <w:wordWrap/>
        <w:overflowPunct/>
        <w:topLinePunct w:val="0"/>
        <w:autoSpaceDE/>
        <w:autoSpaceDN/>
        <w:bidi w:val="0"/>
        <w:spacing w:line="560" w:lineRule="exact"/>
        <w:ind w:left="0" w:firstLine="602"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1.总体目标</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科研项目的总体目标是围绕学科发展前沿、区域经济社会发展重大需求，提炼重大科学问题及关键共性技术难题，深入系统地开展引领性、战略性和原创性研究，推动实现前瞻性基础研究和原创性成果取得重大突破，科研成果有助于推动区域农业关键核心技术升级和产业转型、并实现成果转化及应用推广，助力乡村振兴。</w:t>
      </w:r>
    </w:p>
    <w:p>
      <w:pPr>
        <w:keepNext w:val="0"/>
        <w:keepLines w:val="0"/>
        <w:pageBreakBefore w:val="0"/>
        <w:widowControl w:val="0"/>
        <w:kinsoku/>
        <w:wordWrap/>
        <w:overflowPunct/>
        <w:topLinePunct w:val="0"/>
        <w:autoSpaceDE/>
        <w:autoSpaceDN/>
        <w:bidi w:val="0"/>
        <w:spacing w:line="560" w:lineRule="exact"/>
        <w:ind w:left="0" w:firstLine="602" w:firstLineChars="200"/>
        <w:textAlignment w:val="auto"/>
        <w:rPr>
          <w:rFonts w:hint="eastAsia" w:ascii="仿宋_GB2312" w:hAnsi="Times New Roman" w:cs="Times New Roman"/>
          <w:b/>
          <w:bCs/>
          <w:lang w:val="en-US" w:eastAsia="zh-CN"/>
        </w:rPr>
      </w:pPr>
      <w:r>
        <w:rPr>
          <w:rFonts w:hint="eastAsia" w:ascii="仿宋_GB2312" w:hAnsi="Times New Roman" w:cs="Times New Roman"/>
          <w:b/>
          <w:bCs/>
          <w:lang w:val="en-US" w:eastAsia="zh-CN"/>
        </w:rPr>
        <w:t>2.阶段性目标</w:t>
      </w:r>
    </w:p>
    <w:tbl>
      <w:tblPr>
        <w:tblStyle w:val="5"/>
        <w:tblW w:w="807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42"/>
        <w:gridCol w:w="1648"/>
        <w:gridCol w:w="3221"/>
        <w:gridCol w:w="18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1"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一级指标</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二级指标</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三级指标</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13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产出指标</w:t>
            </w:r>
          </w:p>
        </w:tc>
        <w:tc>
          <w:tcPr>
            <w:tcW w:w="1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数量指标</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发表论文</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5" w:hRule="atLeast"/>
          <w:jc w:val="center"/>
        </w:trPr>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22"/>
                <w:szCs w:val="22"/>
                <w:u w:val="none"/>
              </w:rPr>
            </w:pP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专著、专利、标准或软件著作登记</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jc w:val="center"/>
        </w:trPr>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质量指标</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到期项目验收合格率</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jc w:val="center"/>
        </w:trPr>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22"/>
                <w:szCs w:val="22"/>
                <w:u w:val="none"/>
              </w:rPr>
            </w:pP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时效指标</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年度研究任务完成度</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jc w:val="center"/>
        </w:trPr>
        <w:tc>
          <w:tcPr>
            <w:tcW w:w="13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成本指标</w:t>
            </w:r>
          </w:p>
        </w:tc>
        <w:tc>
          <w:tcPr>
            <w:tcW w:w="16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经济成本指标</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自然科学类经费</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22"/>
                <w:szCs w:val="22"/>
                <w:u w:val="none"/>
                <w:lang w:val="en-US"/>
              </w:rPr>
            </w:pPr>
            <w:r>
              <w:rPr>
                <w:rFonts w:hint="eastAsia" w:ascii="仿宋_GB2312" w:hAnsi="仿宋_GB2312" w:eastAsia="仿宋_GB2312" w:cs="仿宋_GB2312"/>
                <w:i w:val="0"/>
                <w:iCs w:val="0"/>
                <w:color w:val="000000"/>
                <w:kern w:val="0"/>
                <w:sz w:val="22"/>
                <w:szCs w:val="22"/>
                <w:u w:val="none"/>
                <w:lang w:val="en-US" w:eastAsia="zh-CN" w:bidi="ar"/>
              </w:rPr>
              <w:t>&lt;=60.02万</w:t>
            </w:r>
            <w:r>
              <w:rPr>
                <w:rFonts w:hint="eastAsia" w:ascii="仿宋_GB2312" w:hAnsi="仿宋_GB2312" w:cs="仿宋_GB2312"/>
                <w:i w:val="0"/>
                <w:iCs w:val="0"/>
                <w:color w:val="000000"/>
                <w:kern w:val="0"/>
                <w:sz w:val="22"/>
                <w:szCs w:val="22"/>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jc w:val="center"/>
        </w:trPr>
        <w:tc>
          <w:tcPr>
            <w:tcW w:w="13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22"/>
                <w:szCs w:val="22"/>
                <w:u w:val="none"/>
              </w:rPr>
            </w:pPr>
          </w:p>
        </w:tc>
        <w:tc>
          <w:tcPr>
            <w:tcW w:w="16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仿宋_GB2312" w:hAnsi="仿宋_GB2312" w:eastAsia="仿宋_GB2312" w:cs="仿宋_GB2312"/>
                <w:i w:val="0"/>
                <w:iCs w:val="0"/>
                <w:color w:val="000000"/>
                <w:sz w:val="22"/>
                <w:szCs w:val="22"/>
                <w:u w:val="none"/>
              </w:rPr>
            </w:pP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社会科学类经费</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仿宋_GB2312" w:hAnsi="仿宋_GB2312" w:eastAsia="仿宋_GB2312" w:cs="仿宋_GB2312"/>
                <w:i w:val="0"/>
                <w:iCs w:val="0"/>
                <w:color w:val="000000"/>
                <w:sz w:val="22"/>
                <w:szCs w:val="22"/>
                <w:u w:val="none"/>
                <w:lang w:val="en-US"/>
              </w:rPr>
            </w:pPr>
            <w:r>
              <w:rPr>
                <w:rFonts w:hint="eastAsia" w:ascii="仿宋_GB2312" w:hAnsi="仿宋_GB2312" w:eastAsia="仿宋_GB2312" w:cs="仿宋_GB2312"/>
                <w:i w:val="0"/>
                <w:iCs w:val="0"/>
                <w:color w:val="000000"/>
                <w:kern w:val="0"/>
                <w:sz w:val="22"/>
                <w:szCs w:val="22"/>
                <w:u w:val="none"/>
                <w:lang w:val="en-US" w:eastAsia="zh-CN" w:bidi="ar"/>
              </w:rPr>
              <w:t>&lt;=12.4万</w:t>
            </w:r>
            <w:r>
              <w:rPr>
                <w:rFonts w:hint="eastAsia" w:ascii="仿宋_GB2312" w:hAnsi="仿宋_GB2312" w:cs="仿宋_GB2312"/>
                <w:i w:val="0"/>
                <w:iCs w:val="0"/>
                <w:color w:val="000000"/>
                <w:kern w:val="0"/>
                <w:sz w:val="22"/>
                <w:szCs w:val="22"/>
                <w:u w:val="none"/>
                <w:lang w:val="en-US" w:eastAsia="zh-CN" w:bidi="ar"/>
              </w:rPr>
              <w:t>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8"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效益指标</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经济效益指标</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降低生产成本或提高亩产产量</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&gt;=10%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4" w:hRule="atLeast"/>
          <w:jc w:val="center"/>
        </w:trPr>
        <w:tc>
          <w:tcPr>
            <w:tcW w:w="134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满意度指标</w:t>
            </w:r>
          </w:p>
        </w:tc>
        <w:tc>
          <w:tcPr>
            <w:tcW w:w="16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满意度指标</w:t>
            </w:r>
          </w:p>
        </w:tc>
        <w:tc>
          <w:tcPr>
            <w:tcW w:w="32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项目实施推广企业满意度</w:t>
            </w:r>
          </w:p>
        </w:tc>
        <w:tc>
          <w:tcPr>
            <w:tcW w:w="18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满意</w:t>
            </w:r>
          </w:p>
        </w:tc>
      </w:tr>
    </w:tbl>
    <w:p>
      <w:pPr>
        <w:keepNext w:val="0"/>
        <w:keepLines w:val="0"/>
        <w:pageBreakBefore w:val="0"/>
        <w:widowControl w:val="0"/>
        <w:kinsoku/>
        <w:wordWrap/>
        <w:overflowPunct/>
        <w:topLinePunct w:val="0"/>
        <w:autoSpaceDE/>
        <w:autoSpaceDN/>
        <w:bidi w:val="0"/>
        <w:spacing w:line="560" w:lineRule="exact"/>
        <w:textAlignment w:val="auto"/>
        <w:rPr>
          <w:rFonts w:hint="eastAsia" w:ascii="仿宋_GB2312" w:hAnsi="Times New Roman" w:cs="Times New Roman"/>
          <w:lang w:val="en-US" w:eastAsia="zh-CN"/>
        </w:rPr>
      </w:pPr>
    </w:p>
    <w:p>
      <w:pPr>
        <w:spacing w:line="600" w:lineRule="exact"/>
        <w:ind w:firstLine="600" w:firstLineChars="200"/>
        <w:rPr>
          <w:rFonts w:ascii="黑体" w:hAnsi="黑体" w:eastAsia="黑体"/>
        </w:rPr>
      </w:pPr>
      <w:r>
        <w:rPr>
          <w:rFonts w:hint="eastAsia" w:ascii="黑体" w:hAnsi="黑体" w:eastAsia="黑体"/>
        </w:rPr>
        <w:t>二、绩效评价工作开展情况</w:t>
      </w:r>
    </w:p>
    <w:p>
      <w:pPr>
        <w:spacing w:line="600" w:lineRule="exact"/>
        <w:ind w:firstLine="602" w:firstLineChars="200"/>
        <w:rPr>
          <w:rFonts w:hint="eastAsia" w:ascii="仿宋_GB2312"/>
          <w:b/>
          <w:bCs/>
        </w:rPr>
      </w:pPr>
      <w:r>
        <w:rPr>
          <w:rFonts w:hint="eastAsia" w:ascii="仿宋_GB2312"/>
          <w:b/>
          <w:bCs/>
        </w:rPr>
        <w:t>（一）绩效评价目的、对象和范围</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对新疆农业职业技术大学科研项目进行绩效评价，目的在于了解项目资金使用和项目管理情况，同时对项目所达到的阶段性效益进行考量，以发现本项目在项目管理及预算资金安排等方面存在的问题并提出针对性的意见，以达到改进预算管理、控制节约成本，提高预算资金使用效益的目的。</w:t>
      </w:r>
    </w:p>
    <w:p>
      <w:pPr>
        <w:spacing w:line="600" w:lineRule="exact"/>
        <w:ind w:firstLine="602" w:firstLineChars="200"/>
        <w:rPr>
          <w:rFonts w:hint="eastAsia" w:ascii="仿宋_GB2312"/>
          <w:b/>
          <w:bCs/>
        </w:rPr>
      </w:pPr>
      <w:r>
        <w:rPr>
          <w:rFonts w:hint="eastAsia" w:ascii="仿宋_GB2312"/>
          <w:b/>
          <w:bCs/>
        </w:rPr>
        <w:t>（二）绩效评价原则、评价指标体系（附表说明）、评价方法、评价标准等</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1.绩效评价原则</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本次评价坚持定量优先、定量与定性相结合的方式，始终遵循科学规范、公正公开、分级分类、绩效相关的基本原则。</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2.评价指标体系</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按照逻辑分析法设计，包括项目决策、项目过程、项目产出、影响力四部分内容。其中项目决策权重为5分，项目过程权重为5分，项目产出权重为50分，项目效益权重为40分。</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根据自治区财政厅《关于印发〈自治区本级财政支出绩效评价管理暂行办法〉的通知》(新财预〔2018〕188号)、项目支出绩效评级管理办法(财预〔2020〕10号)等相关文件要求，本次专项资金的评价指标体系包括评价指标、权重、指标解释、计算公式、评分标准。绩效评价总分值100分，根据综合评分结果，评价计分90分-100分(含90分)对应的评分结果级别为优，80-90分(含80分)对应的评分结果级别为良，60-80分(含60分)对应的评分结果级别为中，60分以下对应的评分结果级别为差。完整的绩效评价指标体系及评分过程详见附件1。</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3.评价方法</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本次评价指标中，既有定性指标又有定量指标，各类指标因考核内容不同和客观标准不同存在较大差异，因此核定具体指标时采用了不同方法，具体评价方法如下：</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（1）比较法。通过对绩效目标与实施效果、历史与当期情况，综合分析绩效目标实现程度。对项目最终验收情况与年度绩效目标对比、预算资金执行情况等相关因素进行比较。</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2）因素分析法。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600" w:lineRule="exact"/>
        <w:ind w:firstLine="602" w:firstLineChars="200"/>
        <w:rPr>
          <w:rFonts w:hint="eastAsia" w:ascii="仿宋_GB2312" w:hAnsi="Times New Roman" w:cs="Times New Roman"/>
          <w:b/>
          <w:bCs/>
          <w:lang w:val="en-US" w:eastAsia="zh-CN"/>
        </w:rPr>
      </w:pPr>
      <w:r>
        <w:rPr>
          <w:rFonts w:hint="eastAsia" w:ascii="仿宋_GB2312" w:hAnsi="Times New Roman" w:cs="Times New Roman"/>
          <w:b/>
          <w:bCs/>
          <w:lang w:val="en-US" w:eastAsia="zh-CN"/>
        </w:rPr>
        <w:t>4.评价标准</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绩效评价标准通常包括计划标准、行业标准、历史标准等，用于对绩效指标完成情况进行比较。本次评价主要采用了计划标准和行业标准。</w:t>
      </w:r>
    </w:p>
    <w:p>
      <w:pPr>
        <w:spacing w:line="600" w:lineRule="exact"/>
        <w:ind w:firstLine="602" w:firstLineChars="200"/>
        <w:rPr>
          <w:rFonts w:hint="eastAsia" w:ascii="仿宋_GB2312" w:hAnsi="Times New Roman" w:cs="Times New Roman"/>
          <w:b/>
          <w:bCs/>
        </w:rPr>
      </w:pPr>
      <w:r>
        <w:rPr>
          <w:rFonts w:hint="eastAsia" w:ascii="仿宋_GB2312" w:hAnsi="Times New Roman" w:cs="Times New Roman"/>
          <w:b/>
          <w:bCs/>
          <w:lang w:eastAsia="zh-CN"/>
        </w:rPr>
        <w:t>（</w:t>
      </w:r>
      <w:r>
        <w:rPr>
          <w:rFonts w:hint="eastAsia" w:ascii="仿宋_GB2312" w:hAnsi="Times New Roman" w:cs="Times New Roman"/>
          <w:b/>
          <w:bCs/>
          <w:lang w:val="en-US" w:eastAsia="zh-CN"/>
        </w:rPr>
        <w:t>三</w:t>
      </w:r>
      <w:r>
        <w:rPr>
          <w:rFonts w:hint="eastAsia" w:ascii="仿宋_GB2312" w:hAnsi="Times New Roman" w:cs="Times New Roman"/>
          <w:b/>
          <w:bCs/>
          <w:lang w:eastAsia="zh-CN"/>
        </w:rPr>
        <w:t>）</w:t>
      </w:r>
      <w:r>
        <w:rPr>
          <w:rFonts w:hint="eastAsia" w:ascii="仿宋_GB2312" w:hAnsi="Times New Roman" w:cs="Times New Roman"/>
          <w:b/>
          <w:bCs/>
        </w:rPr>
        <w:t>绩效评价工作过程</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1.前期准备。首先成立评价工作组，开展前期调研；其次明确项目绩效目标，设计绩效评价指标体系并确定绩效评价方法；接着确定现场和非现场评价范围，设计资料清单；最后制定评价实施方案并进行论证。</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2.组织实施。制定绩效评价工作方案，具体包括项目概况、评价思路、方法手段、组织实施、进度安排等。收集项目立项依据、相关会议纪要、实施方案、财政资金分配方案、支付管理情况等相关评价资料并进行梳理。</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3.分析评价。根据收集梳理的资料围绕项目立项、资金落实、业务管理、财务管理、项目产出、项目效益等内容，对照已确定的绩效评价指标进行详细全面的分析评价，逐项打分并形成绩效评价最终结果。</w:t>
      </w:r>
    </w:p>
    <w:p>
      <w:pPr>
        <w:spacing w:line="600" w:lineRule="exact"/>
        <w:ind w:firstLine="600" w:firstLineChars="200"/>
        <w:rPr>
          <w:rFonts w:hint="eastAsia" w:ascii="仿宋_GB2312"/>
          <w:sz w:val="30"/>
        </w:rPr>
      </w:pPr>
      <w:r>
        <w:rPr>
          <w:rFonts w:hint="eastAsia" w:ascii="黑体" w:hAnsi="黑体" w:eastAsia="黑体"/>
          <w:sz w:val="30"/>
        </w:rPr>
        <w:t>三、综合评价情况及评价结论</w:t>
      </w:r>
    </w:p>
    <w:p>
      <w:pPr>
        <w:keepNext w:val="0"/>
        <w:keepLines w:val="0"/>
        <w:pageBreakBefore w:val="0"/>
        <w:widowControl w:val="0"/>
        <w:kinsoku/>
        <w:wordWrap/>
        <w:overflowPunct/>
        <w:topLinePunct w:val="0"/>
        <w:autoSpaceDE/>
        <w:autoSpaceDN/>
        <w:bidi w:val="0"/>
        <w:spacing w:line="560" w:lineRule="exact"/>
        <w:ind w:left="0" w:firstLine="600" w:firstLineChars="200"/>
        <w:textAlignment w:val="auto"/>
        <w:rPr>
          <w:rFonts w:hint="eastAsia" w:ascii="仿宋_GB2312" w:hAnsi="Times New Roman" w:cs="Times New Roman"/>
          <w:lang w:val="en-US" w:eastAsia="zh-CN"/>
        </w:rPr>
      </w:pPr>
      <w:r>
        <w:rPr>
          <w:rFonts w:hint="eastAsia" w:ascii="仿宋_GB2312" w:hAnsi="Times New Roman" w:cs="Times New Roman"/>
          <w:lang w:val="en-US" w:eastAsia="zh-CN"/>
        </w:rPr>
        <w:t>对科研项目进行客观评价，最终评分结果：总得分为100分，属于“优”。其中，项目决策类指标权重为5分，得分为5分，得分率为 100%。项目过程类指标权重为5分，得分为5分，得分率为100%。项目产出类指标权重为50分，得分为50分，得分率为100%。项目效益类指标权重为40分，得分为40分，得分率为100%。</w:t>
      </w:r>
    </w:p>
    <w:p>
      <w:pPr>
        <w:pStyle w:val="4"/>
        <w:keepNext w:val="0"/>
        <w:keepLines w:val="0"/>
        <w:pageBreakBefore w:val="0"/>
        <w:widowControl/>
        <w:kinsoku/>
        <w:wordWrap/>
        <w:overflowPunct/>
        <w:topLinePunct w:val="0"/>
        <w:autoSpaceDE/>
        <w:autoSpaceDN/>
        <w:bidi w:val="0"/>
        <w:adjustRightInd/>
        <w:snapToGrid/>
        <w:spacing w:before="60"/>
        <w:textAlignment w:val="auto"/>
      </w:pPr>
      <w:r>
        <w:rPr>
          <w:rFonts w:ascii="Times New Roman" w:hAnsi="Times New Roman" w:eastAsia="仿宋_GB2312"/>
          <w:sz w:val="30"/>
          <w:szCs w:val="30"/>
        </w:rPr>
        <w:t>表1综合评分表</w:t>
      </w:r>
    </w:p>
    <w:tbl>
      <w:tblPr>
        <w:tblStyle w:val="5"/>
        <w:tblW w:w="891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94"/>
        <w:gridCol w:w="766"/>
        <w:gridCol w:w="1293"/>
        <w:gridCol w:w="1563"/>
        <w:gridCol w:w="923"/>
        <w:gridCol w:w="887"/>
        <w:gridCol w:w="946"/>
        <w:gridCol w:w="991"/>
        <w:gridCol w:w="75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12" w:hRule="atLeast"/>
          <w:tblHeader/>
          <w:jc w:val="center"/>
        </w:trPr>
        <w:tc>
          <w:tcPr>
            <w:tcW w:w="794" w:type="dxa"/>
            <w:shd w:val="clear" w:color="auto" w:fill="AEAAAA" w:themeFill="background2" w:themeFillShade="BF"/>
            <w:vAlign w:val="center"/>
          </w:tcPr>
          <w:p>
            <w:pPr>
              <w:widowControl/>
              <w:spacing w:line="0" w:lineRule="atLeast"/>
              <w:rPr>
                <w:b/>
                <w:bCs/>
                <w:color w:val="000000"/>
                <w:kern w:val="0"/>
                <w:sz w:val="22"/>
                <w:szCs w:val="22"/>
              </w:rPr>
            </w:pPr>
            <w:r>
              <w:rPr>
                <w:b/>
                <w:bCs/>
                <w:color w:val="000000"/>
                <w:kern w:val="0"/>
                <w:sz w:val="22"/>
                <w:szCs w:val="22"/>
              </w:rPr>
              <w:t>一级指标</w:t>
            </w:r>
          </w:p>
        </w:tc>
        <w:tc>
          <w:tcPr>
            <w:tcW w:w="766"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分值</w:t>
            </w:r>
          </w:p>
        </w:tc>
        <w:tc>
          <w:tcPr>
            <w:tcW w:w="1293"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1563"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923" w:type="dxa"/>
            <w:shd w:val="clear" w:color="auto" w:fill="AEAAAA" w:themeFill="background2" w:themeFillShade="B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887"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46"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991"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751" w:type="dxa"/>
            <w:shd w:val="clear" w:color="auto" w:fill="AEAAAA" w:themeFill="background2" w:themeFillShade="BF"/>
            <w:vAlign w:val="center"/>
          </w:tcPr>
          <w:p>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p>
            <w:pPr>
              <w:widowControl/>
              <w:spacing w:line="0" w:lineRule="atLeast"/>
              <w:jc w:val="center"/>
              <w:rPr>
                <w:color w:val="000000"/>
                <w:kern w:val="0"/>
                <w:sz w:val="22"/>
                <w:szCs w:val="22"/>
              </w:rPr>
            </w:pPr>
            <w:r>
              <w:rPr>
                <w:color w:val="000000"/>
                <w:kern w:val="0"/>
                <w:sz w:val="22"/>
                <w:szCs w:val="22"/>
              </w:rPr>
              <w:t>　</w:t>
            </w:r>
          </w:p>
        </w:tc>
        <w:tc>
          <w:tcPr>
            <w:tcW w:w="766" w:type="dxa"/>
            <w:vMerge w:val="restart"/>
            <w:shd w:val="clear" w:color="auto" w:fill="auto"/>
            <w:vAlign w:val="center"/>
          </w:tcPr>
          <w:p>
            <w:pPr>
              <w:widowControl/>
              <w:spacing w:line="0" w:lineRule="atLeast"/>
              <w:jc w:val="center"/>
              <w:rPr>
                <w:color w:val="000000"/>
                <w:kern w:val="0"/>
                <w:sz w:val="22"/>
                <w:szCs w:val="22"/>
              </w:rPr>
            </w:pPr>
            <w:r>
              <w:rPr>
                <w:kern w:val="0"/>
                <w:sz w:val="22"/>
                <w:szCs w:val="22"/>
              </w:rPr>
              <w:t>5分</w:t>
            </w: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项目立项　</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充分</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充分</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规范</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规范</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　</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明确</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明确</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资金投入</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科学</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科学</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合理</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restart"/>
            <w:shd w:val="clear" w:color="auto" w:fill="auto"/>
            <w:vAlign w:val="center"/>
          </w:tcPr>
          <w:p>
            <w:pPr>
              <w:spacing w:line="0" w:lineRule="atLeast"/>
              <w:jc w:val="center"/>
              <w:rPr>
                <w:color w:val="000000"/>
                <w:kern w:val="0"/>
                <w:sz w:val="22"/>
                <w:szCs w:val="22"/>
              </w:rPr>
            </w:pPr>
            <w:r>
              <w:rPr>
                <w:color w:val="000000"/>
                <w:kern w:val="0"/>
                <w:sz w:val="22"/>
                <w:szCs w:val="22"/>
              </w:rPr>
              <w:t>过程</w:t>
            </w:r>
          </w:p>
          <w:p>
            <w:pPr>
              <w:spacing w:line="0" w:lineRule="atLeast"/>
              <w:jc w:val="center"/>
              <w:rPr>
                <w:color w:val="000000"/>
                <w:kern w:val="0"/>
                <w:sz w:val="22"/>
                <w:szCs w:val="22"/>
              </w:rPr>
            </w:pPr>
            <w:r>
              <w:rPr>
                <w:color w:val="000000"/>
                <w:kern w:val="0"/>
                <w:sz w:val="22"/>
                <w:szCs w:val="22"/>
              </w:rPr>
              <w:t>　</w:t>
            </w:r>
          </w:p>
        </w:tc>
        <w:tc>
          <w:tcPr>
            <w:tcW w:w="766" w:type="dxa"/>
            <w:vMerge w:val="restart"/>
            <w:shd w:val="clear" w:color="auto" w:fill="auto"/>
            <w:vAlign w:val="center"/>
          </w:tcPr>
          <w:p>
            <w:pPr>
              <w:widowControl/>
              <w:spacing w:line="0" w:lineRule="atLeast"/>
              <w:jc w:val="center"/>
              <w:rPr>
                <w:color w:val="000000"/>
                <w:kern w:val="0"/>
                <w:sz w:val="22"/>
                <w:szCs w:val="22"/>
              </w:rPr>
            </w:pPr>
            <w:r>
              <w:rPr>
                <w:kern w:val="0"/>
                <w:sz w:val="22"/>
                <w:szCs w:val="22"/>
              </w:rPr>
              <w:t>5分</w:t>
            </w: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资金到位率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vMerge w:val="continue"/>
            <w:shd w:val="clear" w:color="auto" w:fill="auto"/>
            <w:vAlign w:val="center"/>
          </w:tcPr>
          <w:p>
            <w:pPr>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预算执行率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合格</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合格</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组织实施</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健全</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健全</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12"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有效</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有效</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产出</w:t>
            </w:r>
          </w:p>
        </w:tc>
        <w:tc>
          <w:tcPr>
            <w:tcW w:w="766" w:type="dxa"/>
            <w:vMerge w:val="restart"/>
            <w:shd w:val="clear" w:color="auto" w:fill="auto"/>
            <w:vAlign w:val="center"/>
          </w:tcPr>
          <w:p>
            <w:pPr>
              <w:widowControl/>
              <w:spacing w:line="0" w:lineRule="atLeast"/>
              <w:jc w:val="center"/>
              <w:rPr>
                <w:color w:val="000000"/>
                <w:kern w:val="0"/>
                <w:sz w:val="22"/>
                <w:szCs w:val="22"/>
              </w:rPr>
            </w:pPr>
            <w:r>
              <w:rPr>
                <w:kern w:val="0"/>
                <w:sz w:val="22"/>
                <w:szCs w:val="22"/>
              </w:rPr>
              <w:t>50分</w:t>
            </w: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产出数量</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实际完成率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产出质量</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质量达标率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spacing w:line="0" w:lineRule="atLeast"/>
              <w:jc w:val="center"/>
              <w:rPr>
                <w:color w:val="000000"/>
                <w:kern w:val="0"/>
                <w:sz w:val="22"/>
                <w:szCs w:val="22"/>
              </w:rPr>
            </w:pPr>
          </w:p>
        </w:tc>
        <w:tc>
          <w:tcPr>
            <w:tcW w:w="766" w:type="dxa"/>
            <w:vMerge w:val="continue"/>
            <w:shd w:val="clear" w:color="auto" w:fill="auto"/>
            <w:vAlign w:val="center"/>
          </w:tcPr>
          <w:p>
            <w:pPr>
              <w:spacing w:line="0" w:lineRule="atLeast"/>
              <w:jc w:val="center"/>
              <w:rPr>
                <w:color w:val="000000"/>
                <w:kern w:val="0"/>
                <w:sz w:val="22"/>
                <w:szCs w:val="22"/>
              </w:rPr>
            </w:pPr>
          </w:p>
        </w:tc>
        <w:tc>
          <w:tcPr>
            <w:tcW w:w="1293" w:type="dxa"/>
            <w:shd w:val="clear" w:color="auto" w:fill="auto"/>
            <w:vAlign w:val="center"/>
          </w:tcPr>
          <w:p>
            <w:pPr>
              <w:spacing w:line="0" w:lineRule="atLeast"/>
              <w:jc w:val="center"/>
              <w:rPr>
                <w:color w:val="000000"/>
                <w:kern w:val="0"/>
                <w:sz w:val="22"/>
                <w:szCs w:val="22"/>
              </w:rPr>
            </w:pPr>
            <w:r>
              <w:rPr>
                <w:color w:val="000000"/>
                <w:kern w:val="0"/>
                <w:sz w:val="22"/>
                <w:szCs w:val="22"/>
              </w:rPr>
              <w:t>产出时效</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完成及时性</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15</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及时</w:t>
            </w:r>
          </w:p>
        </w:tc>
        <w:tc>
          <w:tcPr>
            <w:tcW w:w="946"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及时</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43"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产出成本</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成本节约率</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p>
        </w:tc>
        <w:tc>
          <w:tcPr>
            <w:tcW w:w="946"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r>
              <w:rPr>
                <w:color w:val="000000"/>
                <w:kern w:val="0"/>
                <w:sz w:val="22"/>
                <w:szCs w:val="22"/>
              </w:rPr>
              <w:t>%</w:t>
            </w:r>
          </w:p>
        </w:tc>
        <w:tc>
          <w:tcPr>
            <w:tcW w:w="991"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205" w:hRule="atLeast"/>
          <w:jc w:val="center"/>
        </w:trPr>
        <w:tc>
          <w:tcPr>
            <w:tcW w:w="794"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效益　</w:t>
            </w:r>
          </w:p>
        </w:tc>
        <w:tc>
          <w:tcPr>
            <w:tcW w:w="766"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40分</w:t>
            </w:r>
          </w:p>
        </w:tc>
        <w:tc>
          <w:tcPr>
            <w:tcW w:w="1293"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项目效益　</w:t>
            </w: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实施效益</w:t>
            </w:r>
          </w:p>
          <w:p>
            <w:pPr>
              <w:widowControl/>
              <w:spacing w:line="0" w:lineRule="atLeast"/>
              <w:jc w:val="center"/>
              <w:rPr>
                <w:color w:val="000000"/>
                <w:kern w:val="0"/>
                <w:sz w:val="22"/>
                <w:szCs w:val="22"/>
              </w:rPr>
            </w:pPr>
            <w:r>
              <w:rPr>
                <w:color w:val="000000"/>
                <w:kern w:val="0"/>
                <w:sz w:val="22"/>
                <w:szCs w:val="22"/>
              </w:rPr>
              <w:t>（社会效益、经济效益、可持续效益）</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30</w:t>
            </w:r>
          </w:p>
        </w:tc>
        <w:tc>
          <w:tcPr>
            <w:tcW w:w="887"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rPr>
              <w:t>≥90%</w:t>
            </w:r>
          </w:p>
        </w:tc>
        <w:tc>
          <w:tcPr>
            <w:tcW w:w="946"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90</w:t>
            </w:r>
            <w:r>
              <w:rPr>
                <w:color w:val="000000"/>
                <w:kern w:val="0"/>
                <w:sz w:val="22"/>
                <w:szCs w:val="22"/>
              </w:rPr>
              <w:t>%</w:t>
            </w:r>
          </w:p>
        </w:tc>
        <w:tc>
          <w:tcPr>
            <w:tcW w:w="99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color w:val="000000"/>
                <w:kern w:val="0"/>
                <w:sz w:val="22"/>
                <w:szCs w:val="22"/>
              </w:rPr>
            </w:pPr>
            <w:r>
              <w:rPr>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75" w:hRule="atLeast"/>
          <w:jc w:val="center"/>
        </w:trPr>
        <w:tc>
          <w:tcPr>
            <w:tcW w:w="794" w:type="dxa"/>
            <w:vMerge w:val="continue"/>
            <w:shd w:val="clear" w:color="auto" w:fill="auto"/>
            <w:vAlign w:val="center"/>
          </w:tcPr>
          <w:p>
            <w:pPr>
              <w:widowControl/>
              <w:spacing w:line="0" w:lineRule="atLeast"/>
              <w:jc w:val="center"/>
              <w:rPr>
                <w:color w:val="000000"/>
                <w:kern w:val="0"/>
                <w:sz w:val="22"/>
                <w:szCs w:val="22"/>
              </w:rPr>
            </w:pPr>
          </w:p>
        </w:tc>
        <w:tc>
          <w:tcPr>
            <w:tcW w:w="766" w:type="dxa"/>
            <w:vMerge w:val="continue"/>
            <w:shd w:val="clear" w:color="auto" w:fill="auto"/>
            <w:vAlign w:val="center"/>
          </w:tcPr>
          <w:p>
            <w:pPr>
              <w:widowControl/>
              <w:spacing w:line="0" w:lineRule="atLeast"/>
              <w:jc w:val="center"/>
              <w:rPr>
                <w:color w:val="000000"/>
                <w:kern w:val="0"/>
                <w:sz w:val="22"/>
                <w:szCs w:val="22"/>
              </w:rPr>
            </w:pPr>
          </w:p>
        </w:tc>
        <w:tc>
          <w:tcPr>
            <w:tcW w:w="1293" w:type="dxa"/>
            <w:vMerge w:val="continue"/>
            <w:shd w:val="clear" w:color="auto" w:fill="auto"/>
            <w:vAlign w:val="center"/>
          </w:tcPr>
          <w:p>
            <w:pPr>
              <w:widowControl/>
              <w:spacing w:line="0" w:lineRule="atLeast"/>
              <w:jc w:val="center"/>
              <w:rPr>
                <w:color w:val="000000"/>
                <w:kern w:val="0"/>
                <w:sz w:val="22"/>
                <w:szCs w:val="22"/>
              </w:rPr>
            </w:pPr>
          </w:p>
        </w:tc>
        <w:tc>
          <w:tcPr>
            <w:tcW w:w="156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满意度</w:t>
            </w:r>
          </w:p>
        </w:tc>
        <w:tc>
          <w:tcPr>
            <w:tcW w:w="923" w:type="dxa"/>
            <w:shd w:val="clear" w:color="auto" w:fill="auto"/>
            <w:vAlign w:val="center"/>
          </w:tcPr>
          <w:p>
            <w:pPr>
              <w:widowControl/>
              <w:spacing w:line="0" w:lineRule="atLeast"/>
              <w:jc w:val="center"/>
              <w:rPr>
                <w:color w:val="000000"/>
                <w:kern w:val="0"/>
                <w:sz w:val="22"/>
                <w:szCs w:val="22"/>
              </w:rPr>
            </w:pPr>
            <w:r>
              <w:rPr>
                <w:color w:val="000000"/>
                <w:kern w:val="0"/>
                <w:sz w:val="22"/>
                <w:szCs w:val="22"/>
              </w:rPr>
              <w:t>10</w:t>
            </w:r>
          </w:p>
        </w:tc>
        <w:tc>
          <w:tcPr>
            <w:tcW w:w="88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w:t>
            </w:r>
            <w:r>
              <w:rPr>
                <w:rFonts w:hint="eastAsia"/>
                <w:color w:val="000000"/>
                <w:kern w:val="0"/>
                <w:sz w:val="22"/>
                <w:szCs w:val="22"/>
                <w:lang w:val="en-US" w:eastAsia="zh-CN"/>
              </w:rPr>
              <w:t>90</w:t>
            </w:r>
            <w:r>
              <w:rPr>
                <w:color w:val="000000"/>
                <w:kern w:val="0"/>
                <w:sz w:val="22"/>
                <w:szCs w:val="22"/>
              </w:rPr>
              <w:t>%</w:t>
            </w:r>
          </w:p>
        </w:tc>
        <w:tc>
          <w:tcPr>
            <w:tcW w:w="946"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90</w:t>
            </w:r>
            <w:r>
              <w:rPr>
                <w:color w:val="000000"/>
                <w:kern w:val="0"/>
                <w:sz w:val="22"/>
                <w:szCs w:val="22"/>
              </w:rPr>
              <w:t>%</w:t>
            </w:r>
          </w:p>
        </w:tc>
        <w:tc>
          <w:tcPr>
            <w:tcW w:w="991" w:type="dxa"/>
            <w:shd w:val="clear" w:color="auto" w:fill="auto"/>
            <w:vAlign w:val="center"/>
          </w:tcPr>
          <w:p>
            <w:pPr>
              <w:widowControl/>
              <w:spacing w:line="0" w:lineRule="atLeast"/>
              <w:jc w:val="center"/>
              <w:rPr>
                <w:color w:val="000000"/>
                <w:kern w:val="0"/>
                <w:sz w:val="22"/>
                <w:szCs w:val="22"/>
              </w:rPr>
            </w:pPr>
            <w:r>
              <w:rPr>
                <w:rFonts w:hint="eastAsia"/>
                <w:color w:val="000000"/>
                <w:kern w:val="0"/>
                <w:sz w:val="22"/>
                <w:szCs w:val="22"/>
                <w:lang w:val="en-US" w:eastAsia="zh-CN"/>
              </w:rPr>
              <w:t>100</w:t>
            </w:r>
            <w:r>
              <w:rPr>
                <w:rFonts w:hint="eastAsia"/>
                <w:color w:val="000000"/>
                <w:kern w:val="0"/>
                <w:sz w:val="22"/>
                <w:szCs w:val="22"/>
              </w:rPr>
              <w:t>%</w:t>
            </w:r>
          </w:p>
        </w:tc>
        <w:tc>
          <w:tcPr>
            <w:tcW w:w="751" w:type="dxa"/>
            <w:shd w:val="clear" w:color="auto" w:fill="auto"/>
            <w:vAlign w:val="center"/>
          </w:tcPr>
          <w:p>
            <w:pPr>
              <w:widowControl/>
              <w:spacing w:line="0" w:lineRule="atLeast"/>
              <w:jc w:val="center"/>
              <w:rPr>
                <w:rFonts w:hint="default" w:eastAsia="宋体"/>
                <w:color w:val="000000"/>
                <w:kern w:val="0"/>
                <w:sz w:val="22"/>
                <w:szCs w:val="22"/>
                <w:lang w:val="en-US" w:eastAsia="zh-CN"/>
              </w:rPr>
            </w:pPr>
            <w:r>
              <w:rPr>
                <w:rFonts w:hint="eastAsia"/>
                <w:color w:val="000000"/>
                <w:kern w:val="0"/>
                <w:sz w:val="22"/>
                <w:szCs w:val="22"/>
                <w:lang w:val="en-US" w:eastAsia="zh-CN"/>
              </w:rPr>
              <w:t>10</w:t>
            </w:r>
          </w:p>
        </w:tc>
      </w:tr>
    </w:tbl>
    <w:p>
      <w:pPr>
        <w:spacing w:line="600" w:lineRule="exact"/>
        <w:ind w:firstLine="600" w:firstLineChars="200"/>
        <w:rPr>
          <w:rFonts w:ascii="黑体" w:hAnsi="黑体" w:eastAsia="黑体"/>
        </w:rPr>
      </w:pPr>
      <w:r>
        <w:rPr>
          <w:rFonts w:hint="eastAsia" w:ascii="黑体" w:hAnsi="黑体" w:eastAsia="黑体"/>
        </w:rPr>
        <w:t>四、绩效评价指标分析</w:t>
      </w:r>
    </w:p>
    <w:p>
      <w:pPr>
        <w:spacing w:line="600" w:lineRule="exact"/>
        <w:ind w:firstLine="600" w:firstLineChars="200"/>
        <w:outlineLvl w:val="0"/>
        <w:rPr>
          <w:rFonts w:hint="eastAsia" w:ascii="仿宋_GB2312"/>
        </w:rPr>
      </w:pPr>
      <w:r>
        <w:rPr>
          <w:rFonts w:hint="eastAsia" w:ascii="仿宋_GB2312"/>
        </w:rPr>
        <w:t>（一）项目决策情况</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jc w:val="both"/>
        <w:textAlignment w:val="auto"/>
        <w:outlineLvl w:val="0"/>
        <w:rPr>
          <w:rFonts w:hint="eastAsia" w:ascii="仿宋_GB2312" w:hAnsi="Times New Roman" w:cs="Times New Roman"/>
        </w:rPr>
      </w:pPr>
      <w:r>
        <w:rPr>
          <w:rFonts w:hint="eastAsia" w:ascii="仿宋_GB2312" w:hAnsi="Times New Roman" w:cs="Times New Roman"/>
        </w:rPr>
        <w:t>项目立项符合法律法规、相关政策及部门职责，能反映和考核项目立项依据情况，项目申请、设立过程符合相关要求，能反映和考核项目立项的规范情况，所设定的绩效目标依据充分，符合客观实际，能反映和考核项目绩效目标与项目实施的相符情况，依据绩效目标设定的绩效指标清晰、细化、可衡量，能反映和考核项目绩效目标的明细化情况。</w:t>
      </w:r>
    </w:p>
    <w:p>
      <w:pPr>
        <w:spacing w:line="600" w:lineRule="exact"/>
        <w:ind w:firstLine="600" w:firstLineChars="200"/>
        <w:outlineLvl w:val="0"/>
        <w:rPr>
          <w:rFonts w:hint="eastAsia" w:ascii="仿宋_GB2312"/>
        </w:rPr>
      </w:pPr>
      <w:r>
        <w:rPr>
          <w:rFonts w:hint="eastAsia" w:ascii="仿宋_GB2312"/>
        </w:rPr>
        <w:t>（二）项目过程情况</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jc w:val="both"/>
        <w:textAlignment w:val="auto"/>
        <w:outlineLvl w:val="0"/>
        <w:rPr>
          <w:rFonts w:hint="eastAsia" w:ascii="仿宋_GB2312"/>
        </w:rPr>
      </w:pPr>
      <w:r>
        <w:rPr>
          <w:rFonts w:hint="eastAsia" w:ascii="仿宋_GB2312" w:hAnsi="Times New Roman" w:cs="Times New Roman"/>
        </w:rPr>
        <w:t>项目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00" w:firstLineChars="200"/>
        <w:outlineLvl w:val="0"/>
        <w:rPr>
          <w:rFonts w:hint="eastAsia" w:ascii="仿宋_GB2312"/>
        </w:rPr>
      </w:pPr>
      <w:r>
        <w:rPr>
          <w:rFonts w:hint="eastAsia" w:ascii="仿宋_GB2312"/>
        </w:rPr>
        <w:t>（三）项目产出情况</w:t>
      </w:r>
    </w:p>
    <w:p>
      <w:pPr>
        <w:spacing w:line="600" w:lineRule="exact"/>
        <w:ind w:firstLine="600" w:firstLineChars="200"/>
        <w:outlineLvl w:val="0"/>
        <w:rPr>
          <w:rFonts w:hint="eastAsia" w:ascii="仿宋_GB2312"/>
        </w:rPr>
      </w:pPr>
      <w:r>
        <w:rPr>
          <w:rFonts w:hint="eastAsia" w:ascii="仿宋_GB2312"/>
        </w:rPr>
        <w:t>公开发表学术论文2篇，制定技术规程2项，年度研究任务完成度</w:t>
      </w:r>
      <w:r>
        <w:rPr>
          <w:rFonts w:hint="eastAsia" w:ascii="仿宋_GB2312"/>
          <w:lang w:val="en-US" w:eastAsia="zh-CN"/>
        </w:rPr>
        <w:t>100%，</w:t>
      </w:r>
      <w:r>
        <w:rPr>
          <w:rFonts w:hint="eastAsia" w:ascii="仿宋_GB2312"/>
        </w:rPr>
        <w:t>到期应验收项目合格率100%；</w:t>
      </w:r>
    </w:p>
    <w:p>
      <w:pPr>
        <w:spacing w:line="600" w:lineRule="exact"/>
        <w:ind w:firstLine="600" w:firstLineChars="200"/>
        <w:outlineLvl w:val="0"/>
        <w:rPr>
          <w:rFonts w:hint="eastAsia" w:ascii="仿宋_GB2312"/>
        </w:rPr>
      </w:pPr>
      <w:r>
        <w:rPr>
          <w:rFonts w:hint="eastAsia" w:ascii="仿宋_GB2312"/>
        </w:rPr>
        <w:t>（四）项目效益情况</w:t>
      </w:r>
    </w:p>
    <w:p>
      <w:pPr>
        <w:keepNext w:val="0"/>
        <w:keepLines w:val="0"/>
        <w:pageBreakBefore w:val="0"/>
        <w:kinsoku/>
        <w:wordWrap/>
        <w:overflowPunct/>
        <w:topLinePunct w:val="0"/>
        <w:autoSpaceDE/>
        <w:autoSpaceDN/>
        <w:bidi w:val="0"/>
        <w:adjustRightInd/>
        <w:snapToGrid/>
        <w:spacing w:line="560" w:lineRule="exact"/>
        <w:ind w:left="0" w:leftChars="0" w:firstLine="600" w:firstLineChars="200"/>
        <w:jc w:val="both"/>
        <w:textAlignment w:val="auto"/>
        <w:outlineLvl w:val="0"/>
        <w:rPr>
          <w:rFonts w:hint="eastAsia" w:ascii="仿宋_GB2312"/>
        </w:rPr>
      </w:pPr>
      <w:r>
        <w:rPr>
          <w:rFonts w:hint="eastAsia" w:ascii="仿宋_GB2312" w:hAnsi="Times New Roman" w:cs="Times New Roman"/>
          <w:lang w:val="en-US" w:eastAsia="zh-CN"/>
        </w:rPr>
        <w:t>通过项目的实施，核心示范区</w:t>
      </w:r>
      <w:r>
        <w:rPr>
          <w:rFonts w:hint="eastAsia" w:ascii="仿宋_GB2312" w:hAnsi="Times New Roman" w:cs="Times New Roman"/>
        </w:rPr>
        <w:t>亩产产量</w:t>
      </w:r>
      <w:r>
        <w:rPr>
          <w:rFonts w:hint="eastAsia" w:ascii="仿宋_GB2312" w:hAnsi="Times New Roman" w:cs="Times New Roman"/>
          <w:lang w:val="en-US" w:eastAsia="zh-CN"/>
        </w:rPr>
        <w:t>提高了11%，</w:t>
      </w:r>
      <w:r>
        <w:rPr>
          <w:rFonts w:hint="eastAsia" w:ascii="仿宋_GB2312" w:hAnsi="Times New Roman" w:cs="Times New Roman"/>
        </w:rPr>
        <w:t>项目示范推广区域</w:t>
      </w:r>
      <w:r>
        <w:rPr>
          <w:rFonts w:hint="eastAsia" w:ascii="仿宋_GB2312" w:hAnsi="Times New Roman" w:cs="Times New Roman"/>
          <w:lang w:val="en-US" w:eastAsia="zh-CN"/>
        </w:rPr>
        <w:t>和服务</w:t>
      </w:r>
      <w:r>
        <w:rPr>
          <w:rFonts w:hint="eastAsia" w:ascii="仿宋_GB2312" w:hAnsi="Times New Roman" w:cs="Times New Roman"/>
        </w:rPr>
        <w:t>企业</w:t>
      </w:r>
      <w:r>
        <w:rPr>
          <w:rFonts w:hint="eastAsia" w:ascii="仿宋_GB2312" w:hAnsi="Times New Roman" w:cs="Times New Roman"/>
          <w:lang w:val="en-US" w:eastAsia="zh-CN"/>
        </w:rPr>
        <w:t>对项目实施</w:t>
      </w:r>
      <w:r>
        <w:rPr>
          <w:rFonts w:hint="eastAsia" w:ascii="仿宋_GB2312" w:hAnsi="Times New Roman" w:cs="Times New Roman"/>
        </w:rPr>
        <w:t>满意</w:t>
      </w:r>
      <w:r>
        <w:rPr>
          <w:rFonts w:hint="eastAsia" w:ascii="仿宋_GB2312" w:hAnsi="Times New Roman" w:cs="Times New Roman"/>
          <w:lang w:val="en-US" w:eastAsia="zh-CN"/>
        </w:rPr>
        <w:t>。</w:t>
      </w:r>
    </w:p>
    <w:p>
      <w:pPr>
        <w:spacing w:line="600" w:lineRule="exact"/>
        <w:ind w:firstLine="600" w:firstLineChars="200"/>
        <w:rPr>
          <w:rFonts w:ascii="黑体" w:hAnsi="黑体" w:eastAsia="黑体"/>
        </w:rPr>
      </w:pPr>
      <w:r>
        <w:rPr>
          <w:rFonts w:hint="eastAsia" w:ascii="黑体" w:hAnsi="黑体" w:eastAsia="黑体"/>
        </w:rPr>
        <w:t>五、主要经验及做法、存在的问题及原因分析</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《新疆</w:t>
      </w:r>
      <w:r>
        <w:rPr>
          <w:rFonts w:hint="eastAsia" w:ascii="仿宋_GB2312" w:hAnsi="Times New Roman" w:cs="Times New Roman"/>
          <w:lang w:val="en-US" w:eastAsia="zh-CN"/>
        </w:rPr>
        <w:t>农业职业技术学院科研</w:t>
      </w:r>
      <w:r>
        <w:rPr>
          <w:rFonts w:hint="eastAsia" w:ascii="仿宋_GB2312" w:hAnsi="Times New Roman" w:cs="Times New Roman"/>
        </w:rPr>
        <w:t>项目管理办法</w:t>
      </w:r>
      <w:r>
        <w:rPr>
          <w:rFonts w:hint="eastAsia" w:ascii="仿宋_GB2312" w:cs="Times New Roman"/>
          <w:lang w:eastAsia="zh-CN"/>
        </w:rPr>
        <w:t>》</w:t>
      </w:r>
      <w:r>
        <w:rPr>
          <w:rFonts w:hint="eastAsia" w:ascii="仿宋_GB2312" w:hAnsi="Times New Roman" w:cs="Times New Roman"/>
        </w:rPr>
        <w:t>(新</w:t>
      </w:r>
      <w:r>
        <w:rPr>
          <w:rFonts w:hint="eastAsia" w:ascii="仿宋_GB2312" w:hAnsi="Times New Roman" w:cs="Times New Roman"/>
          <w:lang w:val="en-US" w:eastAsia="zh-CN"/>
        </w:rPr>
        <w:t>农职政</w:t>
      </w:r>
      <w:r>
        <w:rPr>
          <w:rFonts w:hint="eastAsia" w:ascii="仿宋_GB2312" w:hAnsi="Times New Roman" w:cs="Times New Roman"/>
        </w:rPr>
        <w:t>〔2022〕</w:t>
      </w:r>
      <w:r>
        <w:rPr>
          <w:rFonts w:hint="eastAsia" w:ascii="仿宋_GB2312" w:hAnsi="Times New Roman" w:cs="Times New Roman"/>
          <w:lang w:val="en-US" w:eastAsia="zh-CN"/>
        </w:rPr>
        <w:t>48</w:t>
      </w:r>
      <w:r>
        <w:rPr>
          <w:rFonts w:hint="eastAsia" w:ascii="仿宋_GB2312" w:hAnsi="Times New Roman" w:cs="Times New Roman"/>
        </w:rPr>
        <w:t>号)对项目申报、项目</w:t>
      </w:r>
      <w:r>
        <w:rPr>
          <w:rFonts w:hint="eastAsia" w:ascii="仿宋_GB2312" w:hAnsi="Times New Roman" w:cs="Times New Roman"/>
          <w:lang w:val="en-US" w:eastAsia="zh-CN"/>
        </w:rPr>
        <w:t>评审</w:t>
      </w:r>
      <w:r>
        <w:rPr>
          <w:rFonts w:hint="eastAsia" w:ascii="仿宋_GB2312" w:hAnsi="Times New Roman" w:cs="Times New Roman"/>
        </w:rPr>
        <w:t>、项目验收</w:t>
      </w:r>
      <w:r>
        <w:rPr>
          <w:rFonts w:hint="eastAsia" w:ascii="仿宋_GB2312" w:hAnsi="Times New Roman" w:cs="Times New Roman"/>
          <w:lang w:val="en-US" w:eastAsia="zh-CN"/>
        </w:rPr>
        <w:t>和</w:t>
      </w:r>
      <w:r>
        <w:rPr>
          <w:rFonts w:hint="eastAsia" w:ascii="仿宋_GB2312" w:hAnsi="Times New Roman" w:cs="Times New Roman"/>
        </w:rPr>
        <w:t>项目监督管理作出了明确要求，</w:t>
      </w:r>
      <w:r>
        <w:rPr>
          <w:rFonts w:hint="eastAsia" w:ascii="仿宋_GB2312" w:hAnsi="Times New Roman" w:cs="Times New Roman"/>
          <w:lang w:val="en-US" w:eastAsia="zh-CN"/>
        </w:rPr>
        <w:t>科学技术处</w:t>
      </w:r>
      <w:r>
        <w:rPr>
          <w:rFonts w:hint="eastAsia" w:ascii="仿宋_GB2312" w:hAnsi="Times New Roman" w:cs="Times New Roman"/>
        </w:rPr>
        <w:t>对项目申报、立项、管理、验收等进行日常管理监督，项目管理制度健全。</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w:t>
      </w:r>
      <w:r>
        <w:rPr>
          <w:rFonts w:hint="eastAsia" w:ascii="仿宋_GB2312" w:hAnsi="Times New Roman" w:cs="Times New Roman"/>
          <w:lang w:val="en-US" w:eastAsia="zh-CN"/>
        </w:rPr>
        <w:t>及验收建档</w:t>
      </w:r>
      <w:r>
        <w:rPr>
          <w:rFonts w:hint="eastAsia" w:ascii="仿宋_GB2312" w:hAnsi="Times New Roman" w:cs="Times New Roman"/>
        </w:rPr>
        <w:t>工作。</w:t>
      </w:r>
    </w:p>
    <w:p>
      <w:pPr>
        <w:spacing w:line="600" w:lineRule="exact"/>
        <w:ind w:firstLine="600" w:firstLineChars="200"/>
        <w:outlineLvl w:val="0"/>
        <w:rPr>
          <w:rFonts w:hint="eastAsia" w:ascii="仿宋_GB2312" w:hAnsi="Times New Roman" w:cs="Times New Roman"/>
        </w:rPr>
      </w:pPr>
      <w:r>
        <w:rPr>
          <w:rFonts w:hint="eastAsia" w:ascii="仿宋_GB2312" w:hAnsi="Times New Roman" w:cs="Times New Roman"/>
        </w:rPr>
        <w:t>严格坚持先做事、后验收、再拨付的原则，基本杜绝了资金被挤占和挪用现象的发生，跟踪检查到位。</w:t>
      </w:r>
      <w:r>
        <w:rPr>
          <w:rFonts w:hint="eastAsia" w:ascii="仿宋_GB2312" w:hAnsi="Times New Roman" w:cs="Times New Roman"/>
          <w:lang w:val="en-US" w:eastAsia="zh-CN"/>
        </w:rPr>
        <w:t>财务</w:t>
      </w:r>
      <w:r>
        <w:rPr>
          <w:rFonts w:hint="eastAsia" w:ascii="仿宋_GB2312" w:hAnsi="Times New Roman" w:cs="Times New Roman"/>
        </w:rPr>
        <w:t>、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600" w:lineRule="exact"/>
        <w:ind w:firstLine="600" w:firstLineChars="200"/>
        <w:rPr>
          <w:rFonts w:ascii="黑体" w:hAnsi="黑体" w:eastAsia="黑体"/>
        </w:rPr>
      </w:pPr>
      <w:r>
        <w:rPr>
          <w:rFonts w:hint="eastAsia" w:ascii="黑体" w:hAnsi="黑体" w:eastAsia="黑体"/>
        </w:rPr>
        <w:t>六、有关建议</w:t>
      </w:r>
    </w:p>
    <w:p>
      <w:pPr>
        <w:spacing w:line="600" w:lineRule="exact"/>
        <w:ind w:firstLine="600" w:firstLineChars="200"/>
        <w:outlineLvl w:val="0"/>
        <w:rPr>
          <w:rFonts w:hint="eastAsia" w:ascii="黑体" w:hAnsi="黑体" w:eastAsia="黑体"/>
        </w:rPr>
      </w:pPr>
      <w:r>
        <w:rPr>
          <w:rFonts w:hint="eastAsia" w:ascii="仿宋_GB2312" w:hAnsi="Times New Roman" w:cs="Times New Roman"/>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pPr>
        <w:spacing w:line="600" w:lineRule="exact"/>
        <w:ind w:firstLine="600" w:firstLineChars="200"/>
        <w:rPr>
          <w:rFonts w:hint="eastAsia" w:ascii="黑体" w:hAnsi="黑体" w:eastAsia="黑体"/>
        </w:rPr>
      </w:pPr>
      <w:r>
        <w:rPr>
          <w:rFonts w:hint="eastAsia" w:ascii="黑体" w:hAnsi="黑体" w:eastAsia="黑体"/>
        </w:rPr>
        <w:t>七、其他需要说明的问题</w:t>
      </w:r>
    </w:p>
    <w:p>
      <w:pPr>
        <w:spacing w:line="600" w:lineRule="exact"/>
        <w:ind w:firstLine="600" w:firstLineChars="200"/>
        <w:outlineLvl w:val="0"/>
        <w:rPr>
          <w:rFonts w:hint="eastAsia" w:ascii="仿宋_GB2312" w:hAnsi="Times New Roman" w:cs="Times New Roman"/>
          <w:lang w:val="en-US" w:eastAsia="zh-CN"/>
        </w:rPr>
      </w:pPr>
      <w:r>
        <w:rPr>
          <w:rFonts w:hint="eastAsia" w:ascii="仿宋_GB2312" w:hAnsi="Times New Roman" w:cs="Times New Roman"/>
          <w:lang w:val="en-US" w:eastAsia="zh-CN"/>
        </w:rPr>
        <w:t>无。</w:t>
      </w: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spacing w:line="600" w:lineRule="exact"/>
        <w:ind w:firstLine="600" w:firstLineChars="200"/>
        <w:outlineLvl w:val="0"/>
        <w:rPr>
          <w:rFonts w:hint="eastAsia" w:ascii="仿宋_GB2312" w:hAnsi="Times New Roman" w:cs="Times New Roman"/>
          <w:lang w:val="en-US" w:eastAsia="zh-CN"/>
        </w:rPr>
      </w:pPr>
    </w:p>
    <w:p>
      <w:pPr>
        <w:pStyle w:val="4"/>
        <w:keepNext w:val="0"/>
        <w:keepLines w:val="0"/>
        <w:pageBreakBefore w:val="0"/>
        <w:kinsoku/>
        <w:wordWrap/>
        <w:overflowPunct/>
        <w:topLinePunct w:val="0"/>
        <w:autoSpaceDE/>
        <w:autoSpaceDN/>
        <w:bidi w:val="0"/>
        <w:adjustRightInd/>
        <w:snapToGrid/>
        <w:spacing w:before="0" w:after="0" w:line="560" w:lineRule="exact"/>
        <w:jc w:val="center"/>
        <w:textAlignment w:val="auto"/>
        <w:rPr>
          <w:rFonts w:hint="eastAsia" w:ascii="Times New Roman" w:hAnsi="Times New Roman"/>
        </w:rPr>
      </w:pPr>
      <w:r>
        <w:rPr>
          <w:rFonts w:hint="eastAsia" w:ascii="Times New Roman" w:hAnsi="Times New Roman"/>
        </w:rPr>
        <w:t>项目支出绩效自评表</w:t>
      </w:r>
    </w:p>
    <w:p>
      <w:pPr>
        <w:jc w:val="center"/>
        <w:rPr>
          <w:rFonts w:hint="eastAsia"/>
        </w:rPr>
      </w:pPr>
      <w:r>
        <w:rPr>
          <w:rFonts w:hint="eastAsia"/>
          <w:sz w:val="28"/>
          <w:szCs w:val="36"/>
        </w:rPr>
        <w:t>（ 202</w:t>
      </w:r>
      <w:r>
        <w:rPr>
          <w:rFonts w:hint="eastAsia"/>
          <w:sz w:val="28"/>
          <w:szCs w:val="36"/>
          <w:lang w:val="en-US" w:eastAsia="zh-CN"/>
        </w:rPr>
        <w:t>4</w:t>
      </w:r>
      <w:r>
        <w:rPr>
          <w:rFonts w:hint="eastAsia"/>
          <w:sz w:val="28"/>
          <w:szCs w:val="36"/>
        </w:rPr>
        <w:t>年度）</w:t>
      </w:r>
    </w:p>
    <w:tbl>
      <w:tblPr>
        <w:tblStyle w:val="5"/>
        <w:tblW w:w="953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9"/>
        <w:gridCol w:w="430"/>
        <w:gridCol w:w="165"/>
        <w:gridCol w:w="525"/>
        <w:gridCol w:w="820"/>
        <w:gridCol w:w="470"/>
        <w:gridCol w:w="310"/>
        <w:gridCol w:w="765"/>
        <w:gridCol w:w="200"/>
        <w:gridCol w:w="285"/>
        <w:gridCol w:w="745"/>
        <w:gridCol w:w="110"/>
        <w:gridCol w:w="715"/>
        <w:gridCol w:w="500"/>
        <w:gridCol w:w="160"/>
        <w:gridCol w:w="885"/>
        <w:gridCol w:w="690"/>
        <w:gridCol w:w="540"/>
        <w:gridCol w:w="76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8" w:hRule="atLeast"/>
          <w:jc w:val="center"/>
        </w:trPr>
        <w:tc>
          <w:tcPr>
            <w:tcW w:w="10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项目名称</w:t>
            </w:r>
          </w:p>
        </w:tc>
        <w:tc>
          <w:tcPr>
            <w:tcW w:w="848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科研项目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jc w:val="center"/>
        </w:trPr>
        <w:tc>
          <w:tcPr>
            <w:tcW w:w="105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主管部门</w:t>
            </w:r>
          </w:p>
        </w:tc>
        <w:tc>
          <w:tcPr>
            <w:tcW w:w="337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heme="minorEastAsia" w:hAnsiTheme="minorEastAsia" w:eastAsiaTheme="minorEastAsia" w:cstheme="minorEastAsia"/>
                <w:i w:val="0"/>
                <w:iCs w:val="0"/>
                <w:color w:val="000000"/>
                <w:sz w:val="18"/>
                <w:szCs w:val="18"/>
                <w:u w:val="none"/>
                <w:lang w:val="en-US" w:eastAsia="zh-CN"/>
              </w:rPr>
            </w:pPr>
            <w:r>
              <w:rPr>
                <w:rFonts w:hint="eastAsia" w:asciiTheme="minorEastAsia" w:hAnsiTheme="minorEastAsia" w:eastAsiaTheme="minorEastAsia" w:cstheme="minorEastAsia"/>
                <w:i w:val="0"/>
                <w:iCs w:val="0"/>
                <w:color w:val="000000"/>
                <w:sz w:val="18"/>
                <w:szCs w:val="18"/>
                <w:u w:val="none"/>
                <w:lang w:val="en-US" w:eastAsia="zh-CN"/>
              </w:rPr>
              <w:t>自治区农业农村厅</w:t>
            </w:r>
          </w:p>
        </w:tc>
        <w:tc>
          <w:tcPr>
            <w:tcW w:w="207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实施单位</w:t>
            </w:r>
          </w:p>
        </w:tc>
        <w:tc>
          <w:tcPr>
            <w:tcW w:w="304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新疆农业职业技术大学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jc w:val="center"/>
        </w:trPr>
        <w:tc>
          <w:tcPr>
            <w:tcW w:w="105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项目资金</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（万元）</w:t>
            </w: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资金来源</w:t>
            </w:r>
          </w:p>
        </w:tc>
        <w:tc>
          <w:tcPr>
            <w:tcW w:w="12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年初预算数</w:t>
            </w:r>
          </w:p>
        </w:tc>
        <w:tc>
          <w:tcPr>
            <w:tcW w:w="1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全年预算数</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全年执行数</w:t>
            </w:r>
          </w:p>
        </w:tc>
        <w:tc>
          <w:tcPr>
            <w:tcW w:w="1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分值权重</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执行率</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8" w:hRule="atLeast"/>
          <w:jc w:val="center"/>
        </w:trPr>
        <w:tc>
          <w:tcPr>
            <w:tcW w:w="105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inorEastAsia" w:hAnsiTheme="minorEastAsia" w:eastAsiaTheme="minorEastAsia" w:cstheme="minorEastAsia"/>
                <w:i w:val="0"/>
                <w:iCs w:val="0"/>
                <w:color w:val="000000"/>
                <w:sz w:val="18"/>
                <w:szCs w:val="18"/>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年度资金总额</w:t>
            </w:r>
          </w:p>
        </w:tc>
        <w:tc>
          <w:tcPr>
            <w:tcW w:w="12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72.42</w:t>
            </w:r>
          </w:p>
        </w:tc>
        <w:tc>
          <w:tcPr>
            <w:tcW w:w="1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72.42</w:t>
            </w: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72.42</w:t>
            </w:r>
          </w:p>
        </w:tc>
        <w:tc>
          <w:tcPr>
            <w:tcW w:w="1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3" w:hRule="atLeast"/>
          <w:jc w:val="center"/>
        </w:trPr>
        <w:tc>
          <w:tcPr>
            <w:tcW w:w="105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inorEastAsia" w:hAnsiTheme="minorEastAsia" w:eastAsiaTheme="minorEastAsia" w:cstheme="minorEastAsia"/>
                <w:i w:val="0"/>
                <w:iCs w:val="0"/>
                <w:color w:val="000000"/>
                <w:sz w:val="18"/>
                <w:szCs w:val="18"/>
                <w:u w:val="none"/>
              </w:rPr>
            </w:pPr>
          </w:p>
        </w:tc>
        <w:tc>
          <w:tcPr>
            <w:tcW w:w="18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其中：当年财政拨款</w:t>
            </w:r>
          </w:p>
        </w:tc>
        <w:tc>
          <w:tcPr>
            <w:tcW w:w="127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inorEastAsia" w:hAnsiTheme="minorEastAsia" w:eastAsiaTheme="minorEastAsia" w:cstheme="minorEastAsia"/>
                <w:i w:val="0"/>
                <w:iCs w:val="0"/>
                <w:color w:val="000000"/>
                <w:sz w:val="18"/>
                <w:szCs w:val="18"/>
                <w:u w:val="none"/>
              </w:rPr>
            </w:pPr>
          </w:p>
        </w:tc>
        <w:tc>
          <w:tcPr>
            <w:tcW w:w="11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inorEastAsia" w:hAnsiTheme="minorEastAsia" w:eastAsiaTheme="minorEastAsia" w:cstheme="minorEastAsia"/>
                <w:i w:val="0"/>
                <w:iCs w:val="0"/>
                <w:color w:val="000000"/>
                <w:sz w:val="18"/>
                <w:szCs w:val="18"/>
                <w:u w:val="none"/>
              </w:rPr>
            </w:pPr>
          </w:p>
        </w:tc>
        <w:tc>
          <w:tcPr>
            <w:tcW w:w="121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inorEastAsia" w:hAnsiTheme="minorEastAsia" w:eastAsiaTheme="minorEastAsia" w:cstheme="minorEastAsia"/>
                <w:i w:val="0"/>
                <w:iCs w:val="0"/>
                <w:color w:val="000000"/>
                <w:sz w:val="18"/>
                <w:szCs w:val="18"/>
                <w:u w:val="none"/>
              </w:rPr>
            </w:pPr>
          </w:p>
        </w:tc>
        <w:tc>
          <w:tcPr>
            <w:tcW w:w="1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105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inorEastAsia" w:hAnsiTheme="minorEastAsia" w:eastAsiaTheme="minorEastAsia" w:cstheme="minorEastAsia"/>
                <w:i w:val="0"/>
                <w:iCs w:val="0"/>
                <w:color w:val="000000"/>
                <w:sz w:val="18"/>
                <w:szCs w:val="18"/>
                <w:u w:val="none"/>
              </w:rPr>
            </w:pPr>
          </w:p>
        </w:tc>
        <w:tc>
          <w:tcPr>
            <w:tcW w:w="181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其他资金</w:t>
            </w:r>
          </w:p>
        </w:tc>
        <w:tc>
          <w:tcPr>
            <w:tcW w:w="1275"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72.42</w:t>
            </w:r>
          </w:p>
        </w:tc>
        <w:tc>
          <w:tcPr>
            <w:tcW w:w="1140" w:type="dxa"/>
            <w:gridSpan w:val="3"/>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72.42</w:t>
            </w:r>
          </w:p>
        </w:tc>
        <w:tc>
          <w:tcPr>
            <w:tcW w:w="1215"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72.42</w:t>
            </w:r>
          </w:p>
        </w:tc>
        <w:tc>
          <w:tcPr>
            <w:tcW w:w="10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123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 w:hRule="atLeast"/>
          <w:jc w:val="center"/>
        </w:trPr>
        <w:tc>
          <w:tcPr>
            <w:tcW w:w="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年度总体目标</w:t>
            </w:r>
          </w:p>
        </w:tc>
        <w:tc>
          <w:tcPr>
            <w:tcW w:w="47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总体目标</w:t>
            </w:r>
          </w:p>
        </w:tc>
        <w:tc>
          <w:tcPr>
            <w:tcW w:w="43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8" w:hRule="atLeast"/>
          <w:jc w:val="center"/>
        </w:trPr>
        <w:tc>
          <w:tcPr>
            <w:tcW w:w="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inorEastAsia" w:hAnsiTheme="minorEastAsia" w:eastAsiaTheme="minorEastAsia" w:cstheme="minorEastAsia"/>
                <w:i w:val="0"/>
                <w:iCs w:val="0"/>
                <w:color w:val="000000"/>
                <w:sz w:val="18"/>
                <w:szCs w:val="18"/>
                <w:u w:val="none"/>
              </w:rPr>
            </w:pPr>
          </w:p>
        </w:tc>
        <w:tc>
          <w:tcPr>
            <w:tcW w:w="4715"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严格按照项目合同书的内容推动科研活动顺利开展和科研成果产出；严格按照项目经费管理办法做好项目经费的管理，确保项目经费使用程序规范，落实到位。</w:t>
            </w:r>
          </w:p>
        </w:tc>
        <w:tc>
          <w:tcPr>
            <w:tcW w:w="4365"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360" w:firstLineChars="200"/>
              <w:jc w:val="both"/>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全年严格按照项目合同书的内容推动科研活动顺利开展和科研成果产出，公开发表学术论文2篇，制定技术规程2项，到期应验收项目合格率100%；通过项目的实施，示范区亩产量提高了11%。严格按照项目经费管理办法做好了项目经费的管理，项目经费使用程序规范，资金执行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0" w:hRule="atLeast"/>
          <w:jc w:val="center"/>
        </w:trPr>
        <w:tc>
          <w:tcPr>
            <w:tcW w:w="4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jc w:val="center"/>
              <w:rPr>
                <w:rFonts w:hint="eastAsia" w:asciiTheme="minorEastAsia" w:hAnsiTheme="minorEastAsia" w:eastAsiaTheme="minorEastAsia" w:cstheme="minorEastAsia"/>
                <w:i w:val="0"/>
                <w:iCs w:val="0"/>
                <w:color w:val="000000"/>
                <w:sz w:val="18"/>
                <w:szCs w:val="18"/>
                <w:u w:val="none"/>
              </w:rPr>
            </w:pP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一级指标</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二级指标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三级指标</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指标值设置依据</w:t>
            </w:r>
          </w:p>
        </w:tc>
        <w:tc>
          <w:tcPr>
            <w:tcW w:w="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上年完成值</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指标分值权重</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指标赋分规则</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佐证资料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指标实际完成值</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完成率</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指标得分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7" w:hRule="atLeast"/>
          <w:jc w:val="center"/>
        </w:trPr>
        <w:tc>
          <w:tcPr>
            <w:tcW w:w="4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年度绩效指标完成情况</w:t>
            </w:r>
          </w:p>
        </w:tc>
        <w:tc>
          <w:tcPr>
            <w:tcW w:w="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产出指标</w:t>
            </w:r>
          </w:p>
        </w:tc>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数量指标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发表论文</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&gt;=2项</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15</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72" w:hRule="atLeast"/>
          <w:jc w:val="center"/>
        </w:trPr>
        <w:tc>
          <w:tcPr>
            <w:tcW w:w="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专著、专利、标准或软件著作登记</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&gt;=2项</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15</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2项</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0" w:hRule="atLeast"/>
          <w:jc w:val="center"/>
        </w:trPr>
        <w:tc>
          <w:tcPr>
            <w:tcW w:w="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质量指标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到期项目验收合格率</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0" w:hRule="atLeast"/>
          <w:jc w:val="center"/>
        </w:trPr>
        <w:tc>
          <w:tcPr>
            <w:tcW w:w="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时效指标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年度研究任务完成度</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原始凭证</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5" w:hRule="atLeast"/>
          <w:jc w:val="center"/>
        </w:trPr>
        <w:tc>
          <w:tcPr>
            <w:tcW w:w="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43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成本指标</w:t>
            </w:r>
          </w:p>
        </w:tc>
        <w:tc>
          <w:tcPr>
            <w:tcW w:w="6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经济成本指标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自然科学类经费</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&lt;=60.02万元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原始凭证</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60.02万元</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6" w:hRule="atLeast"/>
          <w:jc w:val="center"/>
        </w:trPr>
        <w:tc>
          <w:tcPr>
            <w:tcW w:w="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43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6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社会科学类经费</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&lt;=12.40万元</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原始凭证</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12.40万元</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6" w:hRule="atLeast"/>
          <w:jc w:val="center"/>
        </w:trPr>
        <w:tc>
          <w:tcPr>
            <w:tcW w:w="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效益指标</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经济效益指标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提高亩产产量</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&gt;=10%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按照完成比例赋分</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11%</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4" w:hRule="atLeast"/>
          <w:jc w:val="center"/>
        </w:trPr>
        <w:tc>
          <w:tcPr>
            <w:tcW w:w="4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4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6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满意度指标</w:t>
            </w:r>
          </w:p>
        </w:tc>
        <w:tc>
          <w:tcPr>
            <w:tcW w:w="8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项目实施推广企业满意度</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计划标准</w:t>
            </w:r>
          </w:p>
        </w:tc>
        <w:tc>
          <w:tcPr>
            <w:tcW w:w="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w:t>
            </w: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满意度赋分</w:t>
            </w: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工作资料</w:t>
            </w: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满意</w:t>
            </w: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9" w:hRule="atLeast"/>
          <w:jc w:val="center"/>
        </w:trPr>
        <w:tc>
          <w:tcPr>
            <w:tcW w:w="2399" w:type="dxa"/>
            <w:gridSpan w:val="5"/>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总分</w:t>
            </w:r>
          </w:p>
        </w:tc>
        <w:tc>
          <w:tcPr>
            <w:tcW w:w="7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76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Theme="minorEastAsia" w:hAnsiTheme="minorEastAsia" w:eastAsiaTheme="minorEastAsia" w:cstheme="minorEastAsia"/>
                <w:b/>
                <w:bCs/>
                <w:i w:val="0"/>
                <w:iCs w:val="0"/>
                <w:color w:val="000000"/>
                <w:sz w:val="18"/>
                <w:szCs w:val="18"/>
                <w:u w:val="none"/>
              </w:rPr>
            </w:pPr>
          </w:p>
        </w:tc>
        <w:tc>
          <w:tcPr>
            <w:tcW w:w="48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7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82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jc w:val="center"/>
              <w:rPr>
                <w:rFonts w:hint="eastAsia" w:asciiTheme="minorEastAsia" w:hAnsiTheme="minorEastAsia" w:eastAsiaTheme="minorEastAsia" w:cstheme="minorEastAsia"/>
                <w:i w:val="0"/>
                <w:iCs w:val="0"/>
                <w:color w:val="000000"/>
                <w:sz w:val="18"/>
                <w:szCs w:val="18"/>
                <w:u w:val="none"/>
              </w:rPr>
            </w:pPr>
          </w:p>
        </w:tc>
        <w:tc>
          <w:tcPr>
            <w:tcW w:w="6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Theme="minorEastAsia" w:hAnsiTheme="minorEastAsia" w:eastAsiaTheme="minorEastAsia" w:cstheme="minorEastAsia"/>
                <w:i w:val="0"/>
                <w:iCs w:val="0"/>
                <w:color w:val="000000"/>
                <w:sz w:val="18"/>
                <w:szCs w:val="18"/>
                <w:u w:val="none"/>
              </w:rPr>
            </w:pPr>
          </w:p>
        </w:tc>
        <w:tc>
          <w:tcPr>
            <w:tcW w:w="8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Theme="minorEastAsia" w:hAnsiTheme="minorEastAsia" w:eastAsiaTheme="minorEastAsia" w:cstheme="minorEastAsia"/>
                <w:i w:val="0"/>
                <w:iCs w:val="0"/>
                <w:color w:val="000000"/>
                <w:sz w:val="18"/>
                <w:szCs w:val="18"/>
                <w:u w:val="none"/>
              </w:rPr>
            </w:pPr>
          </w:p>
        </w:tc>
        <w:tc>
          <w:tcPr>
            <w:tcW w:w="69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Theme="minorEastAsia" w:hAnsiTheme="minorEastAsia" w:eastAsiaTheme="minorEastAsia" w:cstheme="minorEastAsia"/>
                <w:i w:val="0"/>
                <w:iCs w:val="0"/>
                <w:color w:val="000000"/>
                <w:sz w:val="18"/>
                <w:szCs w:val="18"/>
                <w:u w:val="none"/>
              </w:rPr>
            </w:pPr>
          </w:p>
        </w:tc>
        <w:tc>
          <w:tcPr>
            <w:tcW w:w="5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20" w:lineRule="exact"/>
              <w:rPr>
                <w:rFonts w:hint="eastAsia" w:asciiTheme="minorEastAsia" w:hAnsiTheme="minorEastAsia" w:eastAsiaTheme="minorEastAsia" w:cstheme="minorEastAsia"/>
                <w:i w:val="0"/>
                <w:iCs w:val="0"/>
                <w:color w:val="000000"/>
                <w:sz w:val="18"/>
                <w:szCs w:val="18"/>
                <w:u w:val="none"/>
              </w:rPr>
            </w:pPr>
          </w:p>
        </w:tc>
      </w:tr>
    </w:tbl>
    <w:p>
      <w:pPr>
        <w:spacing w:line="600" w:lineRule="exact"/>
        <w:rPr>
          <w:rFonts w:hint="eastAsia"/>
          <w:bCs/>
          <w:sz w:val="32"/>
          <w:szCs w:val="32"/>
          <w:lang w:val="en-US" w:eastAsia="zh-CN"/>
        </w:rPr>
      </w:pPr>
      <w:r>
        <w:rPr>
          <w:bCs/>
          <w:sz w:val="32"/>
          <w:szCs w:val="32"/>
        </w:rPr>
        <w:t>附件1</w:t>
      </w:r>
      <w:r>
        <w:rPr>
          <w:rFonts w:hint="eastAsia"/>
          <w:bCs/>
          <w:sz w:val="32"/>
          <w:szCs w:val="32"/>
          <w:lang w:val="en-US" w:eastAsia="zh-CN"/>
        </w:rPr>
        <w:t xml:space="preserve"> </w:t>
      </w:r>
    </w:p>
    <w:p>
      <w:pPr>
        <w:spacing w:line="600" w:lineRule="exact"/>
        <w:jc w:val="center"/>
        <w:rPr>
          <w:rFonts w:hint="eastAsia" w:eastAsia="仿宋_GB2312"/>
          <w:bCs/>
          <w:sz w:val="32"/>
          <w:szCs w:val="32"/>
          <w:lang w:val="en-US" w:eastAsia="zh-CN"/>
        </w:rPr>
      </w:pPr>
      <w:r>
        <w:rPr>
          <w:rFonts w:hint="eastAsia" w:ascii="Times New Roman" w:hAnsi="Times New Roman" w:cs="Times New Roman" w:eastAsiaTheme="majorEastAsia"/>
          <w:b/>
          <w:bCs/>
          <w:kern w:val="28"/>
          <w:sz w:val="32"/>
          <w:szCs w:val="32"/>
          <w:lang w:val="en-US" w:eastAsia="zh-CN" w:bidi="ar-SA"/>
        </w:rPr>
        <w:t>绩效评价指标体系及评分过程</w:t>
      </w:r>
    </w:p>
    <w:tbl>
      <w:tblPr>
        <w:tblStyle w:val="5"/>
        <w:tblW w:w="9605"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717"/>
        <w:gridCol w:w="728"/>
        <w:gridCol w:w="728"/>
        <w:gridCol w:w="2040"/>
        <w:gridCol w:w="3934"/>
        <w:gridCol w:w="728"/>
        <w:gridCol w:w="7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717"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04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3934"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决策　</w:t>
            </w:r>
          </w:p>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　</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项目立项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3934" w:type="dxa"/>
            <w:shd w:val="clear" w:color="auto" w:fill="auto"/>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2"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决策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绩效目标</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5"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717" w:type="dxa"/>
            <w:vMerge w:val="restart"/>
            <w:shd w:val="clear" w:color="auto" w:fill="auto"/>
            <w:vAlign w:val="center"/>
          </w:tcPr>
          <w:p>
            <w:pPr>
              <w:spacing w:line="0" w:lineRule="atLeast"/>
              <w:jc w:val="center"/>
              <w:rPr>
                <w:color w:val="000000"/>
                <w:kern w:val="0"/>
                <w:sz w:val="22"/>
                <w:szCs w:val="22"/>
              </w:rPr>
            </w:pPr>
            <w:r>
              <w:rPr>
                <w:color w:val="000000"/>
                <w:kern w:val="0"/>
                <w:sz w:val="22"/>
                <w:szCs w:val="22"/>
              </w:rPr>
              <w:t>过程</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　</w:t>
            </w:r>
          </w:p>
          <w:p>
            <w:pPr>
              <w:spacing w:line="0" w:lineRule="atLeast"/>
              <w:jc w:val="center"/>
              <w:rPr>
                <w:color w:val="000000"/>
                <w:kern w:val="0"/>
                <w:sz w:val="22"/>
                <w:szCs w:val="22"/>
              </w:rPr>
            </w:pPr>
            <w:r>
              <w:rPr>
                <w:color w:val="000000"/>
                <w:kern w:val="0"/>
                <w:sz w:val="22"/>
                <w:szCs w:val="22"/>
              </w:rPr>
              <w:t>过程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资金管理</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3"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717"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产出数量</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产出</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产出质量</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717" w:type="dxa"/>
            <w:vMerge w:val="continue"/>
            <w:shd w:val="clear" w:color="auto" w:fill="auto"/>
            <w:vAlign w:val="center"/>
          </w:tcPr>
          <w:p>
            <w:pPr>
              <w:spacing w:line="0" w:lineRule="atLeast"/>
              <w:jc w:val="center"/>
              <w:rPr>
                <w:color w:val="000000"/>
                <w:kern w:val="0"/>
                <w:sz w:val="22"/>
                <w:szCs w:val="22"/>
              </w:rPr>
            </w:pPr>
          </w:p>
        </w:tc>
        <w:tc>
          <w:tcPr>
            <w:tcW w:w="728" w:type="dxa"/>
            <w:shd w:val="clear" w:color="auto" w:fill="auto"/>
            <w:vAlign w:val="center"/>
          </w:tcPr>
          <w:p>
            <w:pPr>
              <w:spacing w:line="0" w:lineRule="atLeast"/>
              <w:jc w:val="center"/>
              <w:rPr>
                <w:color w:val="000000"/>
                <w:kern w:val="0"/>
                <w:sz w:val="22"/>
                <w:szCs w:val="22"/>
              </w:rPr>
            </w:pPr>
            <w:r>
              <w:rPr>
                <w:color w:val="000000"/>
                <w:kern w:val="0"/>
                <w:sz w:val="22"/>
                <w:szCs w:val="22"/>
              </w:rPr>
              <w:t>产出时效</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产出成本</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717"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效益　</w:t>
            </w:r>
          </w:p>
        </w:tc>
        <w:tc>
          <w:tcPr>
            <w:tcW w:w="728" w:type="dxa"/>
            <w:vMerge w:val="restart"/>
            <w:shd w:val="clear" w:color="auto" w:fill="auto"/>
            <w:vAlign w:val="center"/>
          </w:tcPr>
          <w:p>
            <w:pPr>
              <w:widowControl/>
              <w:spacing w:line="0" w:lineRule="atLeast"/>
              <w:jc w:val="center"/>
              <w:rPr>
                <w:color w:val="000000"/>
                <w:kern w:val="0"/>
                <w:sz w:val="22"/>
                <w:szCs w:val="22"/>
              </w:rPr>
            </w:pPr>
            <w:r>
              <w:rPr>
                <w:color w:val="000000"/>
                <w:kern w:val="0"/>
                <w:sz w:val="22"/>
                <w:szCs w:val="22"/>
              </w:rPr>
              <w:t>项目效益　</w:t>
            </w: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实施效益</w:t>
            </w:r>
          </w:p>
        </w:tc>
        <w:tc>
          <w:tcPr>
            <w:tcW w:w="2040" w:type="dxa"/>
            <w:shd w:val="clear" w:color="auto" w:fill="auto"/>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30</w:t>
            </w:r>
          </w:p>
        </w:tc>
        <w:tc>
          <w:tcPr>
            <w:tcW w:w="730"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47" w:hRule="atLeast"/>
          <w:jc w:val="center"/>
        </w:trPr>
        <w:tc>
          <w:tcPr>
            <w:tcW w:w="717" w:type="dxa"/>
            <w:vMerge w:val="continue"/>
            <w:shd w:val="clear" w:color="auto" w:fill="auto"/>
            <w:vAlign w:val="center"/>
          </w:tcPr>
          <w:p>
            <w:pPr>
              <w:widowControl/>
              <w:spacing w:line="0" w:lineRule="atLeast"/>
              <w:jc w:val="center"/>
              <w:rPr>
                <w:color w:val="000000"/>
                <w:kern w:val="0"/>
                <w:sz w:val="22"/>
                <w:szCs w:val="22"/>
              </w:rPr>
            </w:pPr>
          </w:p>
        </w:tc>
        <w:tc>
          <w:tcPr>
            <w:tcW w:w="728" w:type="dxa"/>
            <w:vMerge w:val="continue"/>
            <w:shd w:val="clear" w:color="auto" w:fill="auto"/>
            <w:vAlign w:val="center"/>
          </w:tcPr>
          <w:p>
            <w:pPr>
              <w:widowControl/>
              <w:spacing w:line="0" w:lineRule="atLeast"/>
              <w:jc w:val="center"/>
              <w:rPr>
                <w:color w:val="000000"/>
                <w:kern w:val="0"/>
                <w:sz w:val="22"/>
                <w:szCs w:val="22"/>
              </w:rPr>
            </w:pPr>
          </w:p>
        </w:tc>
        <w:tc>
          <w:tcPr>
            <w:tcW w:w="728" w:type="dxa"/>
            <w:shd w:val="clear" w:color="auto" w:fill="auto"/>
            <w:vAlign w:val="center"/>
          </w:tcPr>
          <w:p>
            <w:pPr>
              <w:widowControl/>
              <w:spacing w:line="0" w:lineRule="atLeast"/>
              <w:jc w:val="center"/>
              <w:rPr>
                <w:color w:val="000000"/>
                <w:kern w:val="0"/>
                <w:sz w:val="22"/>
                <w:szCs w:val="22"/>
              </w:rPr>
            </w:pPr>
            <w:r>
              <w:rPr>
                <w:color w:val="000000"/>
                <w:kern w:val="0"/>
                <w:sz w:val="22"/>
                <w:szCs w:val="22"/>
              </w:rPr>
              <w:t>满意度</w:t>
            </w:r>
          </w:p>
        </w:tc>
        <w:tc>
          <w:tcPr>
            <w:tcW w:w="2040" w:type="dxa"/>
            <w:shd w:val="clear" w:color="auto" w:fill="auto"/>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3934" w:type="dxa"/>
            <w:shd w:val="clear" w:color="auto" w:fill="auto"/>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728" w:type="dxa"/>
            <w:shd w:val="clear" w:color="auto" w:fill="auto"/>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730" w:type="dxa"/>
            <w:shd w:val="clear" w:color="auto" w:fill="auto"/>
            <w:vAlign w:val="center"/>
          </w:tcPr>
          <w:p>
            <w:pPr>
              <w:widowControl/>
              <w:spacing w:line="0" w:lineRule="atLeast"/>
              <w:jc w:val="center"/>
              <w:rPr>
                <w:rFonts w:hint="default" w:eastAsia="宋体"/>
                <w:b/>
                <w:bCs/>
                <w:color w:val="000000"/>
                <w:kern w:val="0"/>
                <w:sz w:val="22"/>
                <w:szCs w:val="22"/>
                <w:lang w:val="en-US" w:eastAsia="zh-CN"/>
              </w:rPr>
            </w:pPr>
            <w:r>
              <w:rPr>
                <w:rFonts w:hint="eastAsia"/>
                <w:b/>
                <w:bCs/>
                <w:color w:val="000000"/>
                <w:kern w:val="0"/>
                <w:sz w:val="22"/>
                <w:szCs w:val="22"/>
                <w:lang w:val="en-US" w:eastAsia="zh-CN"/>
              </w:rPr>
              <w:t>10</w:t>
            </w:r>
          </w:p>
        </w:tc>
      </w:tr>
    </w:tbl>
    <w:p>
      <w:pPr>
        <w:spacing w:line="600" w:lineRule="exact"/>
        <w:outlineLvl w:val="0"/>
        <w:rPr>
          <w:rFonts w:hint="eastAsia" w:ascii="仿宋_GB2312" w:hAnsi="Times New Roman" w:cs="Times New Roman"/>
          <w:lang w:val="en-US" w:eastAsia="zh-CN"/>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Calibri Light">
    <w:altName w:val="DejaVu Sans"/>
    <w:panose1 w:val="020F0302020204030204"/>
    <w:charset w:val="00"/>
    <w:family w:val="auto"/>
    <w:pitch w:val="default"/>
    <w:sig w:usb0="00000000" w:usb1="00000000" w:usb2="00000009" w:usb3="00000000" w:csb0="200001FF"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黑体_GBK">
    <w:panose1 w:val="02000000000000000000"/>
    <w:charset w:val="86"/>
    <w:family w:val="auto"/>
    <w:pitch w:val="default"/>
    <w:sig w:usb0="00000001" w:usb1="08000000" w:usb2="00000000" w:usb3="00000000" w:csb0="00040000" w:csb1="00000000"/>
  </w:font>
  <w:font w:name="思源宋体">
    <w:panose1 w:val="02020500000000000000"/>
    <w:charset w:val="86"/>
    <w:family w:val="auto"/>
    <w:pitch w:val="default"/>
    <w:sig w:usb0="30000083" w:usb1="2BDF3C10" w:usb2="00000016" w:usb3="00000000" w:csb0="602E0107"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5OTUxNzU1NGRkYTk1NGY4ZjQ2ZmZmOTJjNWJhODEifQ=="/>
  </w:docVars>
  <w:rsids>
    <w:rsidRoot w:val="00000000"/>
    <w:rsid w:val="06FD4082"/>
    <w:rsid w:val="1F0B55D3"/>
    <w:rsid w:val="21A34113"/>
    <w:rsid w:val="27DF430E"/>
    <w:rsid w:val="45BD6B2E"/>
    <w:rsid w:val="45EC0627"/>
    <w:rsid w:val="46876249"/>
    <w:rsid w:val="4A947101"/>
    <w:rsid w:val="5D701FFE"/>
    <w:rsid w:val="66241D21"/>
    <w:rsid w:val="6B5A6960"/>
    <w:rsid w:val="6D865EAD"/>
    <w:rsid w:val="6E0B0D4F"/>
    <w:rsid w:val="6F4155A5"/>
    <w:rsid w:val="77C653DF"/>
    <w:rsid w:val="7E535087"/>
    <w:rsid w:val="F53B4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pPr>
      <w:spacing w:line="0" w:lineRule="atLeast"/>
    </w:pPr>
    <w:rPr>
      <w:rFonts w:hAnsi="Courier New"/>
      <w:sz w:val="24"/>
      <w:szCs w:val="20"/>
    </w:rPr>
  </w:style>
  <w:style w:type="paragraph" w:styleId="3">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7">
    <w:name w:val="Strong"/>
    <w:basedOn w:val="6"/>
    <w:qFormat/>
    <w:uiPriority w:val="0"/>
    <w:rPr>
      <w:b/>
      <w:bCs/>
    </w:rPr>
  </w:style>
  <w:style w:type="character" w:customStyle="1" w:styleId="8">
    <w:name w:val="fontstyle01"/>
    <w:qFormat/>
    <w:uiPriority w:val="0"/>
    <w:rPr>
      <w:rFonts w:ascii="仿宋_GB2312" w:hAnsi="仿宋_GB2312" w:eastAsia="仿宋_GB2312" w:cs="仿宋_GB2312"/>
      <w:color w:val="00000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6625</Words>
  <Characters>7055</Characters>
  <Lines>0</Lines>
  <Paragraphs>0</Paragraphs>
  <TotalTime>0</TotalTime>
  <ScaleCrop>false</ScaleCrop>
  <LinksUpToDate>false</LinksUpToDate>
  <CharactersWithSpaces>7090</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2024-03-04T13:11:00Z</dcterms:created>
  <dc:creator>Administrator</dc:creator>
  <cp:lastModifiedBy>user</cp:lastModifiedBy>
  <cp:lastPrinted>2025-02-19T11:08:00Z</cp:lastPrinted>
  <dcterms:modified xsi:type="dcterms:W3CDTF">2026-08-25T13:45:02Z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4CBA51F098A84EE1BF0E059B495C134A</vt:lpwstr>
  </property>
  <property fmtid="{D5CDD505-2E9C-101B-9397-08002B2CF9AE}" pid="4" name="KSOTemplateDocerSaveRecord">
    <vt:lpwstr>eyJoZGlkIjoiOWNkNTExNGRkZmJhOGEwM2ViNzE1ZmU3NTY0NTBhMDkiLCJ1c2VySWQiOiI5NzY5NjA3ODAifQ==</vt:lpwstr>
  </property>
</Properties>
</file>