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left"/>
        <w:textAlignment w:val="baseline"/>
        <w:rPr>
          <w:rFonts w:hint="default" w:ascii="方正黑体_GBK" w:hAnsi="方正黑体_GBK" w:eastAsia="方正黑体_GBK" w:cs="方正黑体_GBK"/>
          <w:b w:val="0"/>
          <w:bCs w:val="0"/>
          <w:snapToGrid w:val="0"/>
          <w:spacing w:val="-5"/>
          <w:kern w:val="0"/>
          <w:sz w:val="32"/>
          <w:szCs w:val="32"/>
          <w:lang w:val="en-US" w:eastAsia="zh-CN"/>
        </w:rPr>
      </w:pPr>
      <w:r>
        <w:rPr>
          <w:rFonts w:hint="eastAsia" w:ascii="方正黑体_GBK" w:hAnsi="方正黑体_GBK" w:eastAsia="方正黑体_GBK" w:cs="方正黑体_GBK"/>
          <w:b w:val="0"/>
          <w:bCs w:val="0"/>
          <w:snapToGrid w:val="0"/>
          <w:spacing w:val="-5"/>
          <w:kern w:val="0"/>
          <w:sz w:val="32"/>
          <w:szCs w:val="32"/>
          <w:lang w:eastAsia="zh-CN"/>
        </w:rPr>
        <w:t>附件</w:t>
      </w:r>
      <w:r>
        <w:rPr>
          <w:rFonts w:hint="eastAsia" w:ascii="方正黑体_GBK" w:hAnsi="方正黑体_GBK" w:eastAsia="方正黑体_GBK" w:cs="方正黑体_GBK"/>
          <w:b w:val="0"/>
          <w:bCs w:val="0"/>
          <w:snapToGrid w:val="0"/>
          <w:spacing w:val="-5"/>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新疆维吾尔自治区农业生态资源保护转移支付</w:t>
      </w:r>
      <w:r>
        <w:rPr>
          <w:rFonts w:hint="default" w:ascii="Times New Roman" w:hAnsi="Times New Roman" w:eastAsia="方正小标宋简体" w:cs="Times New Roman"/>
          <w:b w:val="0"/>
          <w:bCs/>
          <w:kern w:val="0"/>
          <w:sz w:val="44"/>
          <w:szCs w:val="44"/>
          <w:lang w:val="en-US" w:eastAsia="zh-CN"/>
        </w:rPr>
        <w:t>202</w:t>
      </w:r>
      <w:r>
        <w:rPr>
          <w:rFonts w:hint="default" w:ascii="Times New Roman" w:hAnsi="Times New Roman" w:eastAsia="方正小标宋简体" w:cs="Times New Roman"/>
          <w:b w:val="0"/>
          <w:bCs/>
          <w:kern w:val="0"/>
          <w:sz w:val="44"/>
          <w:szCs w:val="44"/>
          <w:lang w:val="en" w:eastAsia="zh-CN"/>
        </w:rPr>
        <w:t>4</w:t>
      </w:r>
      <w:r>
        <w:rPr>
          <w:rFonts w:hint="default" w:ascii="方正小标宋_GBK" w:hAnsi="方正小标宋_GBK" w:eastAsia="方正小标宋_GBK" w:cs="方正小标宋_GBK"/>
          <w:b w:val="0"/>
          <w:bCs w:val="0"/>
          <w:snapToGrid w:val="0"/>
          <w:spacing w:val="-5"/>
          <w:kern w:val="0"/>
          <w:sz w:val="44"/>
          <w:szCs w:val="44"/>
          <w:lang w:val="en-US" w:eastAsia="zh-CN"/>
        </w:rPr>
        <w:t>年度</w:t>
      </w:r>
      <w:r>
        <w:rPr>
          <w:rFonts w:hint="eastAsia" w:ascii="方正小标宋_GBK" w:hAnsi="方正小标宋_GBK" w:eastAsia="方正小标宋_GBK" w:cs="方正小标宋_GBK"/>
          <w:b w:val="0"/>
          <w:bCs w:val="0"/>
          <w:snapToGrid w:val="0"/>
          <w:spacing w:val="-5"/>
          <w:kern w:val="0"/>
          <w:sz w:val="44"/>
          <w:szCs w:val="44"/>
        </w:rPr>
        <w:t>绩效自评报告</w:t>
      </w:r>
    </w:p>
    <w:p>
      <w:pPr>
        <w:widowControl/>
        <w:kinsoku w:val="0"/>
        <w:autoSpaceDE w:val="0"/>
        <w:autoSpaceDN w:val="0"/>
        <w:adjustRightInd w:val="0"/>
        <w:snapToGrid w:val="0"/>
        <w:jc w:val="center"/>
        <w:textAlignment w:val="baseline"/>
        <w:rPr>
          <w:rFonts w:eastAsia="方正小标宋_GBK"/>
          <w:snapToGrid w:val="0"/>
          <w:spacing w:val="-5"/>
          <w:kern w:val="0"/>
          <w:sz w:val="40"/>
          <w:szCs w:val="40"/>
        </w:rPr>
      </w:pPr>
    </w:p>
    <w:p>
      <w:pPr>
        <w:spacing w:line="540" w:lineRule="exact"/>
        <w:jc w:val="center"/>
        <w:rPr>
          <w:b/>
          <w:bCs/>
          <w:kern w:val="0"/>
          <w:szCs w:val="30"/>
        </w:rPr>
      </w:pPr>
    </w:p>
    <w:p>
      <w:pPr>
        <w:spacing w:line="540" w:lineRule="exact"/>
        <w:jc w:val="center"/>
        <w:rPr>
          <w:kern w:val="0"/>
          <w:szCs w:val="30"/>
        </w:rPr>
      </w:pPr>
    </w:p>
    <w:p>
      <w:pPr>
        <w:spacing w:line="540" w:lineRule="exact"/>
        <w:jc w:val="center"/>
        <w:rPr>
          <w:kern w:val="0"/>
          <w:szCs w:val="30"/>
        </w:rPr>
      </w:pPr>
    </w:p>
    <w:p>
      <w:pPr>
        <w:pStyle w:val="10"/>
        <w:ind w:left="600" w:firstLine="600"/>
        <w:rPr>
          <w:rFonts w:ascii="Times New Roman" w:hAnsi="Times New Roman"/>
          <w:kern w:val="0"/>
          <w:szCs w:val="30"/>
        </w:rPr>
      </w:pPr>
    </w:p>
    <w:p>
      <w:pPr>
        <w:pStyle w:val="10"/>
        <w:ind w:left="600" w:firstLine="600"/>
        <w:rPr>
          <w:rFonts w:ascii="Times New Roman" w:hAnsi="Times New Roman"/>
          <w:kern w:val="0"/>
          <w:szCs w:val="30"/>
        </w:rPr>
      </w:pPr>
    </w:p>
    <w:p>
      <w:pPr>
        <w:spacing w:line="540" w:lineRule="exact"/>
        <w:rPr>
          <w:kern w:val="0"/>
          <w:szCs w:val="30"/>
        </w:rPr>
      </w:pPr>
    </w:p>
    <w:p>
      <w:pPr>
        <w:spacing w:line="540" w:lineRule="exact"/>
        <w:rPr>
          <w:kern w:val="0"/>
          <w:szCs w:val="30"/>
        </w:rPr>
      </w:pPr>
    </w:p>
    <w:p>
      <w:pPr>
        <w:pStyle w:val="2"/>
        <w:rPr>
          <w:kern w:val="0"/>
          <w:szCs w:val="30"/>
        </w:rPr>
      </w:pPr>
    </w:p>
    <w:p>
      <w:pPr>
        <w:rPr>
          <w:kern w:val="0"/>
          <w:szCs w:val="30"/>
        </w:rPr>
      </w:pPr>
    </w:p>
    <w:p>
      <w:pPr>
        <w:pStyle w:val="2"/>
      </w:pPr>
      <w:bookmarkStart w:id="2" w:name="_GoBack"/>
      <w:bookmarkEnd w:id="2"/>
    </w:p>
    <w:p>
      <w:pPr>
        <w:spacing w:line="700" w:lineRule="exact"/>
        <w:ind w:firstLine="642" w:firstLineChars="200"/>
        <w:jc w:val="left"/>
        <w:rPr>
          <w:kern w:val="0"/>
          <w:sz w:val="36"/>
          <w:szCs w:val="36"/>
        </w:rPr>
      </w:pPr>
      <w:r>
        <w:rPr>
          <w:b/>
          <w:bCs/>
          <w:color w:val="3F3F3F"/>
          <w:sz w:val="32"/>
        </w:rPr>
        <w:t>项目名称：</w:t>
      </w:r>
      <w:r>
        <w:rPr>
          <w:kern w:val="0"/>
          <w:sz w:val="36"/>
          <w:szCs w:val="36"/>
        </w:rPr>
        <w:t>农业生态资源保护资金</w:t>
      </w:r>
    </w:p>
    <w:p>
      <w:pPr>
        <w:spacing w:line="700" w:lineRule="exact"/>
        <w:ind w:firstLine="642" w:firstLineChars="200"/>
        <w:jc w:val="left"/>
        <w:rPr>
          <w:sz w:val="32"/>
          <w:szCs w:val="32"/>
        </w:rPr>
      </w:pPr>
      <w:r>
        <w:rPr>
          <w:b/>
          <w:bCs/>
          <w:color w:val="3F3F3F"/>
          <w:sz w:val="32"/>
        </w:rPr>
        <w:t>实施单位（公章）：</w:t>
      </w:r>
      <w:r>
        <w:rPr>
          <w:sz w:val="36"/>
          <w:szCs w:val="36"/>
        </w:rPr>
        <w:t>各地州市农业农村局</w:t>
      </w:r>
    </w:p>
    <w:p>
      <w:pPr>
        <w:spacing w:line="700" w:lineRule="exact"/>
        <w:ind w:firstLine="642" w:firstLineChars="200"/>
        <w:jc w:val="left"/>
        <w:rPr>
          <w:kern w:val="0"/>
          <w:sz w:val="36"/>
          <w:szCs w:val="36"/>
        </w:rPr>
      </w:pPr>
      <w:r>
        <w:rPr>
          <w:b/>
          <w:bCs/>
          <w:color w:val="3F3F3F"/>
          <w:sz w:val="32"/>
        </w:rPr>
        <w:t>主管部门（公章）：</w:t>
      </w:r>
      <w:r>
        <w:rPr>
          <w:kern w:val="0"/>
          <w:sz w:val="36"/>
          <w:szCs w:val="36"/>
        </w:rPr>
        <w:t>自治区农业农村厅</w:t>
      </w:r>
    </w:p>
    <w:p>
      <w:pPr>
        <w:spacing w:line="700" w:lineRule="exact"/>
        <w:ind w:firstLine="642" w:firstLineChars="200"/>
        <w:jc w:val="left"/>
        <w:rPr>
          <w:kern w:val="0"/>
          <w:sz w:val="36"/>
          <w:szCs w:val="36"/>
        </w:rPr>
      </w:pPr>
      <w:r>
        <w:rPr>
          <w:b/>
          <w:bCs/>
          <w:color w:val="3F3F3F"/>
          <w:sz w:val="32"/>
        </w:rPr>
        <w:t>项目负责人（签章）：</w:t>
      </w:r>
      <w:r>
        <w:rPr>
          <w:rFonts w:hint="default"/>
          <w:kern w:val="0"/>
          <w:sz w:val="36"/>
          <w:szCs w:val="36"/>
        </w:rPr>
        <w:t>刘英豪</w:t>
      </w:r>
      <w:r>
        <w:rPr>
          <w:rFonts w:hint="eastAsia"/>
          <w:kern w:val="0"/>
          <w:sz w:val="36"/>
          <w:szCs w:val="36"/>
          <w:lang w:eastAsia="zh-CN"/>
        </w:rPr>
        <w:t>、</w:t>
      </w:r>
      <w:r>
        <w:rPr>
          <w:rFonts w:hint="default"/>
          <w:kern w:val="0"/>
          <w:sz w:val="36"/>
          <w:szCs w:val="36"/>
        </w:rPr>
        <w:t>杜保军</w:t>
      </w:r>
    </w:p>
    <w:p>
      <w:pPr>
        <w:spacing w:line="700" w:lineRule="exact"/>
        <w:ind w:firstLine="642" w:firstLineChars="200"/>
        <w:jc w:val="left"/>
        <w:rPr>
          <w:kern w:val="0"/>
          <w:sz w:val="36"/>
          <w:szCs w:val="36"/>
        </w:rPr>
      </w:pPr>
      <w:r>
        <w:rPr>
          <w:b/>
          <w:bCs/>
          <w:color w:val="3F3F3F"/>
          <w:sz w:val="32"/>
        </w:rPr>
        <w:t>填报时间：</w:t>
      </w:r>
      <w:r>
        <w:rPr>
          <w:kern w:val="0"/>
          <w:sz w:val="36"/>
          <w:szCs w:val="36"/>
        </w:rPr>
        <w:t>202</w:t>
      </w:r>
      <w:r>
        <w:rPr>
          <w:rFonts w:hint="eastAsia"/>
          <w:kern w:val="0"/>
          <w:sz w:val="36"/>
          <w:szCs w:val="36"/>
        </w:rPr>
        <w:t>5</w:t>
      </w:r>
      <w:r>
        <w:rPr>
          <w:kern w:val="0"/>
          <w:sz w:val="36"/>
          <w:szCs w:val="36"/>
        </w:rPr>
        <w:t>年</w:t>
      </w:r>
      <w:r>
        <w:rPr>
          <w:rFonts w:hint="eastAsia"/>
          <w:kern w:val="0"/>
          <w:sz w:val="36"/>
          <w:szCs w:val="36"/>
          <w:lang w:val="en-US" w:eastAsia="zh-CN"/>
        </w:rPr>
        <w:t>3</w:t>
      </w:r>
      <w:r>
        <w:rPr>
          <w:kern w:val="0"/>
          <w:sz w:val="36"/>
          <w:szCs w:val="36"/>
        </w:rPr>
        <w:t>月</w:t>
      </w:r>
      <w:r>
        <w:rPr>
          <w:rFonts w:hint="default"/>
          <w:kern w:val="0"/>
          <w:sz w:val="36"/>
          <w:szCs w:val="36"/>
          <w:lang w:val="en"/>
        </w:rPr>
        <w:t>10</w:t>
      </w:r>
      <w:r>
        <w:rPr>
          <w:kern w:val="0"/>
          <w:sz w:val="36"/>
          <w:szCs w:val="36"/>
        </w:rPr>
        <w:t>日</w:t>
      </w:r>
    </w:p>
    <w:p>
      <w:pPr>
        <w:jc w:val="center"/>
        <w:rPr>
          <w:b/>
          <w:sz w:val="44"/>
          <w:szCs w:val="44"/>
        </w:rPr>
        <w:sectPr>
          <w:footerReference r:id="rId3" w:type="default"/>
          <w:pgSz w:w="11906" w:h="16838"/>
          <w:pgMar w:top="1440" w:right="1800" w:bottom="1440" w:left="1800" w:header="851" w:footer="992" w:gutter="0"/>
          <w:cols w:space="720" w:num="1"/>
          <w:docGrid w:type="lines" w:linePitch="312" w:charSpace="0"/>
        </w:sectPr>
      </w:pP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新疆维吾尔自治区农业生态资源保护转移</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支付2024年度绩效自评报告</w:t>
      </w:r>
    </w:p>
    <w:p>
      <w:pPr>
        <w:spacing w:line="560" w:lineRule="exact"/>
        <w:ind w:firstLine="640" w:firstLineChars="200"/>
        <w:rPr>
          <w:bCs/>
          <w:sz w:val="32"/>
          <w:szCs w:val="32"/>
        </w:rPr>
      </w:pPr>
    </w:p>
    <w:p>
      <w:pPr>
        <w:spacing w:line="560" w:lineRule="exact"/>
        <w:ind w:firstLine="640" w:firstLineChars="200"/>
        <w:rPr>
          <w:bCs/>
          <w:sz w:val="32"/>
          <w:szCs w:val="32"/>
        </w:rPr>
      </w:pPr>
      <w:r>
        <w:rPr>
          <w:bCs/>
          <w:sz w:val="32"/>
          <w:szCs w:val="32"/>
        </w:rPr>
        <w:t>贯彻落实党中央全面实施预算绩效管理决策部署，根据</w:t>
      </w:r>
      <w:r>
        <w:rPr>
          <w:rFonts w:hint="eastAsia"/>
          <w:bCs/>
          <w:sz w:val="32"/>
          <w:szCs w:val="32"/>
        </w:rPr>
        <w:t>《</w:t>
      </w:r>
      <w:r>
        <w:rPr>
          <w:bCs/>
          <w:sz w:val="32"/>
          <w:szCs w:val="32"/>
        </w:rPr>
        <w:t>关于开展202</w:t>
      </w:r>
      <w:r>
        <w:rPr>
          <w:rFonts w:hint="eastAsia"/>
          <w:bCs/>
          <w:sz w:val="32"/>
          <w:szCs w:val="32"/>
        </w:rPr>
        <w:t>4</w:t>
      </w:r>
      <w:r>
        <w:rPr>
          <w:bCs/>
          <w:sz w:val="32"/>
          <w:szCs w:val="32"/>
        </w:rPr>
        <w:t>年度中央对地方转移支付预算执行情况绩效自评工作的通知》（财监〔202</w:t>
      </w:r>
      <w:r>
        <w:rPr>
          <w:rFonts w:hint="eastAsia"/>
          <w:bCs/>
          <w:sz w:val="32"/>
          <w:szCs w:val="32"/>
        </w:rPr>
        <w:t>5</w:t>
      </w:r>
      <w:r>
        <w:rPr>
          <w:bCs/>
          <w:sz w:val="32"/>
          <w:szCs w:val="32"/>
        </w:rPr>
        <w:t>〕</w:t>
      </w:r>
      <w:r>
        <w:rPr>
          <w:rFonts w:hint="eastAsia"/>
          <w:bCs/>
          <w:sz w:val="32"/>
          <w:szCs w:val="32"/>
        </w:rPr>
        <w:t>1</w:t>
      </w:r>
      <w:r>
        <w:rPr>
          <w:bCs/>
          <w:sz w:val="32"/>
          <w:szCs w:val="32"/>
        </w:rPr>
        <w:t>号），自治区农业农村厅高度重视，严格按规范要求组织开展了202</w:t>
      </w:r>
      <w:r>
        <w:rPr>
          <w:rFonts w:hint="eastAsia"/>
          <w:bCs/>
          <w:sz w:val="32"/>
          <w:szCs w:val="32"/>
        </w:rPr>
        <w:t>4</w:t>
      </w:r>
      <w:r>
        <w:rPr>
          <w:bCs/>
          <w:sz w:val="32"/>
          <w:szCs w:val="32"/>
        </w:rPr>
        <w:t>年度新疆农业生态资源保护中央补助资金绩效自评工作，现将自评情况报告如下：</w:t>
      </w:r>
    </w:p>
    <w:p>
      <w:pPr>
        <w:spacing w:line="560" w:lineRule="exact"/>
        <w:ind w:firstLine="640" w:firstLineChars="200"/>
        <w:rPr>
          <w:rFonts w:eastAsia="黑体"/>
          <w:bCs/>
          <w:sz w:val="32"/>
          <w:szCs w:val="32"/>
        </w:rPr>
      </w:pPr>
      <w:r>
        <w:rPr>
          <w:rFonts w:eastAsia="黑体"/>
          <w:bCs/>
          <w:sz w:val="32"/>
          <w:szCs w:val="32"/>
        </w:rPr>
        <w:t>一、绩效目标分解下达情况</w:t>
      </w:r>
    </w:p>
    <w:p>
      <w:pPr>
        <w:spacing w:line="560" w:lineRule="exact"/>
        <w:ind w:firstLine="642" w:firstLineChars="200"/>
        <w:outlineLvl w:val="0"/>
        <w:rPr>
          <w:rFonts w:eastAsia="楷体"/>
          <w:b/>
          <w:bCs/>
          <w:sz w:val="32"/>
          <w:szCs w:val="32"/>
        </w:rPr>
      </w:pPr>
      <w:r>
        <w:rPr>
          <w:rFonts w:eastAsia="楷体"/>
          <w:b/>
          <w:bCs/>
          <w:sz w:val="32"/>
          <w:szCs w:val="32"/>
        </w:rPr>
        <w:t>（一）中央下达农业生态资源保护专项转移支付预算和绩效目标情况</w:t>
      </w:r>
    </w:p>
    <w:p>
      <w:pPr>
        <w:spacing w:line="560" w:lineRule="exact"/>
        <w:ind w:firstLine="642" w:firstLineChars="200"/>
        <w:rPr>
          <w:b/>
          <w:bCs/>
          <w:sz w:val="32"/>
          <w:szCs w:val="32"/>
        </w:rPr>
      </w:pPr>
      <w:r>
        <w:rPr>
          <w:b/>
          <w:bCs/>
          <w:sz w:val="32"/>
          <w:szCs w:val="32"/>
        </w:rPr>
        <w:t>1、下达预算情况：</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年度，财政部下达我区农业生态资源保护资金293805万元，用于农业生态资源保护。详细如下：</w:t>
      </w:r>
    </w:p>
    <w:p>
      <w:pPr>
        <w:pStyle w:val="9"/>
        <w:ind w:firstLine="640" w:firstLineChars="200"/>
        <w:rPr>
          <w:rFonts w:hint="eastAsia"/>
          <w:lang w:val="en-US"/>
        </w:rPr>
      </w:pPr>
      <w:r>
        <w:rPr>
          <w:rFonts w:hint="eastAsia" w:ascii="Times New Roman" w:hAnsi="Times New Roman" w:eastAsia="仿宋_GB2312" w:cs="Times New Roman"/>
          <w:sz w:val="32"/>
          <w:lang w:val="en-US" w:bidi="ar-SA"/>
        </w:rPr>
        <w:t>2023年11月《财政部关于提前下达2024年农业相关转移支付资金预算的通知》（财农〔2023〕87号）下达247726万元。2024年4月《财政部关于下达2024年农业生态资源保护资金预算的通知》（财农〔2024〕15号）下达46079万元。</w:t>
      </w:r>
    </w:p>
    <w:p>
      <w:pPr>
        <w:spacing w:line="560" w:lineRule="exact"/>
        <w:ind w:firstLine="642" w:firstLineChars="200"/>
        <w:rPr>
          <w:b/>
          <w:bCs/>
          <w:sz w:val="32"/>
          <w:szCs w:val="32"/>
        </w:rPr>
      </w:pPr>
      <w:r>
        <w:rPr>
          <w:b/>
          <w:bCs/>
          <w:sz w:val="32"/>
          <w:szCs w:val="32"/>
        </w:rPr>
        <w:t>2、下达绩效目标情况：</w:t>
      </w:r>
    </w:p>
    <w:p>
      <w:pPr>
        <w:pStyle w:val="10"/>
        <w:spacing w:after="0" w:line="560" w:lineRule="exact"/>
        <w:ind w:left="0" w:leftChars="0" w:firstLine="640"/>
        <w:rPr>
          <w:rFonts w:ascii="Times New Roman" w:hAnsi="Times New Roman" w:eastAsia="宋体"/>
          <w:b/>
          <w:bCs/>
          <w:spacing w:val="-8"/>
          <w:sz w:val="23"/>
          <w:szCs w:val="23"/>
        </w:rPr>
      </w:pPr>
      <w:r>
        <w:rPr>
          <w:rFonts w:ascii="Times New Roman" w:hAnsi="Times New Roman"/>
          <w:sz w:val="32"/>
          <w:szCs w:val="32"/>
        </w:rPr>
        <w:t>财政部随文下达新疆区域绩效目标，情况详见下表</w:t>
      </w:r>
      <w:r>
        <w:rPr>
          <w:rFonts w:ascii="Times New Roman" w:hAnsi="Times New Roman"/>
          <w:color w:val="000000"/>
        </w:rPr>
        <w:t>：</w:t>
      </w:r>
    </w:p>
    <w:p>
      <w:pPr>
        <w:spacing w:before="107" w:line="209" w:lineRule="auto"/>
        <w:ind w:left="2948"/>
        <w:outlineLvl w:val="0"/>
        <w:rPr>
          <w:rFonts w:eastAsia="宋体"/>
          <w:b/>
          <w:bCs/>
          <w:spacing w:val="5"/>
          <w:sz w:val="22"/>
          <w:szCs w:val="22"/>
        </w:rPr>
      </w:pPr>
    </w:p>
    <w:p>
      <w:pPr>
        <w:rPr>
          <w:rFonts w:eastAsia="宋体"/>
          <w:b/>
          <w:bCs/>
          <w:spacing w:val="5"/>
          <w:sz w:val="22"/>
          <w:szCs w:val="22"/>
        </w:rPr>
      </w:pPr>
      <w:r>
        <w:rPr>
          <w:rFonts w:eastAsia="宋体"/>
          <w:b/>
          <w:bCs/>
          <w:spacing w:val="5"/>
          <w:sz w:val="22"/>
          <w:szCs w:val="22"/>
        </w:rPr>
        <w:br w:type="page"/>
      </w:r>
    </w:p>
    <w:p>
      <w:pPr>
        <w:spacing w:before="107" w:line="209" w:lineRule="auto"/>
        <w:jc w:val="center"/>
        <w:outlineLvl w:val="0"/>
        <w:rPr>
          <w:rFonts w:eastAsia="宋体"/>
          <w:sz w:val="22"/>
          <w:szCs w:val="22"/>
        </w:rPr>
      </w:pPr>
      <w:r>
        <w:rPr>
          <w:rFonts w:eastAsia="宋体"/>
          <w:b/>
          <w:bCs/>
          <w:spacing w:val="5"/>
          <w:sz w:val="22"/>
          <w:szCs w:val="22"/>
        </w:rPr>
        <w:t>农业生态资源保护资</w:t>
      </w:r>
      <w:r>
        <w:rPr>
          <w:rFonts w:hint="eastAsia" w:eastAsia="宋体"/>
          <w:b/>
          <w:bCs/>
          <w:spacing w:val="5"/>
          <w:sz w:val="22"/>
          <w:szCs w:val="22"/>
        </w:rPr>
        <w:t>金</w:t>
      </w:r>
      <w:r>
        <w:rPr>
          <w:rFonts w:eastAsia="宋体"/>
          <w:b/>
          <w:bCs/>
          <w:spacing w:val="-8"/>
          <w:sz w:val="22"/>
          <w:szCs w:val="22"/>
        </w:rPr>
        <w:t>区域绩效目标表</w:t>
      </w:r>
    </w:p>
    <w:p>
      <w:pPr>
        <w:spacing w:line="219" w:lineRule="auto"/>
        <w:ind w:left="4098"/>
        <w:jc w:val="left"/>
        <w:outlineLvl w:val="0"/>
        <w:rPr>
          <w:rFonts w:eastAsia="宋体"/>
          <w:b/>
          <w:bCs/>
          <w:spacing w:val="2"/>
          <w:sz w:val="22"/>
          <w:szCs w:val="22"/>
        </w:rPr>
      </w:pPr>
      <w:r>
        <w:rPr>
          <w:rFonts w:eastAsia="宋体"/>
          <w:b/>
          <w:bCs/>
          <w:spacing w:val="2"/>
          <w:sz w:val="22"/>
          <w:szCs w:val="22"/>
        </w:rPr>
        <w:t>(202</w:t>
      </w:r>
      <w:r>
        <w:rPr>
          <w:rFonts w:hint="eastAsia" w:eastAsia="宋体"/>
          <w:b/>
          <w:bCs/>
          <w:spacing w:val="2"/>
          <w:sz w:val="22"/>
          <w:szCs w:val="22"/>
        </w:rPr>
        <w:t>4</w:t>
      </w:r>
      <w:r>
        <w:rPr>
          <w:rFonts w:eastAsia="宋体"/>
          <w:b/>
          <w:bCs/>
          <w:spacing w:val="2"/>
          <w:sz w:val="22"/>
          <w:szCs w:val="22"/>
        </w:rPr>
        <w:t>年度）</w:t>
      </w:r>
    </w:p>
    <w:tbl>
      <w:tblPr>
        <w:tblStyle w:val="14"/>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959"/>
        <w:gridCol w:w="1538"/>
        <w:gridCol w:w="3815"/>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046" w:type="dxa"/>
            <w:gridSpan w:val="4"/>
            <w:vAlign w:val="center"/>
          </w:tcPr>
          <w:p>
            <w:pPr>
              <w:pStyle w:val="13"/>
              <w:spacing w:before="132" w:line="221" w:lineRule="auto"/>
              <w:ind w:left="3195"/>
              <w:jc w:val="left"/>
              <w:rPr>
                <w:rFonts w:hint="eastAsia"/>
                <w:sz w:val="20"/>
                <w:szCs w:val="20"/>
              </w:rPr>
            </w:pPr>
            <w:r>
              <w:rPr>
                <w:rFonts w:hint="eastAsia"/>
                <w:spacing w:val="2"/>
                <w:sz w:val="20"/>
                <w:szCs w:val="20"/>
              </w:rPr>
              <w:t>资金名称</w:t>
            </w:r>
          </w:p>
        </w:tc>
        <w:tc>
          <w:tcPr>
            <w:tcW w:w="1683" w:type="dxa"/>
            <w:vAlign w:val="center"/>
          </w:tcPr>
          <w:p>
            <w:pPr>
              <w:pStyle w:val="13"/>
              <w:spacing w:before="132" w:line="220" w:lineRule="auto"/>
              <w:ind w:left="39"/>
              <w:jc w:val="center"/>
              <w:rPr>
                <w:rFonts w:hint="eastAsia"/>
                <w:spacing w:val="-1"/>
                <w:sz w:val="20"/>
                <w:szCs w:val="20"/>
                <w:lang w:eastAsia="zh-CN"/>
              </w:rPr>
            </w:pPr>
            <w:r>
              <w:rPr>
                <w:rFonts w:hint="eastAsia"/>
                <w:spacing w:val="-1"/>
                <w:sz w:val="20"/>
                <w:szCs w:val="20"/>
                <w:lang w:eastAsia="zh-CN"/>
              </w:rPr>
              <w:t>农业生态资源</w:t>
            </w:r>
          </w:p>
          <w:p>
            <w:pPr>
              <w:pStyle w:val="13"/>
              <w:spacing w:before="132" w:line="220" w:lineRule="auto"/>
              <w:ind w:left="39"/>
              <w:jc w:val="center"/>
              <w:rPr>
                <w:rFonts w:hint="eastAsia"/>
                <w:sz w:val="20"/>
                <w:szCs w:val="20"/>
                <w:lang w:eastAsia="zh-CN"/>
              </w:rPr>
            </w:pPr>
            <w:r>
              <w:rPr>
                <w:rFonts w:hint="eastAsia"/>
                <w:spacing w:val="-1"/>
                <w:sz w:val="20"/>
                <w:szCs w:val="20"/>
                <w:lang w:eastAsia="zh-CN"/>
              </w:rPr>
              <w:t>保护资金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046" w:type="dxa"/>
            <w:gridSpan w:val="4"/>
            <w:vAlign w:val="center"/>
          </w:tcPr>
          <w:p>
            <w:pPr>
              <w:pStyle w:val="13"/>
              <w:spacing w:before="137" w:line="219" w:lineRule="auto"/>
              <w:ind w:left="3034"/>
              <w:jc w:val="left"/>
              <w:rPr>
                <w:rFonts w:hint="eastAsia"/>
                <w:sz w:val="20"/>
                <w:szCs w:val="20"/>
              </w:rPr>
            </w:pPr>
            <w:r>
              <w:rPr>
                <w:rFonts w:hint="eastAsia"/>
                <w:spacing w:val="3"/>
                <w:sz w:val="20"/>
                <w:szCs w:val="20"/>
              </w:rPr>
              <w:t>中央主管部门</w:t>
            </w:r>
          </w:p>
        </w:tc>
        <w:tc>
          <w:tcPr>
            <w:tcW w:w="1683" w:type="dxa"/>
            <w:vAlign w:val="center"/>
          </w:tcPr>
          <w:p>
            <w:pPr>
              <w:pStyle w:val="13"/>
              <w:spacing w:before="136" w:line="219" w:lineRule="auto"/>
              <w:ind w:left="118"/>
              <w:jc w:val="center"/>
              <w:rPr>
                <w:rFonts w:hint="eastAsia"/>
                <w:sz w:val="20"/>
                <w:szCs w:val="20"/>
              </w:rPr>
            </w:pPr>
            <w:r>
              <w:rPr>
                <w:rFonts w:hint="eastAsia"/>
                <w:spacing w:val="-1"/>
                <w:sz w:val="20"/>
                <w:szCs w:val="20"/>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046" w:type="dxa"/>
            <w:gridSpan w:val="4"/>
            <w:vAlign w:val="center"/>
          </w:tcPr>
          <w:p>
            <w:pPr>
              <w:pStyle w:val="13"/>
              <w:spacing w:before="168" w:line="219" w:lineRule="auto"/>
              <w:ind w:left="3034"/>
              <w:jc w:val="left"/>
              <w:rPr>
                <w:rFonts w:hint="eastAsia"/>
                <w:sz w:val="20"/>
                <w:szCs w:val="20"/>
              </w:rPr>
            </w:pPr>
            <w:r>
              <w:rPr>
                <w:rFonts w:hint="eastAsia"/>
                <w:spacing w:val="3"/>
                <w:sz w:val="20"/>
                <w:szCs w:val="20"/>
              </w:rPr>
              <w:t>省级财政部门</w:t>
            </w:r>
          </w:p>
        </w:tc>
        <w:tc>
          <w:tcPr>
            <w:tcW w:w="1683" w:type="dxa"/>
            <w:vAlign w:val="center"/>
          </w:tcPr>
          <w:p>
            <w:pPr>
              <w:pStyle w:val="13"/>
              <w:spacing w:before="39" w:line="219" w:lineRule="auto"/>
              <w:ind w:left="758" w:right="40" w:hanging="719"/>
              <w:jc w:val="center"/>
              <w:rPr>
                <w:rFonts w:hint="eastAsia"/>
                <w:spacing w:val="-1"/>
                <w:sz w:val="20"/>
                <w:szCs w:val="20"/>
                <w:lang w:eastAsia="zh-CN"/>
              </w:rPr>
            </w:pPr>
            <w:r>
              <w:rPr>
                <w:rFonts w:hint="eastAsia"/>
                <w:spacing w:val="-1"/>
                <w:sz w:val="20"/>
                <w:szCs w:val="20"/>
                <w:lang w:eastAsia="zh-CN"/>
              </w:rPr>
              <w:t>新疆维吾尔自治区</w:t>
            </w:r>
          </w:p>
          <w:p>
            <w:pPr>
              <w:pStyle w:val="13"/>
              <w:spacing w:before="39" w:line="219" w:lineRule="auto"/>
              <w:ind w:left="758" w:right="40" w:hanging="719"/>
              <w:jc w:val="center"/>
              <w:rPr>
                <w:rFonts w:hint="eastAsia"/>
                <w:sz w:val="20"/>
                <w:szCs w:val="20"/>
                <w:lang w:eastAsia="zh-CN"/>
              </w:rPr>
            </w:pPr>
            <w:r>
              <w:rPr>
                <w:rFonts w:hint="eastAsia"/>
                <w:spacing w:val="-1"/>
                <w:sz w:val="20"/>
                <w:szCs w:val="20"/>
                <w:lang w:eastAsia="zh-CN"/>
              </w:rPr>
              <w:t>财政</w:t>
            </w:r>
            <w:r>
              <w:rPr>
                <w:rFonts w:hint="eastAsia"/>
                <w:sz w:val="20"/>
                <w:szCs w:val="20"/>
                <w:lang w:eastAsia="zh-CN"/>
              </w:rPr>
              <w:t>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046" w:type="dxa"/>
            <w:gridSpan w:val="4"/>
            <w:vAlign w:val="center"/>
          </w:tcPr>
          <w:p>
            <w:pPr>
              <w:pStyle w:val="13"/>
              <w:spacing w:before="139" w:line="219" w:lineRule="auto"/>
              <w:ind w:left="3034"/>
              <w:jc w:val="left"/>
              <w:rPr>
                <w:rFonts w:hint="eastAsia"/>
                <w:sz w:val="20"/>
                <w:szCs w:val="20"/>
              </w:rPr>
            </w:pPr>
            <w:r>
              <w:rPr>
                <w:rFonts w:hint="eastAsia"/>
                <w:spacing w:val="3"/>
                <w:sz w:val="20"/>
                <w:szCs w:val="20"/>
              </w:rPr>
              <w:t>省级主管部门</w:t>
            </w:r>
          </w:p>
        </w:tc>
        <w:tc>
          <w:tcPr>
            <w:tcW w:w="1683" w:type="dxa"/>
            <w:vAlign w:val="center"/>
          </w:tcPr>
          <w:p>
            <w:pPr>
              <w:pStyle w:val="13"/>
              <w:spacing w:before="40" w:line="218" w:lineRule="auto"/>
              <w:ind w:left="599" w:right="40" w:hanging="560"/>
              <w:jc w:val="center"/>
              <w:rPr>
                <w:rFonts w:hint="eastAsia"/>
                <w:spacing w:val="-1"/>
                <w:sz w:val="20"/>
                <w:szCs w:val="20"/>
                <w:lang w:eastAsia="zh-CN"/>
              </w:rPr>
            </w:pPr>
            <w:r>
              <w:rPr>
                <w:rFonts w:hint="eastAsia"/>
                <w:spacing w:val="-1"/>
                <w:sz w:val="20"/>
                <w:szCs w:val="20"/>
                <w:lang w:eastAsia="zh-CN"/>
              </w:rPr>
              <w:t>新疆维吾尔自治区</w:t>
            </w:r>
          </w:p>
          <w:p>
            <w:pPr>
              <w:pStyle w:val="13"/>
              <w:spacing w:before="40" w:line="218" w:lineRule="auto"/>
              <w:ind w:left="599" w:right="40" w:hanging="560"/>
              <w:jc w:val="center"/>
              <w:rPr>
                <w:rFonts w:hint="eastAsia"/>
                <w:sz w:val="20"/>
                <w:szCs w:val="20"/>
                <w:lang w:eastAsia="zh-CN"/>
              </w:rPr>
            </w:pPr>
            <w:r>
              <w:rPr>
                <w:rFonts w:hint="eastAsia"/>
                <w:spacing w:val="-1"/>
                <w:sz w:val="20"/>
                <w:szCs w:val="20"/>
                <w:lang w:eastAsia="zh-CN"/>
              </w:rPr>
              <w:t>农业</w:t>
            </w:r>
            <w:r>
              <w:rPr>
                <w:rFonts w:hint="eastAsia"/>
                <w:spacing w:val="-2"/>
                <w:sz w:val="20"/>
                <w:szCs w:val="20"/>
                <w:lang w:eastAsia="zh-CN"/>
              </w:rPr>
              <w:t>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restart"/>
            <w:tcBorders>
              <w:bottom w:val="nil"/>
            </w:tcBorders>
            <w:vAlign w:val="center"/>
          </w:tcPr>
          <w:p>
            <w:pPr>
              <w:pStyle w:val="13"/>
              <w:spacing w:before="52" w:line="220" w:lineRule="auto"/>
              <w:jc w:val="left"/>
              <w:rPr>
                <w:rFonts w:hint="eastAsia"/>
                <w:sz w:val="20"/>
                <w:szCs w:val="20"/>
              </w:rPr>
            </w:pPr>
            <w:r>
              <w:rPr>
                <w:rFonts w:hint="eastAsia"/>
                <w:spacing w:val="-3"/>
                <w:sz w:val="20"/>
                <w:szCs w:val="20"/>
              </w:rPr>
              <w:t>资金情况</w:t>
            </w:r>
          </w:p>
        </w:tc>
        <w:tc>
          <w:tcPr>
            <w:tcW w:w="6312" w:type="dxa"/>
            <w:gridSpan w:val="3"/>
            <w:vAlign w:val="center"/>
          </w:tcPr>
          <w:p>
            <w:pPr>
              <w:pStyle w:val="13"/>
              <w:spacing w:before="140" w:line="219" w:lineRule="auto"/>
              <w:ind w:left="2590"/>
              <w:jc w:val="left"/>
              <w:rPr>
                <w:rFonts w:hint="eastAsia"/>
                <w:sz w:val="20"/>
                <w:szCs w:val="20"/>
              </w:rPr>
            </w:pPr>
            <w:r>
              <w:rPr>
                <w:rFonts w:hint="eastAsia"/>
                <w:spacing w:val="4"/>
                <w:sz w:val="20"/>
                <w:szCs w:val="20"/>
              </w:rPr>
              <w:t>年度金额</w:t>
            </w:r>
            <w:r>
              <w:rPr>
                <w:rFonts w:hint="eastAsia"/>
                <w:spacing w:val="4"/>
                <w:sz w:val="20"/>
                <w:szCs w:val="20"/>
                <w:lang w:eastAsia="zh-CN"/>
              </w:rPr>
              <w:t>（</w:t>
            </w:r>
            <w:r>
              <w:rPr>
                <w:rFonts w:hint="eastAsia"/>
                <w:spacing w:val="4"/>
                <w:sz w:val="20"/>
                <w:szCs w:val="20"/>
              </w:rPr>
              <w:t>万元</w:t>
            </w:r>
            <w:r>
              <w:rPr>
                <w:rFonts w:hint="eastAsia"/>
                <w:spacing w:val="4"/>
                <w:sz w:val="20"/>
                <w:szCs w:val="20"/>
                <w:lang w:eastAsia="zh-CN"/>
              </w:rPr>
              <w:t>）</w:t>
            </w:r>
          </w:p>
        </w:tc>
        <w:tc>
          <w:tcPr>
            <w:tcW w:w="1683" w:type="dxa"/>
            <w:vAlign w:val="center"/>
          </w:tcPr>
          <w:p>
            <w:pPr>
              <w:pStyle w:val="13"/>
              <w:spacing w:before="181" w:line="184" w:lineRule="auto"/>
              <w:ind w:left="599"/>
              <w:rPr>
                <w:rFonts w:hint="eastAsia"/>
                <w:sz w:val="20"/>
                <w:szCs w:val="20"/>
              </w:rPr>
            </w:pPr>
            <w:r>
              <w:rPr>
                <w:rFonts w:hint="eastAsia"/>
                <w:spacing w:val="-2"/>
                <w:sz w:val="20"/>
                <w:szCs w:val="20"/>
              </w:rPr>
              <w:t>293805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vAlign w:val="center"/>
          </w:tcPr>
          <w:p>
            <w:pPr>
              <w:jc w:val="left"/>
              <w:rPr>
                <w:rFonts w:hint="eastAsia" w:ascii="宋体" w:hAnsi="宋体" w:eastAsia="宋体" w:cs="宋体"/>
                <w:sz w:val="20"/>
                <w:szCs w:val="20"/>
              </w:rPr>
            </w:pPr>
          </w:p>
        </w:tc>
        <w:tc>
          <w:tcPr>
            <w:tcW w:w="6312" w:type="dxa"/>
            <w:gridSpan w:val="3"/>
            <w:vAlign w:val="center"/>
          </w:tcPr>
          <w:p>
            <w:pPr>
              <w:pStyle w:val="13"/>
              <w:spacing w:before="131" w:line="220" w:lineRule="auto"/>
              <w:ind w:left="2590"/>
              <w:jc w:val="left"/>
              <w:rPr>
                <w:rFonts w:hint="eastAsia"/>
                <w:sz w:val="20"/>
                <w:szCs w:val="20"/>
              </w:rPr>
            </w:pPr>
            <w:r>
              <w:rPr>
                <w:rFonts w:hint="eastAsia"/>
                <w:spacing w:val="-1"/>
                <w:sz w:val="20"/>
                <w:szCs w:val="20"/>
              </w:rPr>
              <w:t>其中：中央补助</w:t>
            </w:r>
          </w:p>
        </w:tc>
        <w:tc>
          <w:tcPr>
            <w:tcW w:w="1683" w:type="dxa"/>
            <w:vAlign w:val="center"/>
          </w:tcPr>
          <w:p>
            <w:pPr>
              <w:pStyle w:val="13"/>
              <w:spacing w:before="170" w:line="184" w:lineRule="auto"/>
              <w:ind w:left="599"/>
              <w:rPr>
                <w:rFonts w:hint="eastAsia"/>
                <w:sz w:val="20"/>
                <w:szCs w:val="20"/>
              </w:rPr>
            </w:pPr>
            <w:r>
              <w:rPr>
                <w:rFonts w:hint="eastAsia"/>
                <w:spacing w:val="-2"/>
                <w:sz w:val="20"/>
                <w:szCs w:val="20"/>
              </w:rPr>
              <w:t>293805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continue"/>
            <w:tcBorders>
              <w:top w:val="nil"/>
            </w:tcBorders>
            <w:vAlign w:val="center"/>
          </w:tcPr>
          <w:p>
            <w:pPr>
              <w:jc w:val="left"/>
              <w:rPr>
                <w:rFonts w:hint="eastAsia" w:ascii="宋体" w:hAnsi="宋体" w:eastAsia="宋体" w:cs="宋体"/>
                <w:sz w:val="20"/>
                <w:szCs w:val="20"/>
              </w:rPr>
            </w:pPr>
          </w:p>
        </w:tc>
        <w:tc>
          <w:tcPr>
            <w:tcW w:w="6312" w:type="dxa"/>
            <w:gridSpan w:val="3"/>
            <w:vAlign w:val="center"/>
          </w:tcPr>
          <w:p>
            <w:pPr>
              <w:pStyle w:val="13"/>
              <w:spacing w:before="141" w:line="221" w:lineRule="auto"/>
              <w:ind w:left="2830"/>
              <w:jc w:val="left"/>
              <w:rPr>
                <w:rFonts w:hint="eastAsia"/>
                <w:sz w:val="20"/>
                <w:szCs w:val="20"/>
              </w:rPr>
            </w:pPr>
            <w:r>
              <w:rPr>
                <w:rFonts w:hint="eastAsia"/>
                <w:spacing w:val="-2"/>
                <w:sz w:val="20"/>
                <w:szCs w:val="20"/>
              </w:rPr>
              <w:t>地方资金</w:t>
            </w:r>
          </w:p>
        </w:tc>
        <w:tc>
          <w:tcPr>
            <w:tcW w:w="1683" w:type="dxa"/>
          </w:tcPr>
          <w:p>
            <w:pP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4" w:type="dxa"/>
            <w:vAlign w:val="center"/>
          </w:tcPr>
          <w:p>
            <w:pPr>
              <w:pStyle w:val="13"/>
              <w:spacing w:before="141" w:line="219" w:lineRule="auto"/>
              <w:jc w:val="center"/>
              <w:rPr>
                <w:rFonts w:hint="eastAsia"/>
                <w:sz w:val="20"/>
                <w:szCs w:val="20"/>
              </w:rPr>
            </w:pPr>
            <w:r>
              <w:rPr>
                <w:rFonts w:hint="eastAsia"/>
                <w:spacing w:val="-2"/>
                <w:sz w:val="20"/>
                <w:szCs w:val="20"/>
              </w:rPr>
              <w:t>年度目标</w:t>
            </w:r>
          </w:p>
        </w:tc>
        <w:tc>
          <w:tcPr>
            <w:tcW w:w="7995" w:type="dxa"/>
            <w:gridSpan w:val="4"/>
          </w:tcPr>
          <w:p>
            <w:pPr>
              <w:pStyle w:val="13"/>
              <w:spacing w:before="141" w:line="219" w:lineRule="auto"/>
              <w:ind w:left="1791"/>
              <w:rPr>
                <w:rFonts w:hint="eastAsia"/>
                <w:sz w:val="20"/>
                <w:szCs w:val="20"/>
                <w:lang w:eastAsia="zh-CN"/>
              </w:rPr>
            </w:pPr>
            <w:r>
              <w:rPr>
                <w:rFonts w:hint="eastAsia"/>
                <w:sz w:val="20"/>
                <w:szCs w:val="20"/>
                <w:lang w:eastAsia="zh-CN"/>
              </w:rPr>
              <w:t>按照相关规划或实施方案，结合地方实际开展农业生态资源保护。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restart"/>
            <w:tcBorders>
              <w:bottom w:val="nil"/>
            </w:tcBorders>
            <w:vAlign w:val="center"/>
          </w:tcPr>
          <w:p>
            <w:pPr>
              <w:pStyle w:val="13"/>
              <w:spacing w:before="52" w:line="220" w:lineRule="auto"/>
              <w:jc w:val="center"/>
              <w:rPr>
                <w:rFonts w:hint="eastAsia"/>
                <w:sz w:val="20"/>
                <w:szCs w:val="20"/>
              </w:rPr>
            </w:pPr>
            <w:r>
              <w:rPr>
                <w:rFonts w:hint="eastAsia"/>
                <w:spacing w:val="-2"/>
                <w:sz w:val="20"/>
                <w:szCs w:val="20"/>
              </w:rPr>
              <w:t>绩效目标</w:t>
            </w:r>
          </w:p>
        </w:tc>
        <w:tc>
          <w:tcPr>
            <w:tcW w:w="959" w:type="dxa"/>
          </w:tcPr>
          <w:p>
            <w:pPr>
              <w:pStyle w:val="13"/>
              <w:spacing w:before="139" w:line="220" w:lineRule="auto"/>
              <w:ind w:left="153"/>
              <w:rPr>
                <w:rFonts w:hint="eastAsia"/>
                <w:sz w:val="20"/>
                <w:szCs w:val="20"/>
              </w:rPr>
            </w:pPr>
            <w:r>
              <w:rPr>
                <w:rFonts w:hint="eastAsia"/>
                <w:b/>
                <w:bCs/>
                <w:spacing w:val="-4"/>
                <w:sz w:val="20"/>
                <w:szCs w:val="20"/>
              </w:rPr>
              <w:t>一级指标</w:t>
            </w:r>
          </w:p>
        </w:tc>
        <w:tc>
          <w:tcPr>
            <w:tcW w:w="1538" w:type="dxa"/>
            <w:tcBorders>
              <w:bottom w:val="single" w:color="auto" w:sz="4" w:space="0"/>
            </w:tcBorders>
          </w:tcPr>
          <w:p>
            <w:pPr>
              <w:pStyle w:val="13"/>
              <w:spacing w:before="139" w:line="220" w:lineRule="auto"/>
              <w:ind w:left="444"/>
              <w:rPr>
                <w:rFonts w:hint="eastAsia"/>
                <w:sz w:val="20"/>
                <w:szCs w:val="20"/>
              </w:rPr>
            </w:pPr>
            <w:r>
              <w:rPr>
                <w:rFonts w:hint="eastAsia"/>
                <w:b/>
                <w:bCs/>
                <w:spacing w:val="-4"/>
                <w:sz w:val="20"/>
                <w:szCs w:val="20"/>
              </w:rPr>
              <w:t>二级指标</w:t>
            </w:r>
          </w:p>
        </w:tc>
        <w:tc>
          <w:tcPr>
            <w:tcW w:w="3815" w:type="dxa"/>
          </w:tcPr>
          <w:p>
            <w:pPr>
              <w:pStyle w:val="13"/>
              <w:spacing w:before="139" w:line="220" w:lineRule="auto"/>
              <w:ind w:left="1596"/>
              <w:rPr>
                <w:rFonts w:hint="eastAsia"/>
                <w:sz w:val="20"/>
                <w:szCs w:val="20"/>
              </w:rPr>
            </w:pPr>
            <w:r>
              <w:rPr>
                <w:rFonts w:hint="eastAsia"/>
                <w:b/>
                <w:bCs/>
                <w:spacing w:val="-3"/>
                <w:sz w:val="20"/>
                <w:szCs w:val="20"/>
              </w:rPr>
              <w:t>三级指标</w:t>
            </w:r>
          </w:p>
        </w:tc>
        <w:tc>
          <w:tcPr>
            <w:tcW w:w="1683" w:type="dxa"/>
          </w:tcPr>
          <w:p>
            <w:pPr>
              <w:pStyle w:val="13"/>
              <w:spacing w:before="139" w:line="219" w:lineRule="auto"/>
              <w:ind w:left="601"/>
              <w:rPr>
                <w:rFonts w:hint="eastAsia"/>
                <w:sz w:val="20"/>
                <w:szCs w:val="20"/>
              </w:rPr>
            </w:pPr>
            <w:r>
              <w:rPr>
                <w:rFonts w:hint="eastAsia"/>
                <w:b/>
                <w:bCs/>
                <w:spacing w:val="-4"/>
                <w:sz w:val="20"/>
                <w:szCs w:val="2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restart"/>
            <w:tcBorders>
              <w:right w:val="single" w:color="auto" w:sz="4" w:space="0"/>
            </w:tcBorders>
            <w:vAlign w:val="center"/>
          </w:tcPr>
          <w:p>
            <w:pPr>
              <w:pStyle w:val="13"/>
              <w:spacing w:before="52" w:line="219" w:lineRule="auto"/>
              <w:jc w:val="center"/>
              <w:rPr>
                <w:rFonts w:hint="eastAsia"/>
                <w:sz w:val="20"/>
                <w:szCs w:val="20"/>
              </w:rPr>
            </w:pPr>
            <w:r>
              <w:rPr>
                <w:rFonts w:hint="eastAsia"/>
                <w:spacing w:val="-2"/>
                <w:sz w:val="20"/>
                <w:szCs w:val="20"/>
              </w:rPr>
              <w:t>产出指标</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52" w:line="219" w:lineRule="auto"/>
              <w:jc w:val="center"/>
              <w:rPr>
                <w:rFonts w:hint="eastAsia"/>
                <w:sz w:val="20"/>
                <w:szCs w:val="20"/>
              </w:rPr>
            </w:pPr>
            <w:r>
              <w:rPr>
                <w:rFonts w:hint="eastAsia"/>
                <w:spacing w:val="-2"/>
                <w:sz w:val="20"/>
                <w:szCs w:val="20"/>
              </w:rPr>
              <w:t>数量指标</w:t>
            </w:r>
          </w:p>
        </w:tc>
        <w:tc>
          <w:tcPr>
            <w:tcW w:w="3815" w:type="dxa"/>
            <w:tcBorders>
              <w:left w:val="single" w:color="auto" w:sz="4" w:space="0"/>
            </w:tcBorders>
            <w:vAlign w:val="center"/>
          </w:tcPr>
          <w:p>
            <w:pPr>
              <w:pStyle w:val="13"/>
              <w:spacing w:before="141" w:line="219" w:lineRule="auto"/>
              <w:ind w:left="43"/>
              <w:rPr>
                <w:rFonts w:hint="eastAsia"/>
                <w:sz w:val="20"/>
                <w:szCs w:val="20"/>
                <w:lang w:eastAsia="zh-CN"/>
              </w:rPr>
            </w:pPr>
            <w:r>
              <w:rPr>
                <w:rFonts w:hint="eastAsia"/>
                <w:spacing w:val="1"/>
                <w:sz w:val="20"/>
                <w:szCs w:val="20"/>
                <w:lang w:eastAsia="zh-CN"/>
              </w:rPr>
              <w:t>地膜科学使用回收推广面积（万亩）</w:t>
            </w:r>
          </w:p>
        </w:tc>
        <w:tc>
          <w:tcPr>
            <w:tcW w:w="1683" w:type="dxa"/>
          </w:tcPr>
          <w:p>
            <w:pPr>
              <w:pStyle w:val="13"/>
              <w:spacing w:before="183" w:line="183" w:lineRule="auto"/>
              <w:ind w:left="679"/>
              <w:rPr>
                <w:rFonts w:hint="eastAsia"/>
                <w:sz w:val="20"/>
                <w:szCs w:val="20"/>
                <w:lang w:eastAsia="zh-CN"/>
              </w:rPr>
            </w:pPr>
            <w:r>
              <w:rPr>
                <w:rFonts w:hint="eastAsia"/>
                <w:spacing w:val="-2"/>
                <w:sz w:val="20"/>
                <w:szCs w:val="20"/>
                <w:lang w:eastAsia="zh-CN"/>
              </w:rPr>
              <w:t>1135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3815" w:type="dxa"/>
            <w:tcBorders>
              <w:left w:val="single" w:color="auto" w:sz="4" w:space="0"/>
            </w:tcBorders>
            <w:vAlign w:val="center"/>
          </w:tcPr>
          <w:p>
            <w:pPr>
              <w:pStyle w:val="13"/>
              <w:spacing w:before="142" w:line="219" w:lineRule="auto"/>
              <w:ind w:left="43"/>
              <w:rPr>
                <w:rFonts w:hint="eastAsia"/>
                <w:sz w:val="20"/>
                <w:szCs w:val="20"/>
                <w:lang w:eastAsia="zh-CN"/>
              </w:rPr>
            </w:pPr>
            <w:r>
              <w:rPr>
                <w:rFonts w:hint="eastAsia"/>
                <w:spacing w:val="2"/>
                <w:sz w:val="20"/>
                <w:szCs w:val="20"/>
                <w:lang w:eastAsia="zh-CN"/>
              </w:rPr>
              <w:t>建设秸秆综合利用重点县（个）</w:t>
            </w:r>
          </w:p>
        </w:tc>
        <w:tc>
          <w:tcPr>
            <w:tcW w:w="1683" w:type="dxa"/>
          </w:tcPr>
          <w:p>
            <w:pPr>
              <w:pStyle w:val="13"/>
              <w:spacing w:before="182" w:line="184" w:lineRule="auto"/>
              <w:ind w:left="758"/>
              <w:rPr>
                <w:rFonts w:hint="eastAsia"/>
                <w:sz w:val="20"/>
                <w:szCs w:val="20"/>
                <w:lang w:eastAsia="zh-CN"/>
              </w:rPr>
            </w:pPr>
            <w:r>
              <w:rPr>
                <w:rFonts w:hint="eastAsia"/>
                <w:spacing w:val="-5"/>
                <w:sz w:val="20"/>
                <w:szCs w:val="2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3815" w:type="dxa"/>
            <w:tcBorders>
              <w:left w:val="single" w:color="auto" w:sz="4" w:space="0"/>
            </w:tcBorders>
            <w:vAlign w:val="center"/>
          </w:tcPr>
          <w:p>
            <w:pPr>
              <w:pStyle w:val="13"/>
              <w:spacing w:before="133" w:line="219" w:lineRule="auto"/>
              <w:ind w:left="43"/>
              <w:rPr>
                <w:rFonts w:hint="eastAsia"/>
                <w:sz w:val="20"/>
                <w:szCs w:val="20"/>
                <w:lang w:eastAsia="zh-CN"/>
              </w:rPr>
            </w:pPr>
            <w:r>
              <w:rPr>
                <w:rFonts w:hint="eastAsia"/>
                <w:spacing w:val="2"/>
                <w:sz w:val="20"/>
                <w:szCs w:val="20"/>
                <w:lang w:eastAsia="zh-CN"/>
              </w:rPr>
              <w:t>经济物种增殖放流数量（万尾）</w:t>
            </w:r>
          </w:p>
        </w:tc>
        <w:tc>
          <w:tcPr>
            <w:tcW w:w="1683" w:type="dxa"/>
          </w:tcPr>
          <w:p>
            <w:pPr>
              <w:pStyle w:val="13"/>
              <w:spacing w:before="173" w:line="184" w:lineRule="auto"/>
              <w:ind w:firstLine="768" w:firstLineChars="400"/>
              <w:jc w:val="left"/>
              <w:rPr>
                <w:rFonts w:hint="eastAsia"/>
                <w:sz w:val="20"/>
                <w:szCs w:val="20"/>
                <w:lang w:eastAsia="zh-CN"/>
              </w:rPr>
            </w:pPr>
            <w:r>
              <w:rPr>
                <w:rFonts w:hint="eastAsia"/>
                <w:spacing w:val="-4"/>
                <w:sz w:val="20"/>
                <w:szCs w:val="20"/>
                <w:lang w:eastAsia="zh-CN"/>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13"/>
              <w:spacing w:before="52" w:line="220" w:lineRule="auto"/>
              <w:jc w:val="center"/>
              <w:rPr>
                <w:rFonts w:hint="eastAsia"/>
                <w:sz w:val="20"/>
                <w:szCs w:val="20"/>
              </w:rPr>
            </w:pPr>
          </w:p>
        </w:tc>
        <w:tc>
          <w:tcPr>
            <w:tcW w:w="3815" w:type="dxa"/>
            <w:tcBorders>
              <w:left w:val="single" w:color="auto" w:sz="4" w:space="0"/>
            </w:tcBorders>
            <w:vAlign w:val="center"/>
          </w:tcPr>
          <w:p>
            <w:pPr>
              <w:pStyle w:val="13"/>
              <w:spacing w:before="143" w:line="219" w:lineRule="auto"/>
              <w:ind w:left="43"/>
              <w:rPr>
                <w:rFonts w:hint="eastAsia"/>
                <w:sz w:val="20"/>
                <w:szCs w:val="20"/>
                <w:lang w:eastAsia="zh-CN"/>
              </w:rPr>
            </w:pPr>
            <w:r>
              <w:rPr>
                <w:rFonts w:hint="eastAsia"/>
                <w:spacing w:val="-1"/>
                <w:sz w:val="20"/>
                <w:szCs w:val="20"/>
                <w:lang w:eastAsia="zh-CN"/>
              </w:rPr>
              <w:t>珍惜濒危物种增殖放流数量（万尾）</w:t>
            </w:r>
          </w:p>
        </w:tc>
        <w:tc>
          <w:tcPr>
            <w:tcW w:w="1683" w:type="dxa"/>
          </w:tcPr>
          <w:p>
            <w:pPr>
              <w:pStyle w:val="13"/>
              <w:spacing w:before="159" w:line="238" w:lineRule="auto"/>
              <w:ind w:firstLine="768" w:firstLineChars="400"/>
              <w:jc w:val="left"/>
              <w:rPr>
                <w:rFonts w:hint="eastAsia"/>
                <w:sz w:val="20"/>
                <w:szCs w:val="20"/>
                <w:lang w:eastAsia="zh-CN"/>
              </w:rPr>
            </w:pPr>
            <w:r>
              <w:rPr>
                <w:rFonts w:hint="eastAsia"/>
                <w:spacing w:val="-4"/>
                <w:sz w:val="20"/>
                <w:szCs w:val="20"/>
                <w:lang w:eastAsia="zh-CN"/>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pacing w:val="-2"/>
                <w:sz w:val="20"/>
                <w:szCs w:val="20"/>
              </w:rPr>
              <w:t>质量指标</w:t>
            </w:r>
          </w:p>
        </w:tc>
        <w:tc>
          <w:tcPr>
            <w:tcW w:w="3815" w:type="dxa"/>
            <w:tcBorders>
              <w:left w:val="single" w:color="auto" w:sz="4" w:space="0"/>
            </w:tcBorders>
            <w:vAlign w:val="center"/>
          </w:tcPr>
          <w:p>
            <w:pPr>
              <w:pStyle w:val="13"/>
              <w:spacing w:before="133" w:line="219" w:lineRule="auto"/>
              <w:ind w:left="43"/>
              <w:rPr>
                <w:rFonts w:hint="eastAsia"/>
                <w:sz w:val="20"/>
                <w:szCs w:val="20"/>
              </w:rPr>
            </w:pPr>
            <w:r>
              <w:rPr>
                <w:rFonts w:hint="eastAsia"/>
                <w:spacing w:val="-1"/>
                <w:sz w:val="20"/>
                <w:szCs w:val="20"/>
                <w:lang w:eastAsia="zh-CN"/>
              </w:rPr>
              <w:t>项目区农膜处置</w:t>
            </w:r>
            <w:r>
              <w:rPr>
                <w:rFonts w:hint="eastAsia"/>
                <w:spacing w:val="-1"/>
                <w:sz w:val="20"/>
                <w:szCs w:val="20"/>
              </w:rPr>
              <w:t>率</w:t>
            </w:r>
          </w:p>
        </w:tc>
        <w:tc>
          <w:tcPr>
            <w:tcW w:w="1683" w:type="dxa"/>
            <w:vAlign w:val="center"/>
          </w:tcPr>
          <w:p>
            <w:pPr>
              <w:pStyle w:val="13"/>
              <w:spacing w:before="23" w:line="219" w:lineRule="auto"/>
              <w:ind w:left="549" w:right="24" w:hanging="510"/>
              <w:jc w:val="center"/>
              <w:rPr>
                <w:rFonts w:hint="eastAsia"/>
                <w:sz w:val="20"/>
                <w:szCs w:val="20"/>
                <w:lang w:eastAsia="zh-CN"/>
              </w:rPr>
            </w:pPr>
            <w:r>
              <w:rPr>
                <w:rFonts w:hint="eastAsia"/>
                <w:spacing w:val="-6"/>
                <w:sz w:val="20"/>
                <w:szCs w:val="20"/>
              </w:rPr>
              <w:t>≥</w:t>
            </w:r>
            <w:r>
              <w:rPr>
                <w:rFonts w:hint="eastAsia"/>
                <w:spacing w:val="-6"/>
                <w:sz w:val="20"/>
                <w:szCs w:val="20"/>
                <w:lang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13"/>
              <w:spacing w:before="145" w:line="220" w:lineRule="auto"/>
              <w:jc w:val="center"/>
              <w:rPr>
                <w:rFonts w:hint="eastAsia"/>
                <w:sz w:val="20"/>
                <w:szCs w:val="20"/>
              </w:rPr>
            </w:pPr>
          </w:p>
        </w:tc>
        <w:tc>
          <w:tcPr>
            <w:tcW w:w="3815" w:type="dxa"/>
            <w:tcBorders>
              <w:left w:val="single" w:color="auto" w:sz="4" w:space="0"/>
            </w:tcBorders>
            <w:vAlign w:val="center"/>
          </w:tcPr>
          <w:p>
            <w:pPr>
              <w:pStyle w:val="13"/>
              <w:spacing w:before="144" w:line="219" w:lineRule="auto"/>
              <w:ind w:left="43"/>
              <w:rPr>
                <w:rFonts w:hint="eastAsia"/>
                <w:sz w:val="20"/>
                <w:szCs w:val="20"/>
                <w:lang w:eastAsia="zh-CN"/>
              </w:rPr>
            </w:pPr>
            <w:r>
              <w:rPr>
                <w:rFonts w:hint="eastAsia"/>
                <w:sz w:val="20"/>
                <w:szCs w:val="20"/>
                <w:lang w:eastAsia="zh-CN"/>
              </w:rPr>
              <w:t>秸秆综合利用重点县秸秆综合利用率</w:t>
            </w:r>
          </w:p>
        </w:tc>
        <w:tc>
          <w:tcPr>
            <w:tcW w:w="1683" w:type="dxa"/>
          </w:tcPr>
          <w:p>
            <w:pPr>
              <w:pStyle w:val="13"/>
              <w:spacing w:before="144" w:line="219" w:lineRule="auto"/>
              <w:jc w:val="center"/>
              <w:rPr>
                <w:rFonts w:hint="eastAsia"/>
                <w:sz w:val="20"/>
                <w:szCs w:val="20"/>
                <w:lang w:eastAsia="zh-CN"/>
              </w:rPr>
            </w:pPr>
            <w:r>
              <w:rPr>
                <w:rFonts w:hint="eastAsia"/>
                <w:spacing w:val="-6"/>
                <w:sz w:val="20"/>
                <w:szCs w:val="20"/>
                <w:lang w:eastAsia="zh-CN"/>
              </w:rPr>
              <w:t>≥90%或比2023年提高5个百分点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pStyle w:val="13"/>
              <w:spacing w:before="52" w:line="220" w:lineRule="auto"/>
              <w:jc w:val="center"/>
              <w:rPr>
                <w:rFonts w:hint="eastAsia"/>
                <w:sz w:val="20"/>
                <w:szCs w:val="20"/>
                <w:lang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3"/>
              <w:spacing w:before="52" w:line="219" w:lineRule="auto"/>
              <w:jc w:val="center"/>
              <w:rPr>
                <w:rFonts w:hint="eastAsia"/>
                <w:sz w:val="20"/>
                <w:szCs w:val="20"/>
              </w:rPr>
            </w:pPr>
            <w:r>
              <w:rPr>
                <w:rFonts w:hint="eastAsia"/>
                <w:spacing w:val="-3"/>
                <w:sz w:val="20"/>
                <w:szCs w:val="20"/>
              </w:rPr>
              <w:t>时效指标</w:t>
            </w:r>
          </w:p>
        </w:tc>
        <w:tc>
          <w:tcPr>
            <w:tcW w:w="3815" w:type="dxa"/>
            <w:tcBorders>
              <w:left w:val="single" w:color="auto" w:sz="4" w:space="0"/>
            </w:tcBorders>
            <w:vAlign w:val="center"/>
          </w:tcPr>
          <w:p>
            <w:pPr>
              <w:pStyle w:val="13"/>
              <w:spacing w:before="144" w:line="219" w:lineRule="auto"/>
              <w:ind w:left="43"/>
              <w:rPr>
                <w:rFonts w:hint="eastAsia"/>
                <w:sz w:val="20"/>
                <w:szCs w:val="20"/>
                <w:lang w:eastAsia="zh-CN"/>
              </w:rPr>
            </w:pPr>
            <w:r>
              <w:rPr>
                <w:rFonts w:hint="eastAsia"/>
                <w:sz w:val="20"/>
                <w:szCs w:val="20"/>
                <w:lang w:eastAsia="zh-CN"/>
              </w:rPr>
              <w:t>草原生态保护补助资金发放到位时间</w:t>
            </w:r>
          </w:p>
        </w:tc>
        <w:tc>
          <w:tcPr>
            <w:tcW w:w="1683" w:type="dxa"/>
          </w:tcPr>
          <w:p>
            <w:pPr>
              <w:pStyle w:val="13"/>
              <w:spacing w:before="145" w:line="221" w:lineRule="auto"/>
              <w:ind w:firstLine="582" w:firstLineChars="300"/>
              <w:rPr>
                <w:rFonts w:hint="eastAsia"/>
                <w:sz w:val="20"/>
                <w:szCs w:val="20"/>
                <w:lang w:eastAsia="zh-CN"/>
              </w:rPr>
            </w:pPr>
            <w:r>
              <w:rPr>
                <w:rFonts w:hint="eastAsia"/>
                <w:spacing w:val="-3"/>
                <w:sz w:val="20"/>
                <w:szCs w:val="20"/>
                <w:lang w:eastAsia="zh-CN"/>
              </w:rPr>
              <w:t>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restart"/>
            <w:tcBorders>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pacing w:val="-2"/>
                <w:sz w:val="20"/>
                <w:szCs w:val="20"/>
              </w:rPr>
              <w:t>效益指标</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pacing w:val="-2"/>
                <w:sz w:val="20"/>
                <w:szCs w:val="20"/>
              </w:rPr>
              <w:t>社会效益指标</w:t>
            </w:r>
          </w:p>
        </w:tc>
        <w:tc>
          <w:tcPr>
            <w:tcW w:w="3815" w:type="dxa"/>
            <w:tcBorders>
              <w:left w:val="single" w:color="auto" w:sz="4" w:space="0"/>
            </w:tcBorders>
            <w:vAlign w:val="center"/>
          </w:tcPr>
          <w:p>
            <w:pPr>
              <w:pStyle w:val="13"/>
              <w:spacing w:before="144" w:line="219" w:lineRule="auto"/>
              <w:ind w:left="43"/>
              <w:rPr>
                <w:rFonts w:hint="eastAsia"/>
                <w:sz w:val="20"/>
                <w:szCs w:val="20"/>
                <w:lang w:eastAsia="zh-CN"/>
              </w:rPr>
            </w:pPr>
            <w:r>
              <w:rPr>
                <w:rFonts w:hint="eastAsia"/>
                <w:sz w:val="20"/>
                <w:szCs w:val="20"/>
                <w:lang w:eastAsia="zh-CN"/>
              </w:rPr>
              <w:t>资金使用重大违规违纪问题</w:t>
            </w:r>
          </w:p>
        </w:tc>
        <w:tc>
          <w:tcPr>
            <w:tcW w:w="1683" w:type="dxa"/>
          </w:tcPr>
          <w:p>
            <w:pPr>
              <w:pStyle w:val="13"/>
              <w:spacing w:before="145" w:line="220" w:lineRule="auto"/>
              <w:ind w:left="758"/>
              <w:rPr>
                <w:rFonts w:hint="eastAsia"/>
                <w:sz w:val="20"/>
                <w:szCs w:val="20"/>
              </w:rPr>
            </w:pPr>
            <w:r>
              <w:rPr>
                <w:rFonts w:hint="eastAsia"/>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continue"/>
            <w:tcBorders>
              <w:right w:val="single" w:color="auto" w:sz="4" w:space="0"/>
            </w:tcBorders>
            <w:vAlign w:val="center"/>
          </w:tcPr>
          <w:p>
            <w:pPr>
              <w:jc w:val="center"/>
              <w:rPr>
                <w:rFonts w:hint="eastAsia" w:ascii="宋体" w:hAnsi="宋体" w:eastAsia="宋体" w:cs="宋体"/>
                <w:sz w:val="20"/>
                <w:szCs w:val="20"/>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3"/>
              <w:spacing w:before="136" w:line="220" w:lineRule="auto"/>
              <w:jc w:val="center"/>
              <w:rPr>
                <w:rFonts w:hint="eastAsia"/>
                <w:sz w:val="20"/>
                <w:szCs w:val="20"/>
              </w:rPr>
            </w:pPr>
            <w:r>
              <w:rPr>
                <w:rFonts w:hint="eastAsia"/>
                <w:spacing w:val="-2"/>
                <w:sz w:val="20"/>
                <w:szCs w:val="20"/>
              </w:rPr>
              <w:t>生态效益指标</w:t>
            </w:r>
          </w:p>
        </w:tc>
        <w:tc>
          <w:tcPr>
            <w:tcW w:w="3815" w:type="dxa"/>
            <w:tcBorders>
              <w:left w:val="single" w:color="auto" w:sz="4" w:space="0"/>
            </w:tcBorders>
            <w:vAlign w:val="center"/>
          </w:tcPr>
          <w:p>
            <w:pPr>
              <w:pStyle w:val="13"/>
              <w:spacing w:before="135" w:line="219" w:lineRule="auto"/>
              <w:ind w:left="43"/>
              <w:rPr>
                <w:rFonts w:hint="eastAsia"/>
                <w:sz w:val="20"/>
                <w:szCs w:val="20"/>
                <w:lang w:eastAsia="zh-CN"/>
              </w:rPr>
            </w:pPr>
            <w:r>
              <w:rPr>
                <w:rFonts w:hint="eastAsia"/>
                <w:spacing w:val="-1"/>
                <w:sz w:val="20"/>
                <w:szCs w:val="20"/>
                <w:lang w:eastAsia="zh-CN"/>
              </w:rPr>
              <w:t>重要经济物种放流资源贡献率</w:t>
            </w:r>
          </w:p>
        </w:tc>
        <w:tc>
          <w:tcPr>
            <w:tcW w:w="1683" w:type="dxa"/>
          </w:tcPr>
          <w:p>
            <w:pPr>
              <w:pStyle w:val="13"/>
              <w:spacing w:before="151" w:line="237" w:lineRule="auto"/>
              <w:ind w:left="679"/>
              <w:rPr>
                <w:rFonts w:hint="eastAsia"/>
                <w:sz w:val="20"/>
                <w:szCs w:val="20"/>
              </w:rPr>
            </w:pPr>
            <w:r>
              <w:rPr>
                <w:rFonts w:hint="eastAsia"/>
                <w:spacing w:val="-6"/>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Merge w:val="continue"/>
            <w:tcBorders>
              <w:top w:val="nil"/>
              <w:bottom w:val="nil"/>
            </w:tcBorders>
          </w:tcPr>
          <w:p>
            <w:pPr>
              <w:rPr>
                <w:rFonts w:hint="eastAsia" w:ascii="宋体" w:hAnsi="宋体" w:eastAsia="宋体" w:cs="宋体"/>
                <w:sz w:val="20"/>
                <w:szCs w:val="20"/>
              </w:rPr>
            </w:pPr>
          </w:p>
        </w:tc>
        <w:tc>
          <w:tcPr>
            <w:tcW w:w="959" w:type="dxa"/>
            <w:vMerge w:val="restart"/>
            <w:vAlign w:val="center"/>
          </w:tcPr>
          <w:p>
            <w:pPr>
              <w:pStyle w:val="13"/>
              <w:spacing w:before="52" w:line="219" w:lineRule="auto"/>
              <w:jc w:val="center"/>
              <w:rPr>
                <w:rFonts w:hint="eastAsia"/>
                <w:sz w:val="20"/>
                <w:szCs w:val="20"/>
              </w:rPr>
            </w:pPr>
            <w:r>
              <w:rPr>
                <w:rFonts w:hint="eastAsia"/>
                <w:spacing w:val="-1"/>
                <w:sz w:val="20"/>
                <w:szCs w:val="20"/>
              </w:rPr>
              <w:t>满意度指标</w:t>
            </w:r>
          </w:p>
        </w:tc>
        <w:tc>
          <w:tcPr>
            <w:tcW w:w="1538" w:type="dxa"/>
            <w:vMerge w:val="restart"/>
            <w:tcBorders>
              <w:top w:val="single" w:color="auto" w:sz="4" w:space="0"/>
              <w:bottom w:val="single" w:color="auto" w:sz="4" w:space="0"/>
            </w:tcBorders>
            <w:vAlign w:val="center"/>
          </w:tcPr>
          <w:p>
            <w:pPr>
              <w:pStyle w:val="13"/>
              <w:spacing w:before="52" w:line="219" w:lineRule="auto"/>
              <w:jc w:val="center"/>
              <w:rPr>
                <w:rFonts w:hint="eastAsia"/>
                <w:sz w:val="20"/>
                <w:szCs w:val="20"/>
              </w:rPr>
            </w:pPr>
            <w:r>
              <w:rPr>
                <w:rFonts w:hint="eastAsia"/>
                <w:spacing w:val="-1"/>
                <w:sz w:val="20"/>
                <w:szCs w:val="20"/>
              </w:rPr>
              <w:t>服务对象满意度指标</w:t>
            </w:r>
          </w:p>
        </w:tc>
        <w:tc>
          <w:tcPr>
            <w:tcW w:w="3815" w:type="dxa"/>
            <w:vAlign w:val="center"/>
          </w:tcPr>
          <w:p>
            <w:pPr>
              <w:pStyle w:val="13"/>
              <w:spacing w:before="34" w:line="216" w:lineRule="auto"/>
              <w:ind w:left="43"/>
              <w:rPr>
                <w:rFonts w:hint="eastAsia"/>
                <w:sz w:val="20"/>
                <w:szCs w:val="20"/>
                <w:lang w:eastAsia="zh-CN"/>
              </w:rPr>
            </w:pPr>
            <w:r>
              <w:rPr>
                <w:rFonts w:hint="eastAsia"/>
                <w:spacing w:val="-4"/>
                <w:sz w:val="20"/>
                <w:szCs w:val="20"/>
                <w:lang w:eastAsia="zh-CN"/>
              </w:rPr>
              <w:t>农牧民对草原禁牧补助与草畜平衡奖励政策实施的满意</w:t>
            </w:r>
            <w:r>
              <w:rPr>
                <w:rFonts w:hint="eastAsia"/>
                <w:sz w:val="20"/>
                <w:szCs w:val="20"/>
                <w:lang w:eastAsia="zh-CN"/>
              </w:rPr>
              <w:t>度</w:t>
            </w:r>
          </w:p>
        </w:tc>
        <w:tc>
          <w:tcPr>
            <w:tcW w:w="1683" w:type="dxa"/>
          </w:tcPr>
          <w:p>
            <w:pPr>
              <w:pStyle w:val="13"/>
              <w:spacing w:before="151" w:line="237" w:lineRule="auto"/>
              <w:ind w:left="639"/>
              <w:rPr>
                <w:rFonts w:hint="eastAsia"/>
                <w:sz w:val="20"/>
                <w:szCs w:val="20"/>
              </w:rPr>
            </w:pPr>
            <w:r>
              <w:rPr>
                <w:rFonts w:hint="eastAsia"/>
                <w:spacing w:val="-5"/>
                <w:sz w:val="20"/>
                <w:szCs w:val="20"/>
              </w:rPr>
              <w:t>≥</w:t>
            </w:r>
            <w:r>
              <w:rPr>
                <w:rFonts w:hint="eastAsia"/>
                <w:spacing w:val="-5"/>
                <w:sz w:val="20"/>
                <w:szCs w:val="20"/>
                <w:lang w:eastAsia="zh-CN"/>
              </w:rPr>
              <w:t>9</w:t>
            </w:r>
            <w:r>
              <w:rPr>
                <w:rFonts w:hint="eastAsia"/>
                <w:spacing w:val="-5"/>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34" w:type="dxa"/>
            <w:vMerge w:val="continue"/>
            <w:tcBorders>
              <w:top w:val="nil"/>
            </w:tcBorders>
          </w:tcPr>
          <w:p>
            <w:pPr>
              <w:rPr>
                <w:rFonts w:hint="eastAsia" w:ascii="宋体" w:hAnsi="宋体" w:eastAsia="宋体" w:cs="宋体"/>
                <w:sz w:val="20"/>
                <w:szCs w:val="20"/>
              </w:rPr>
            </w:pPr>
          </w:p>
        </w:tc>
        <w:tc>
          <w:tcPr>
            <w:tcW w:w="959" w:type="dxa"/>
            <w:vMerge w:val="continue"/>
          </w:tcPr>
          <w:p>
            <w:pPr>
              <w:rPr>
                <w:rFonts w:hint="eastAsia" w:ascii="宋体" w:hAnsi="宋体" w:eastAsia="宋体" w:cs="宋体"/>
                <w:sz w:val="20"/>
                <w:szCs w:val="20"/>
              </w:rPr>
            </w:pPr>
          </w:p>
        </w:tc>
        <w:tc>
          <w:tcPr>
            <w:tcW w:w="1538" w:type="dxa"/>
            <w:vMerge w:val="continue"/>
            <w:tcBorders>
              <w:top w:val="single" w:color="auto" w:sz="4" w:space="0"/>
              <w:bottom w:val="single" w:color="auto" w:sz="4" w:space="0"/>
            </w:tcBorders>
          </w:tcPr>
          <w:p>
            <w:pPr>
              <w:rPr>
                <w:rFonts w:hint="eastAsia" w:ascii="宋体" w:hAnsi="宋体" w:eastAsia="宋体" w:cs="宋体"/>
                <w:sz w:val="20"/>
                <w:szCs w:val="20"/>
              </w:rPr>
            </w:pPr>
          </w:p>
        </w:tc>
        <w:tc>
          <w:tcPr>
            <w:tcW w:w="3815" w:type="dxa"/>
            <w:vAlign w:val="center"/>
          </w:tcPr>
          <w:p>
            <w:pPr>
              <w:pStyle w:val="13"/>
              <w:spacing w:before="136" w:line="219" w:lineRule="auto"/>
              <w:ind w:left="43"/>
              <w:rPr>
                <w:rFonts w:hint="eastAsia"/>
                <w:sz w:val="20"/>
                <w:szCs w:val="20"/>
                <w:lang w:eastAsia="zh-CN"/>
              </w:rPr>
            </w:pPr>
            <w:r>
              <w:rPr>
                <w:rFonts w:hint="eastAsia"/>
                <w:spacing w:val="-1"/>
                <w:sz w:val="20"/>
                <w:szCs w:val="20"/>
                <w:lang w:eastAsia="zh-CN"/>
              </w:rPr>
              <w:t>增殖放流区域内抽样调查满意度</w:t>
            </w:r>
          </w:p>
        </w:tc>
        <w:tc>
          <w:tcPr>
            <w:tcW w:w="1683" w:type="dxa"/>
          </w:tcPr>
          <w:p>
            <w:pPr>
              <w:pStyle w:val="13"/>
              <w:spacing w:before="152" w:line="237" w:lineRule="auto"/>
              <w:ind w:left="639"/>
              <w:rPr>
                <w:rFonts w:hint="eastAsia"/>
                <w:sz w:val="20"/>
                <w:szCs w:val="20"/>
              </w:rPr>
            </w:pPr>
            <w:r>
              <w:rPr>
                <w:rFonts w:hint="eastAsia"/>
                <w:spacing w:val="-5"/>
                <w:sz w:val="20"/>
                <w:szCs w:val="20"/>
              </w:rPr>
              <w:t>≥</w:t>
            </w:r>
            <w:r>
              <w:rPr>
                <w:rFonts w:hint="eastAsia"/>
                <w:spacing w:val="-5"/>
                <w:sz w:val="20"/>
                <w:szCs w:val="20"/>
                <w:lang w:eastAsia="zh-CN"/>
              </w:rPr>
              <w:t>9</w:t>
            </w:r>
            <w:r>
              <w:rPr>
                <w:rFonts w:hint="eastAsia"/>
                <w:spacing w:val="-5"/>
                <w:sz w:val="20"/>
                <w:szCs w:val="20"/>
              </w:rPr>
              <w:t>0%</w:t>
            </w:r>
          </w:p>
        </w:tc>
      </w:tr>
    </w:tbl>
    <w:p>
      <w:pPr>
        <w:spacing w:line="219" w:lineRule="auto"/>
        <w:outlineLvl w:val="0"/>
        <w:rPr>
          <w:rFonts w:eastAsia="宋体"/>
          <w:b/>
          <w:bCs/>
          <w:spacing w:val="2"/>
          <w:sz w:val="22"/>
          <w:szCs w:val="22"/>
        </w:rPr>
      </w:pPr>
    </w:p>
    <w:p>
      <w:pPr>
        <w:rPr>
          <w:rFonts w:ascii="Times New Roman" w:hAnsi="Times New Roman" w:eastAsia="楷体"/>
          <w:b/>
          <w:bCs/>
          <w:sz w:val="32"/>
          <w:szCs w:val="36"/>
        </w:rPr>
      </w:pPr>
      <w:r>
        <w:rPr>
          <w:rFonts w:ascii="Times New Roman" w:hAnsi="Times New Roman" w:eastAsia="楷体"/>
          <w:b/>
          <w:bCs/>
          <w:sz w:val="32"/>
          <w:szCs w:val="36"/>
        </w:rPr>
        <w:br w:type="page"/>
      </w:r>
    </w:p>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6"/>
        </w:rPr>
        <w:t>（二）</w:t>
      </w:r>
      <w:r>
        <w:rPr>
          <w:rFonts w:ascii="Times New Roman" w:hAnsi="Times New Roman" w:eastAsia="楷体"/>
          <w:b/>
          <w:bCs/>
          <w:sz w:val="32"/>
          <w:szCs w:val="32"/>
        </w:rPr>
        <w:t>自治区</w:t>
      </w:r>
      <w:r>
        <w:rPr>
          <w:rFonts w:ascii="Times New Roman" w:hAnsi="Times New Roman" w:eastAsia="楷体"/>
          <w:b/>
          <w:bCs/>
          <w:sz w:val="32"/>
          <w:szCs w:val="36"/>
        </w:rPr>
        <w:t>分解下达预算和</w:t>
      </w:r>
      <w:r>
        <w:rPr>
          <w:rFonts w:ascii="Times New Roman" w:hAnsi="Times New Roman" w:eastAsia="楷体"/>
          <w:b/>
          <w:bCs/>
          <w:sz w:val="32"/>
          <w:szCs w:val="32"/>
        </w:rPr>
        <w:t>绩效目标情况</w:t>
      </w:r>
    </w:p>
    <w:p>
      <w:pPr>
        <w:pStyle w:val="10"/>
        <w:spacing w:after="0" w:line="560" w:lineRule="exact"/>
        <w:ind w:left="0" w:leftChars="0" w:firstLine="643"/>
        <w:rPr>
          <w:rFonts w:ascii="Times New Roman" w:hAnsi="Times New Roman"/>
        </w:rPr>
      </w:pPr>
      <w:r>
        <w:rPr>
          <w:rFonts w:ascii="Times New Roman" w:hAnsi="Times New Roman" w:eastAsia="楷体"/>
          <w:b/>
          <w:bCs/>
          <w:sz w:val="32"/>
          <w:szCs w:val="32"/>
        </w:rPr>
        <w:t>1.</w:t>
      </w:r>
      <w:r>
        <w:rPr>
          <w:rFonts w:hint="eastAsia" w:ascii="Times New Roman" w:hAnsi="Times New Roman" w:eastAsia="楷体"/>
          <w:b/>
          <w:bCs/>
          <w:sz w:val="32"/>
          <w:szCs w:val="32"/>
          <w:lang w:val="en-US" w:eastAsia="zh-CN"/>
        </w:rPr>
        <w:t>自治区</w:t>
      </w:r>
      <w:r>
        <w:rPr>
          <w:rFonts w:ascii="Times New Roman" w:hAnsi="Times New Roman" w:eastAsia="楷体"/>
          <w:b/>
          <w:bCs/>
          <w:sz w:val="32"/>
          <w:szCs w:val="32"/>
        </w:rPr>
        <w:t>分解下达预算情况</w:t>
      </w:r>
    </w:p>
    <w:p>
      <w:pPr>
        <w:pStyle w:val="10"/>
        <w:spacing w:line="560" w:lineRule="exact"/>
        <w:ind w:left="0" w:leftChars="0" w:firstLine="640"/>
        <w:rPr>
          <w:rFonts w:ascii="Times New Roman" w:hAnsi="Times New Roman"/>
          <w:sz w:val="32"/>
          <w:szCs w:val="32"/>
        </w:rPr>
      </w:pPr>
      <w:r>
        <w:rPr>
          <w:rFonts w:hint="eastAsia" w:ascii="Times New Roman" w:hAnsi="Times New Roman"/>
          <w:sz w:val="32"/>
          <w:szCs w:val="32"/>
        </w:rPr>
        <w:t>2023年12月《</w:t>
      </w:r>
      <w:r>
        <w:rPr>
          <w:rFonts w:ascii="Times New Roman" w:hAnsi="Times New Roman"/>
          <w:sz w:val="32"/>
          <w:szCs w:val="32"/>
        </w:rPr>
        <w:t>关于提前下达2024年农业生态资源保护资金预算的通知</w:t>
      </w:r>
      <w:r>
        <w:rPr>
          <w:rFonts w:hint="eastAsia" w:ascii="Times New Roman" w:hAnsi="Times New Roman"/>
          <w:sz w:val="32"/>
          <w:szCs w:val="32"/>
        </w:rPr>
        <w:t>》</w:t>
      </w:r>
      <w:r>
        <w:rPr>
          <w:rFonts w:ascii="Times New Roman" w:hAnsi="Times New Roman"/>
          <w:sz w:val="32"/>
          <w:szCs w:val="32"/>
        </w:rPr>
        <w:t>（新财农〔2023〕93号</w:t>
      </w:r>
      <w:r>
        <w:rPr>
          <w:rFonts w:hint="eastAsia" w:ascii="Times New Roman" w:hAnsi="Times New Roman"/>
          <w:sz w:val="32"/>
          <w:szCs w:val="32"/>
        </w:rPr>
        <w:t>）下达</w:t>
      </w:r>
      <w:r>
        <w:rPr>
          <w:rFonts w:ascii="Times New Roman" w:hAnsi="Times New Roman"/>
          <w:sz w:val="32"/>
          <w:szCs w:val="32"/>
        </w:rPr>
        <w:t>资金</w:t>
      </w:r>
      <w:r>
        <w:rPr>
          <w:rFonts w:hint="eastAsia" w:ascii="Times New Roman" w:hAnsi="Times New Roman"/>
          <w:sz w:val="32"/>
          <w:szCs w:val="32"/>
        </w:rPr>
        <w:t>247726</w:t>
      </w:r>
      <w:r>
        <w:rPr>
          <w:rFonts w:ascii="Times New Roman" w:hAnsi="Times New Roman"/>
          <w:sz w:val="32"/>
          <w:szCs w:val="32"/>
        </w:rPr>
        <w:t>万元。</w:t>
      </w:r>
    </w:p>
    <w:p>
      <w:pPr>
        <w:pStyle w:val="10"/>
        <w:spacing w:line="560" w:lineRule="exact"/>
        <w:ind w:left="0" w:leftChars="0" w:firstLine="640"/>
        <w:rPr>
          <w:rFonts w:hint="eastAsia" w:ascii="Times New Roman" w:hAnsi="Times New Roman"/>
          <w:sz w:val="32"/>
          <w:szCs w:val="32"/>
          <w:lang w:eastAsia="zh-CN"/>
        </w:rPr>
      </w:pPr>
      <w:r>
        <w:rPr>
          <w:rFonts w:hint="eastAsia" w:ascii="Times New Roman" w:hAnsi="Times New Roman" w:eastAsia="仿宋_GB2312"/>
          <w:sz w:val="32"/>
          <w:szCs w:val="32"/>
        </w:rPr>
        <w:t>2024年5月《关于下达2024年农业生态资源保护资金预算的通知》（新财农〔2024〕33号）下达</w:t>
      </w:r>
      <w:r>
        <w:rPr>
          <w:rFonts w:ascii="Times New Roman" w:hAnsi="Times New Roman" w:eastAsia="仿宋_GB2312"/>
          <w:sz w:val="32"/>
          <w:szCs w:val="32"/>
        </w:rPr>
        <w:t>资金</w:t>
      </w:r>
      <w:r>
        <w:rPr>
          <w:rFonts w:hint="eastAsia" w:ascii="Times New Roman" w:hAnsi="Times New Roman"/>
          <w:sz w:val="32"/>
          <w:szCs w:val="32"/>
        </w:rPr>
        <w:t>46079</w:t>
      </w:r>
      <w:r>
        <w:rPr>
          <w:rFonts w:ascii="Times New Roman" w:hAnsi="Times New Roman"/>
          <w:sz w:val="32"/>
          <w:szCs w:val="32"/>
        </w:rPr>
        <w:t>万元</w:t>
      </w:r>
      <w:r>
        <w:rPr>
          <w:rFonts w:hint="eastAsia" w:ascii="Times New Roman" w:hAnsi="Times New Roman"/>
          <w:sz w:val="32"/>
          <w:szCs w:val="32"/>
          <w:lang w:eastAsia="zh-CN"/>
        </w:rPr>
        <w:t>。</w:t>
      </w:r>
    </w:p>
    <w:p>
      <w:pPr>
        <w:pStyle w:val="10"/>
        <w:spacing w:line="560" w:lineRule="exact"/>
        <w:ind w:left="0" w:leftChars="0" w:firstLine="640"/>
        <w:rPr>
          <w:rFonts w:ascii="Times New Roman" w:hAnsi="Times New Roman"/>
          <w:sz w:val="32"/>
          <w:szCs w:val="32"/>
        </w:rPr>
      </w:pPr>
      <w:r>
        <w:rPr>
          <w:rFonts w:hint="eastAsia" w:ascii="Times New Roman" w:hAnsi="Times New Roman"/>
          <w:sz w:val="32"/>
          <w:szCs w:val="32"/>
          <w:lang w:val="en-US" w:eastAsia="zh-CN"/>
        </w:rPr>
        <w:t>根据新财农随文下达2024年农业生态资源保护资金合计共293805万元。</w:t>
      </w:r>
      <w:r>
        <w:rPr>
          <w:rFonts w:ascii="Times New Roman" w:hAnsi="Times New Roman"/>
          <w:sz w:val="32"/>
          <w:szCs w:val="32"/>
        </w:rPr>
        <w:t>资金分解情况详见下表：</w:t>
      </w:r>
    </w:p>
    <w:p>
      <w:pPr>
        <w:pStyle w:val="15"/>
        <w:ind w:firstLine="441" w:firstLineChars="200"/>
        <w:jc w:val="center"/>
        <w:rPr>
          <w:rFonts w:ascii="Times New Roman" w:hAnsi="Times New Roman"/>
          <w:b/>
          <w:bCs/>
          <w:sz w:val="22"/>
        </w:rPr>
      </w:pPr>
      <w:r>
        <w:rPr>
          <w:rFonts w:ascii="Times New Roman" w:hAnsi="Times New Roman"/>
          <w:b/>
          <w:bCs/>
          <w:sz w:val="22"/>
        </w:rPr>
        <w:t>202</w:t>
      </w:r>
      <w:r>
        <w:rPr>
          <w:rFonts w:hint="eastAsia" w:ascii="Times New Roman" w:hAnsi="Times New Roman"/>
          <w:b/>
          <w:bCs/>
          <w:sz w:val="22"/>
        </w:rPr>
        <w:t>4</w:t>
      </w:r>
      <w:r>
        <w:rPr>
          <w:rFonts w:ascii="Times New Roman" w:hAnsi="Times New Roman"/>
          <w:b/>
          <w:bCs/>
          <w:sz w:val="22"/>
        </w:rPr>
        <w:t>年农业生态资源保护资金分配表</w:t>
      </w:r>
    </w:p>
    <w:p>
      <w:pPr>
        <w:pStyle w:val="15"/>
        <w:ind w:firstLine="441" w:firstLineChars="200"/>
        <w:jc w:val="right"/>
        <w:rPr>
          <w:rFonts w:ascii="Times New Roman" w:hAnsi="Times New Roman"/>
          <w:b/>
          <w:bCs/>
          <w:sz w:val="22"/>
        </w:rPr>
      </w:pPr>
      <w:r>
        <w:rPr>
          <w:rFonts w:ascii="Times New Roman" w:hAnsi="Times New Roman"/>
          <w:b/>
          <w:bCs/>
          <w:sz w:val="22"/>
        </w:rPr>
        <w:t xml:space="preserve">  单位：万元</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367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val="en-US" w:eastAsia="zh-CN" w:bidi="ar"/>
              </w:rPr>
              <w:t>序号</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val="en-US" w:eastAsia="zh-CN" w:bidi="ar"/>
              </w:rPr>
              <w:t>地州、县市</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仿宋_GB2312" w:hAnsi="仿宋_GB2312" w:eastAsia="仿宋_GB2312" w:cs="仿宋_GB2312"/>
                <w:b/>
                <w:bCs/>
                <w:color w:val="000000"/>
                <w:kern w:val="0"/>
                <w:sz w:val="20"/>
                <w:szCs w:val="20"/>
                <w:lang w:val="en-US" w:eastAsia="zh-CN" w:bidi="ar"/>
              </w:rPr>
              <w:t>分配资金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val="en-US" w:eastAsia="zh-CN" w:bidi="ar"/>
              </w:rPr>
              <w:t>合计</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293805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乌鲁木齐市</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2</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伊犁州直</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24960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3</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塔城地区</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29536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4</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阿勒泰地区</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37675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5</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克拉玛依市</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6</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博州</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7</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昌吉州</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31642.5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8</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哈密市</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9</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吐鲁番市</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10</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巴州</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40649.5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11</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阿克苏地区</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32753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12</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克州</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16537.5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13</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喀什地区</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19067.5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14</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和田地区</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14078.5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val="0"/>
                <w:bCs w:val="0"/>
                <w:color w:val="000000"/>
                <w:kern w:val="0"/>
                <w:sz w:val="20"/>
                <w:szCs w:val="20"/>
                <w:lang w:bidi="ar"/>
              </w:rPr>
            </w:pPr>
            <w:r>
              <w:rPr>
                <w:rFonts w:hint="eastAsia" w:ascii="黑体" w:hAnsi="宋体" w:eastAsia="黑体" w:cs="黑体"/>
                <w:b w:val="0"/>
                <w:bCs w:val="0"/>
                <w:color w:val="000000"/>
                <w:kern w:val="0"/>
                <w:sz w:val="20"/>
                <w:szCs w:val="20"/>
                <w:lang w:val="en-US" w:eastAsia="zh-CN" w:bidi="ar"/>
              </w:rPr>
              <w:t>15</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000000"/>
                <w:kern w:val="0"/>
                <w:sz w:val="20"/>
                <w:szCs w:val="20"/>
                <w:lang w:bidi="ar"/>
              </w:rPr>
            </w:pPr>
            <w:r>
              <w:rPr>
                <w:rFonts w:hint="eastAsia" w:ascii="仿宋_GB2312" w:hAnsi="仿宋_GB2312" w:eastAsia="仿宋_GB2312" w:cs="仿宋_GB2312"/>
                <w:b w:val="0"/>
                <w:bCs w:val="0"/>
                <w:color w:val="000000"/>
                <w:kern w:val="0"/>
                <w:sz w:val="20"/>
                <w:szCs w:val="20"/>
                <w:lang w:val="en-US" w:eastAsia="zh-CN" w:bidi="ar"/>
              </w:rPr>
              <w:t>自治区水产科学研究所</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val="en-US" w:eastAsia="zh-CN" w:bidi="ar"/>
              </w:rPr>
              <w:t>140</w:t>
            </w:r>
          </w:p>
        </w:tc>
      </w:tr>
    </w:tbl>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2.自治区分解下达绩效目标情况如下</w:t>
      </w:r>
    </w:p>
    <w:p>
      <w:pPr>
        <w:pStyle w:val="15"/>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根据自治区财政厅下达的资金文件确定的绩效目标，结合脱贫县涉农资金整合情况，对县（市）资金的分配主要根据任务的特点进行合理的安排，根据</w:t>
      </w:r>
      <w:r>
        <w:rPr>
          <w:rFonts w:hint="eastAsia" w:ascii="Times New Roman" w:hAnsi="Times New Roman" w:eastAsia="仿宋_GB2312"/>
          <w:sz w:val="32"/>
          <w:szCs w:val="32"/>
        </w:rPr>
        <w:t>《关于下达2024年农业生态资源保护资金预算的通知》（新财农〔2024〕33号）</w:t>
      </w:r>
      <w:r>
        <w:rPr>
          <w:rFonts w:ascii="Times New Roman" w:hAnsi="Times New Roman" w:eastAsia="仿宋_GB2312"/>
          <w:sz w:val="32"/>
          <w:szCs w:val="32"/>
        </w:rPr>
        <w:t>，绩效目标详见下表</w:t>
      </w:r>
      <w:r>
        <w:rPr>
          <w:rFonts w:hint="eastAsia" w:ascii="Times New Roman" w:hAnsi="Times New Roman" w:eastAsia="仿宋_GB2312"/>
          <w:sz w:val="32"/>
          <w:szCs w:val="32"/>
        </w:rPr>
        <w:t>（2024农业生态资源保护区域绩效目标）</w:t>
      </w:r>
      <w:r>
        <w:rPr>
          <w:rFonts w:ascii="Times New Roman" w:hAnsi="Times New Roman" w:eastAsia="仿宋_GB2312"/>
          <w:sz w:val="32"/>
          <w:szCs w:val="32"/>
        </w:rPr>
        <w:t>：</w:t>
      </w:r>
    </w:p>
    <w:p>
      <w:pPr>
        <w:rPr>
          <w:sz w:val="32"/>
          <w:szCs w:val="32"/>
        </w:rPr>
        <w:sectPr>
          <w:pgSz w:w="11906" w:h="16838"/>
          <w:pgMar w:top="1440" w:right="1800" w:bottom="1440" w:left="1800" w:header="851" w:footer="992" w:gutter="0"/>
          <w:cols w:space="425" w:num="1"/>
          <w:docGrid w:type="lines" w:linePitch="312" w:charSpace="0"/>
        </w:sectPr>
      </w:pPr>
      <w:r>
        <w:rPr>
          <w:sz w:val="32"/>
          <w:szCs w:val="32"/>
        </w:rPr>
        <w:br w:type="page"/>
      </w:r>
    </w:p>
    <w:tbl>
      <w:tblPr>
        <w:tblStyle w:val="11"/>
        <w:tblpPr w:leftFromText="180" w:rightFromText="180" w:vertAnchor="text" w:horzAnchor="page" w:tblpXSpec="center" w:tblpY="540"/>
        <w:tblOverlap w:val="never"/>
        <w:tblW w:w="15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27"/>
        <w:gridCol w:w="425"/>
        <w:gridCol w:w="845"/>
        <w:gridCol w:w="764"/>
        <w:gridCol w:w="760"/>
        <w:gridCol w:w="759"/>
        <w:gridCol w:w="766"/>
        <w:gridCol w:w="815"/>
        <w:gridCol w:w="881"/>
        <w:gridCol w:w="736"/>
        <w:gridCol w:w="773"/>
        <w:gridCol w:w="881"/>
        <w:gridCol w:w="757"/>
        <w:gridCol w:w="776"/>
        <w:gridCol w:w="796"/>
        <w:gridCol w:w="779"/>
        <w:gridCol w:w="759"/>
        <w:gridCol w:w="750"/>
        <w:gridCol w:w="750"/>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488" w:type="dxa"/>
            <w:gridSpan w:val="21"/>
            <w:tcBorders>
              <w:top w:val="nil"/>
              <w:left w:val="nil"/>
              <w:bottom w:val="single" w:color="auto" w:sz="4" w:space="0"/>
              <w:right w:val="nil"/>
            </w:tcBorders>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hint="eastAsia" w:ascii="仿宋_GB2312" w:hAnsi="仿宋_GB2312" w:eastAsia="仿宋_GB2312" w:cs="仿宋_GB2312"/>
                <w:b/>
                <w:bCs/>
                <w:color w:val="000000"/>
                <w:kern w:val="0"/>
                <w:sz w:val="22"/>
                <w:szCs w:val="22"/>
                <w:lang w:bidi="ar"/>
              </w:rPr>
              <w:t>2024农业生态资源保护区域绩效目标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69" w:type="dxa"/>
            <w:gridSpan w:val="2"/>
            <w:tcBorders>
              <w:top w:val="single" w:color="auto" w:sz="4" w:space="0"/>
            </w:tcBorders>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13"/>
                <w:szCs w:val="13"/>
                <w:lang w:bidi="ar"/>
              </w:rPr>
              <w:t>资金名称</w:t>
            </w:r>
          </w:p>
        </w:tc>
        <w:tc>
          <w:tcPr>
            <w:tcW w:w="2034" w:type="dxa"/>
            <w:gridSpan w:val="3"/>
            <w:tcBorders>
              <w:top w:val="single" w:color="auto" w:sz="4" w:space="0"/>
            </w:tcBorders>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13"/>
                <w:szCs w:val="13"/>
                <w:lang w:bidi="ar"/>
              </w:rPr>
              <w:t>中央农业生态资源保护资金（全年总表）</w:t>
            </w:r>
          </w:p>
        </w:tc>
        <w:tc>
          <w:tcPr>
            <w:tcW w:w="760" w:type="dxa"/>
            <w:tcBorders>
              <w:top w:val="single" w:color="auto" w:sz="4" w:space="0"/>
            </w:tcBorders>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13"/>
                <w:szCs w:val="13"/>
                <w:lang w:bidi="ar"/>
              </w:rPr>
              <w:t>全区总绩效 目标</w:t>
            </w:r>
          </w:p>
        </w:tc>
        <w:tc>
          <w:tcPr>
            <w:tcW w:w="11625" w:type="dxa"/>
            <w:gridSpan w:val="15"/>
            <w:tcBorders>
              <w:top w:val="single" w:color="auto" w:sz="4" w:space="0"/>
            </w:tcBorders>
            <w:shd w:val="clear" w:color="auto" w:fill="auto"/>
            <w:noWrap/>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13"/>
                <w:szCs w:val="13"/>
                <w:lang w:bidi="ar"/>
              </w:rPr>
              <w:t>分区域绩效目标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69" w:type="dxa"/>
            <w:gridSpan w:val="2"/>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中央主管部门</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财政部、农业农村部</w:t>
            </w:r>
          </w:p>
        </w:tc>
        <w:tc>
          <w:tcPr>
            <w:tcW w:w="760" w:type="dxa"/>
            <w:vMerge w:val="restart"/>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合计</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乌鲁木齐市</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伊犁州直</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塔城地区</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阿勒泰地区</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克拉玛依市</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博州</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昌吉州</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哈密市</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吐鲁番市</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巴州</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阿克苏地区</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克州</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喀什地区</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和田地区</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69" w:type="dxa"/>
            <w:gridSpan w:val="2"/>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省级财政部门</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新疆维吾尔自治区财政厅</w:t>
            </w:r>
          </w:p>
        </w:tc>
        <w:tc>
          <w:tcPr>
            <w:tcW w:w="760"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10978" w:type="dxa"/>
            <w:gridSpan w:val="14"/>
            <w:vMerge w:val="restart"/>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各地州市财政局、农业农村局</w:t>
            </w:r>
          </w:p>
        </w:tc>
        <w:tc>
          <w:tcPr>
            <w:tcW w:w="647" w:type="dxa"/>
            <w:vMerge w:val="restart"/>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69" w:type="dxa"/>
            <w:gridSpan w:val="2"/>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省级主管部门</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新疆维吾尔自治区农业农村厅（自治区畜牧兽医局）</w:t>
            </w:r>
          </w:p>
        </w:tc>
        <w:tc>
          <w:tcPr>
            <w:tcW w:w="760"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10978" w:type="dxa"/>
            <w:gridSpan w:val="14"/>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资金情况 （万元）</w:t>
            </w:r>
          </w:p>
        </w:tc>
        <w:tc>
          <w:tcPr>
            <w:tcW w:w="527"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年度金额：</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293805</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293805</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8075</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24960</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29536</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37675</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1342.5</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13850</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31642.5</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16980</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6518</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40649.5</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32753</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16537.5</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19067.5</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14078.5</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其中：中央补助</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293805</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293805</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8075</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24960</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29536</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37675</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1342.5</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13850</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31642.5</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16980</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6518</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40649.5</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32753</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16537.5</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19067.5</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14078.5</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 xml:space="preserve">     地方资金</w:t>
            </w:r>
          </w:p>
        </w:tc>
        <w:tc>
          <w:tcPr>
            <w:tcW w:w="2034" w:type="dxa"/>
            <w:gridSpan w:val="3"/>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年度目标</w:t>
            </w:r>
          </w:p>
        </w:tc>
        <w:tc>
          <w:tcPr>
            <w:tcW w:w="2561" w:type="dxa"/>
            <w:gridSpan w:val="4"/>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1.推进地膜科学使用回收;</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2561" w:type="dxa"/>
            <w:gridSpan w:val="4"/>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2.促进农作物秸秆综合利用;</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2561" w:type="dxa"/>
            <w:gridSpan w:val="4"/>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3.实施草原禁牧补助与草畜平衡奖励；</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2561" w:type="dxa"/>
            <w:gridSpan w:val="4"/>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4支持渔业资源保护。</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绩效指标</w:t>
            </w:r>
          </w:p>
        </w:tc>
        <w:tc>
          <w:tcPr>
            <w:tcW w:w="527"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一级指标</w:t>
            </w:r>
          </w:p>
        </w:tc>
        <w:tc>
          <w:tcPr>
            <w:tcW w:w="425"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二级指标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三级指标</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指标值</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w:t>
            </w: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6</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7</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w:t>
            </w: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11</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12</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14</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产出指标</w:t>
            </w:r>
          </w:p>
        </w:tc>
        <w:tc>
          <w:tcPr>
            <w:tcW w:w="425"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数量指标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地膜科学使用回收推广面积（万亩）</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1135</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1135</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13</w:t>
            </w: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19</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44</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23</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107</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85</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30</w:t>
            </w: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w:t>
            </w: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106</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460</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180</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59</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建设秸秆综合利用重点县（个）</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6</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12</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经济物种增殖放流数量（万尾）</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820</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820</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95</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380</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20</w:t>
            </w: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45</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20</w:t>
            </w: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20</w:t>
            </w: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170</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20</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50</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珍稀濒危物种增殖放流数量（万尾）</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240</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240</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203</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6</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放流濒危鱼类的标记数量（万尾）</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质量指标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项目区农膜处置率</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6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815"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73"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881"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9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7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≥83%</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重点县秸秆综合利用率</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r>
              <w:rPr>
                <w:rFonts w:hint="eastAsia" w:ascii="宋体" w:hAnsi="宋体" w:eastAsia="宋体" w:cs="宋体"/>
                <w:color w:val="000000"/>
                <w:kern w:val="0"/>
                <w:sz w:val="13"/>
                <w:szCs w:val="13"/>
                <w:lang w:bidi="ar"/>
              </w:rPr>
              <w:t>比</w:t>
            </w:r>
            <w:r>
              <w:rPr>
                <w:rFonts w:ascii="宋体" w:hAnsi="宋体" w:eastAsia="宋体" w:cs="宋体"/>
                <w:color w:val="000000"/>
                <w:kern w:val="0"/>
                <w:sz w:val="13"/>
                <w:szCs w:val="13"/>
                <w:lang w:bidi="ar"/>
              </w:rPr>
              <w:t>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3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5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76"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59"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≥90%2023</w:t>
            </w:r>
            <w:r>
              <w:rPr>
                <w:rFonts w:hint="eastAsia" w:ascii="宋体" w:hAnsi="宋体" w:eastAsia="宋体" w:cs="宋体"/>
                <w:color w:val="000000"/>
                <w:kern w:val="0"/>
                <w:sz w:val="13"/>
                <w:szCs w:val="13"/>
                <w:lang w:bidi="ar"/>
              </w:rPr>
              <w:t>年提高</w:t>
            </w:r>
            <w:r>
              <w:rPr>
                <w:rFonts w:ascii="宋体" w:hAnsi="宋体" w:eastAsia="宋体" w:cs="宋体"/>
                <w:color w:val="000000"/>
                <w:kern w:val="0"/>
                <w:sz w:val="13"/>
                <w:szCs w:val="13"/>
                <w:lang w:bidi="ar"/>
              </w:rPr>
              <w:t>5</w:t>
            </w:r>
            <w:r>
              <w:rPr>
                <w:rFonts w:hint="eastAsia" w:ascii="宋体" w:hAnsi="宋体" w:eastAsia="宋体" w:cs="宋体"/>
                <w:color w:val="000000"/>
                <w:kern w:val="0"/>
                <w:sz w:val="13"/>
                <w:szCs w:val="13"/>
                <w:lang w:bidi="ar"/>
              </w:rPr>
              <w:t>个百分点</w:t>
            </w:r>
          </w:p>
        </w:tc>
        <w:tc>
          <w:tcPr>
            <w:tcW w:w="750"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时效指标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草原生态保护补助资金发放到位时间</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9月30日前</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w:t>
            </w:r>
            <w:r>
              <w:rPr>
                <w:rFonts w:hint="eastAsia" w:ascii="宋体" w:hAnsi="宋体" w:eastAsia="宋体" w:cs="宋体"/>
                <w:color w:val="000000"/>
                <w:kern w:val="0"/>
                <w:sz w:val="13"/>
                <w:szCs w:val="13"/>
                <w:lang w:bidi="ar"/>
              </w:rPr>
              <w:t>月</w:t>
            </w:r>
            <w:r>
              <w:rPr>
                <w:rFonts w:ascii="宋体" w:hAnsi="宋体" w:eastAsia="宋体" w:cs="宋体"/>
                <w:color w:val="000000"/>
                <w:kern w:val="0"/>
                <w:sz w:val="13"/>
                <w:szCs w:val="13"/>
                <w:lang w:bidi="ar"/>
              </w:rPr>
              <w:t>30</w:t>
            </w:r>
            <w:r>
              <w:rPr>
                <w:rFonts w:hint="eastAsia" w:ascii="宋体" w:hAnsi="宋体" w:eastAsia="宋体" w:cs="宋体"/>
                <w:color w:val="000000"/>
                <w:kern w:val="0"/>
                <w:sz w:val="13"/>
                <w:szCs w:val="13"/>
                <w:lang w:bidi="ar"/>
              </w:rPr>
              <w:t>日前</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效益指标</w:t>
            </w:r>
          </w:p>
        </w:tc>
        <w:tc>
          <w:tcPr>
            <w:tcW w:w="425"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社会效益指标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资金使用重大违规违纪问题</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无</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生态效益指标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重要经济物种放流资源贡献率（%）</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≥2%</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可持续影响指标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天然草原生产能力</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有所提高</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满意度指标</w:t>
            </w:r>
          </w:p>
        </w:tc>
        <w:tc>
          <w:tcPr>
            <w:tcW w:w="425" w:type="dxa"/>
            <w:vMerge w:val="restart"/>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r>
              <w:rPr>
                <w:rFonts w:ascii="宋体" w:hAnsi="宋体" w:eastAsia="宋体" w:cs="宋体"/>
                <w:b/>
                <w:bCs/>
                <w:color w:val="000000"/>
                <w:kern w:val="0"/>
                <w:sz w:val="13"/>
                <w:szCs w:val="13"/>
                <w:lang w:bidi="ar"/>
              </w:rPr>
              <w:t>服务对象满意度指标</w:t>
            </w: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农牧民对草原禁牧补助和草畜平衡奖励政策实施的满意度（%）</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647" w:type="dxa"/>
            <w:shd w:val="clear" w:color="auto" w:fill="auto"/>
            <w:noWrap/>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2"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527" w:type="dxa"/>
            <w:vMerge w:val="continue"/>
            <w:shd w:val="clear" w:color="auto" w:fill="auto"/>
            <w:vAlign w:val="center"/>
          </w:tcPr>
          <w:p>
            <w:pPr>
              <w:widowControl/>
              <w:spacing w:line="0" w:lineRule="atLeast"/>
              <w:jc w:val="center"/>
              <w:textAlignment w:val="center"/>
              <w:rPr>
                <w:rFonts w:hint="eastAsia" w:ascii="宋体" w:hAnsi="宋体" w:eastAsia="宋体" w:cs="宋体"/>
                <w:b/>
                <w:bCs/>
                <w:color w:val="000000"/>
                <w:kern w:val="0"/>
                <w:sz w:val="13"/>
                <w:szCs w:val="13"/>
                <w:lang w:bidi="ar"/>
              </w:rPr>
            </w:pPr>
          </w:p>
        </w:tc>
        <w:tc>
          <w:tcPr>
            <w:tcW w:w="425" w:type="dxa"/>
            <w:vMerge w:val="continue"/>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4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增殖放流区域内抽样调查满意度（%）</w:t>
            </w:r>
          </w:p>
        </w:tc>
        <w:tc>
          <w:tcPr>
            <w:tcW w:w="764"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6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76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815"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3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3"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p>
        </w:tc>
        <w:tc>
          <w:tcPr>
            <w:tcW w:w="881"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96"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7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9"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750"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c>
          <w:tcPr>
            <w:tcW w:w="647" w:type="dxa"/>
            <w:shd w:val="clear" w:color="auto" w:fill="auto"/>
            <w:vAlign w:val="center"/>
          </w:tcPr>
          <w:p>
            <w:pPr>
              <w:widowControl/>
              <w:spacing w:line="0" w:lineRule="atLeast"/>
              <w:jc w:val="center"/>
              <w:textAlignment w:val="center"/>
              <w:rPr>
                <w:rFonts w:hint="eastAsia" w:ascii="宋体" w:hAnsi="宋体" w:eastAsia="宋体" w:cs="宋体"/>
                <w:color w:val="000000"/>
                <w:kern w:val="0"/>
                <w:sz w:val="13"/>
                <w:szCs w:val="13"/>
                <w:lang w:bidi="ar"/>
              </w:rPr>
            </w:pPr>
            <w:r>
              <w:rPr>
                <w:rFonts w:ascii="宋体" w:hAnsi="宋体" w:eastAsia="宋体" w:cs="宋体"/>
                <w:color w:val="000000"/>
                <w:kern w:val="0"/>
                <w:sz w:val="13"/>
                <w:szCs w:val="13"/>
                <w:lang w:bidi="ar"/>
              </w:rPr>
              <w:t>≥90%</w:t>
            </w:r>
          </w:p>
        </w:tc>
      </w:tr>
    </w:tbl>
    <w:p>
      <w:pPr>
        <w:pStyle w:val="15"/>
        <w:spacing w:line="560" w:lineRule="exact"/>
        <w:ind w:firstLine="441" w:firstLineChars="200"/>
        <w:jc w:val="center"/>
        <w:rPr>
          <w:rFonts w:ascii="Times New Roman" w:hAnsi="Times New Roman" w:eastAsia="仿宋_GB2312"/>
          <w:b/>
          <w:bCs/>
          <w:sz w:val="22"/>
        </w:rPr>
        <w:sectPr>
          <w:pgSz w:w="16838" w:h="11906" w:orient="landscape"/>
          <w:pgMar w:top="1860" w:right="873" w:bottom="1803" w:left="873" w:header="851" w:footer="992" w:gutter="0"/>
          <w:cols w:space="0" w:num="1"/>
          <w:docGrid w:type="lines" w:linePitch="312" w:charSpace="0"/>
        </w:sectPr>
      </w:pPr>
    </w:p>
    <w:p>
      <w:pPr>
        <w:spacing w:line="560" w:lineRule="exact"/>
        <w:ind w:firstLine="640" w:firstLineChars="200"/>
        <w:rPr>
          <w:rFonts w:eastAsia="黑体"/>
          <w:bCs/>
          <w:sz w:val="32"/>
          <w:szCs w:val="32"/>
        </w:rPr>
      </w:pPr>
      <w:r>
        <w:rPr>
          <w:rFonts w:eastAsia="黑体"/>
          <w:bCs/>
          <w:sz w:val="32"/>
          <w:szCs w:val="32"/>
        </w:rPr>
        <w:t>二、绩效目标完成情况分析</w:t>
      </w:r>
    </w:p>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（一）资金投入情况分析</w:t>
      </w:r>
    </w:p>
    <w:p>
      <w:pPr>
        <w:pStyle w:val="10"/>
        <w:spacing w:after="0" w:line="560" w:lineRule="exact"/>
        <w:ind w:left="0" w:leftChars="0" w:firstLine="640"/>
        <w:rPr>
          <w:rFonts w:ascii="Times New Roman" w:hAnsi="Times New Roman"/>
          <w:b/>
          <w:bCs/>
          <w:sz w:val="32"/>
          <w:szCs w:val="32"/>
        </w:rPr>
      </w:pPr>
      <w:r>
        <w:rPr>
          <w:rFonts w:ascii="Times New Roman" w:hAnsi="Times New Roman"/>
          <w:b/>
          <w:bCs/>
          <w:sz w:val="32"/>
          <w:szCs w:val="32"/>
        </w:rPr>
        <w:t>1.项目资金到位情况分析</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年度中央下达农业生态资源保护</w:t>
      </w:r>
      <w:r>
        <w:rPr>
          <w:rFonts w:hint="eastAsia" w:ascii="Times New Roman" w:hAnsi="Times New Roman"/>
          <w:sz w:val="32"/>
          <w:szCs w:val="32"/>
        </w:rPr>
        <w:t>资金共计293805</w:t>
      </w:r>
      <w:r>
        <w:rPr>
          <w:rFonts w:ascii="Times New Roman" w:hAnsi="Times New Roman"/>
          <w:sz w:val="32"/>
          <w:szCs w:val="32"/>
        </w:rPr>
        <w:t>万元，资金到位</w:t>
      </w:r>
      <w:r>
        <w:rPr>
          <w:rFonts w:hint="eastAsia" w:ascii="Times New Roman" w:hAnsi="Times New Roman"/>
          <w:sz w:val="32"/>
          <w:szCs w:val="32"/>
        </w:rPr>
        <w:t>293805</w:t>
      </w:r>
      <w:r>
        <w:rPr>
          <w:rFonts w:ascii="Times New Roman" w:hAnsi="Times New Roman"/>
          <w:sz w:val="32"/>
          <w:szCs w:val="32"/>
        </w:rPr>
        <w:t>万元，到位率</w:t>
      </w:r>
      <w:r>
        <w:rPr>
          <w:rFonts w:hint="eastAsia" w:ascii="Times New Roman" w:hAnsi="Times New Roman"/>
          <w:sz w:val="32"/>
          <w:szCs w:val="32"/>
        </w:rPr>
        <w:t>100</w:t>
      </w:r>
      <w:r>
        <w:rPr>
          <w:rFonts w:ascii="Times New Roman" w:hAnsi="Times New Roman"/>
          <w:sz w:val="32"/>
          <w:szCs w:val="32"/>
        </w:rPr>
        <w:t>%，</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其中</w:t>
      </w:r>
      <w:r>
        <w:rPr>
          <w:rFonts w:hint="eastAsia" w:ascii="Times New Roman" w:hAnsi="Times New Roman"/>
          <w:sz w:val="32"/>
          <w:szCs w:val="32"/>
        </w:rPr>
        <w:t>：2023年11月《财政部关于提前下达2024年农业相关转移支付资金预算的通知》（财农〔2023〕87号）下达247726万元。2024年4月《财政部关于下达2024年农业生态资源保护资金预算的通知》（财农〔2024〕15号）下达46079万元。</w:t>
      </w:r>
    </w:p>
    <w:p>
      <w:pPr>
        <w:pStyle w:val="10"/>
        <w:spacing w:after="0" w:line="560" w:lineRule="exact"/>
        <w:ind w:left="0" w:leftChars="0" w:firstLine="640"/>
        <w:rPr>
          <w:rFonts w:ascii="Times New Roman" w:hAnsi="Times New Roman"/>
          <w:b/>
          <w:bCs/>
          <w:sz w:val="32"/>
          <w:szCs w:val="32"/>
        </w:rPr>
      </w:pPr>
      <w:r>
        <w:rPr>
          <w:rFonts w:ascii="Times New Roman" w:hAnsi="Times New Roman"/>
          <w:b/>
          <w:bCs/>
          <w:sz w:val="32"/>
          <w:szCs w:val="32"/>
        </w:rPr>
        <w:t>2.项目资金执行情况分析</w:t>
      </w:r>
    </w:p>
    <w:p>
      <w:pPr>
        <w:pStyle w:val="10"/>
        <w:adjustRightInd w:val="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年度下达农业生态资源保护资金总计</w:t>
      </w:r>
      <w:r>
        <w:rPr>
          <w:rFonts w:hint="eastAsia" w:ascii="Times New Roman" w:hAnsi="Times New Roman"/>
          <w:sz w:val="32"/>
          <w:szCs w:val="32"/>
        </w:rPr>
        <w:t>293805</w:t>
      </w:r>
      <w:r>
        <w:rPr>
          <w:rFonts w:ascii="Times New Roman" w:hAnsi="Times New Roman"/>
          <w:sz w:val="32"/>
          <w:szCs w:val="32"/>
        </w:rPr>
        <w:t>万元</w:t>
      </w:r>
      <w:r>
        <w:rPr>
          <w:rFonts w:hint="eastAsia" w:ascii="Times New Roman" w:hAnsi="Times New Roman"/>
          <w:sz w:val="32"/>
          <w:szCs w:val="32"/>
        </w:rPr>
        <w:t>，</w:t>
      </w:r>
      <w:r>
        <w:rPr>
          <w:rFonts w:ascii="Times New Roman" w:hAnsi="Times New Roman"/>
          <w:sz w:val="32"/>
          <w:szCs w:val="32"/>
        </w:rPr>
        <w:t>截至202</w:t>
      </w:r>
      <w:r>
        <w:rPr>
          <w:rFonts w:hint="eastAsia" w:ascii="Times New Roman" w:hAnsi="Times New Roman"/>
          <w:sz w:val="32"/>
          <w:szCs w:val="32"/>
        </w:rPr>
        <w:t>4</w:t>
      </w:r>
      <w:r>
        <w:rPr>
          <w:rFonts w:ascii="Times New Roman" w:hAnsi="Times New Roman"/>
          <w:sz w:val="32"/>
          <w:szCs w:val="32"/>
        </w:rPr>
        <w:t>年12月31日，</w:t>
      </w:r>
      <w:r>
        <w:rPr>
          <w:rFonts w:hint="eastAsia" w:ascii="Times New Roman" w:hAnsi="Times New Roman"/>
          <w:sz w:val="32"/>
          <w:szCs w:val="32"/>
        </w:rPr>
        <w:t>资金执行261203.13</w:t>
      </w:r>
      <w:r>
        <w:rPr>
          <w:rFonts w:ascii="Times New Roman" w:hAnsi="Times New Roman"/>
          <w:sz w:val="32"/>
          <w:szCs w:val="32"/>
        </w:rPr>
        <w:t>万元</w:t>
      </w:r>
      <w:r>
        <w:rPr>
          <w:rFonts w:hint="eastAsia" w:ascii="Times New Roman" w:hAnsi="Times New Roman"/>
          <w:sz w:val="32"/>
          <w:szCs w:val="32"/>
        </w:rPr>
        <w:t>，资金执行率88.90%。</w:t>
      </w:r>
      <w:r>
        <w:rPr>
          <w:rFonts w:hint="eastAsia" w:ascii="Times New Roman" w:hAnsi="Times New Roman"/>
          <w:sz w:val="32"/>
          <w:szCs w:val="32"/>
          <w:lang w:val="en-US" w:eastAsia="zh-CN"/>
        </w:rPr>
        <w:t>自治区及各地州</w:t>
      </w:r>
      <w:r>
        <w:rPr>
          <w:rFonts w:ascii="Times New Roman" w:hAnsi="Times New Roman"/>
          <w:sz w:val="32"/>
          <w:szCs w:val="32"/>
        </w:rPr>
        <w:t>资金执行情况详见下表：</w:t>
      </w:r>
    </w:p>
    <w:p>
      <w:pPr>
        <w:pStyle w:val="15"/>
        <w:ind w:firstLine="441" w:firstLineChars="200"/>
        <w:jc w:val="center"/>
        <w:rPr>
          <w:rFonts w:ascii="Times New Roman" w:hAnsi="Times New Roman" w:eastAsia="宋体"/>
          <w:b/>
          <w:bCs/>
          <w:sz w:val="22"/>
        </w:rPr>
      </w:pPr>
      <w:r>
        <w:rPr>
          <w:rFonts w:ascii="Times New Roman" w:hAnsi="Times New Roman" w:eastAsia="宋体"/>
          <w:b/>
          <w:bCs/>
          <w:sz w:val="22"/>
        </w:rPr>
        <w:t>202</w:t>
      </w:r>
      <w:r>
        <w:rPr>
          <w:rFonts w:hint="eastAsia" w:ascii="Times New Roman" w:hAnsi="Times New Roman" w:eastAsia="宋体"/>
          <w:b/>
          <w:bCs/>
          <w:sz w:val="22"/>
        </w:rPr>
        <w:t>4</w:t>
      </w:r>
      <w:r>
        <w:rPr>
          <w:rFonts w:ascii="Times New Roman" w:hAnsi="Times New Roman" w:eastAsia="宋体"/>
          <w:b/>
          <w:bCs/>
          <w:sz w:val="22"/>
        </w:rPr>
        <w:t>年</w:t>
      </w:r>
      <w:r>
        <w:rPr>
          <w:rFonts w:hint="eastAsia" w:ascii="Times New Roman" w:hAnsi="Times New Roman" w:eastAsia="宋体"/>
          <w:b/>
          <w:bCs/>
          <w:sz w:val="22"/>
        </w:rPr>
        <w:t>农业生态资源保护资金</w:t>
      </w:r>
      <w:r>
        <w:rPr>
          <w:rFonts w:hint="eastAsia" w:ascii="Times New Roman" w:hAnsi="Times New Roman"/>
          <w:b/>
          <w:bCs/>
          <w:sz w:val="22"/>
          <w:lang w:val="en-US" w:eastAsia="zh-CN"/>
        </w:rPr>
        <w:t>自治区及</w:t>
      </w:r>
      <w:r>
        <w:rPr>
          <w:rFonts w:ascii="Times New Roman" w:hAnsi="Times New Roman" w:eastAsia="宋体"/>
          <w:b/>
          <w:bCs/>
          <w:sz w:val="22"/>
        </w:rPr>
        <w:t>各地州资金执行情况表</w:t>
      </w:r>
    </w:p>
    <w:p>
      <w:pPr>
        <w:pStyle w:val="15"/>
        <w:ind w:firstLine="441" w:firstLineChars="200"/>
        <w:jc w:val="right"/>
        <w:rPr>
          <w:rFonts w:ascii="Times New Roman" w:hAnsi="Times New Roman"/>
          <w:b/>
          <w:bCs/>
          <w:sz w:val="24"/>
        </w:rPr>
      </w:pPr>
      <w:r>
        <w:rPr>
          <w:rFonts w:ascii="Times New Roman" w:hAnsi="Times New Roman" w:eastAsia="宋体"/>
          <w:b/>
          <w:bCs/>
          <w:sz w:val="22"/>
        </w:rPr>
        <w:t xml:space="preserve">  单位：万元</w:t>
      </w:r>
    </w:p>
    <w:tbl>
      <w:tblPr>
        <w:tblStyle w:val="11"/>
        <w:tblW w:w="5000" w:type="pct"/>
        <w:tblInd w:w="0" w:type="dxa"/>
        <w:tblLayout w:type="autofit"/>
        <w:tblCellMar>
          <w:top w:w="0" w:type="dxa"/>
          <w:left w:w="108" w:type="dxa"/>
          <w:bottom w:w="0" w:type="dxa"/>
          <w:right w:w="108" w:type="dxa"/>
        </w:tblCellMar>
      </w:tblPr>
      <w:tblGrid>
        <w:gridCol w:w="1410"/>
        <w:gridCol w:w="2092"/>
        <w:gridCol w:w="1698"/>
        <w:gridCol w:w="1725"/>
        <w:gridCol w:w="1597"/>
      </w:tblGrid>
      <w:tr>
        <w:tblPrEx>
          <w:tblCellMar>
            <w:top w:w="0" w:type="dxa"/>
            <w:left w:w="108" w:type="dxa"/>
            <w:bottom w:w="0" w:type="dxa"/>
            <w:right w:w="108" w:type="dxa"/>
          </w:tblCellMar>
        </w:tblPrEx>
        <w:trPr>
          <w:trHeight w:val="2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22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地区/县市</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分配金额</w:t>
            </w:r>
          </w:p>
        </w:tc>
        <w:tc>
          <w:tcPr>
            <w:tcW w:w="10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执行数</w:t>
            </w:r>
          </w:p>
        </w:tc>
        <w:tc>
          <w:tcPr>
            <w:tcW w:w="9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执行率</w:t>
            </w:r>
          </w:p>
        </w:tc>
      </w:tr>
      <w:tr>
        <w:tblPrEx>
          <w:tblCellMar>
            <w:top w:w="0" w:type="dxa"/>
            <w:left w:w="108" w:type="dxa"/>
            <w:bottom w:w="0" w:type="dxa"/>
            <w:right w:w="108" w:type="dxa"/>
          </w:tblCellMar>
        </w:tblPrEx>
        <w:trPr>
          <w:trHeight w:val="270" w:hRule="atLeast"/>
        </w:trPr>
        <w:tc>
          <w:tcPr>
            <w:tcW w:w="20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293805</w:t>
            </w:r>
          </w:p>
        </w:tc>
        <w:tc>
          <w:tcPr>
            <w:tcW w:w="101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261203.13</w:t>
            </w:r>
          </w:p>
        </w:tc>
        <w:tc>
          <w:tcPr>
            <w:tcW w:w="93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88.90%</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伊犁州</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24960</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23870.52</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95.64%</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塔城地区</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29536</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27549.68</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93.27%</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阿勒泰地区</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37675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35398.21</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93.96%</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昌吉州</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31642.5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29284.55</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92.55%</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乌鲁木齐市</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8075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7094.94</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87.86%</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克拉玛依市</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1342.5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1336.49</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99.55%</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博州</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13850</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12015.18</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86.75%</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吐鲁番市</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6518</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6267.05</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96.15%</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哈密市</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16980</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16561.32</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97.53%</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巴州</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40649.5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36010.97</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88.59%</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阿克苏地区</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32753</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22704.36</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69.32%</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克州</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16537.5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16454.29</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99.50%</w:t>
            </w:r>
          </w:p>
        </w:tc>
      </w:tr>
      <w:tr>
        <w:tblPrEx>
          <w:tblCellMar>
            <w:top w:w="0" w:type="dxa"/>
            <w:left w:w="108" w:type="dxa"/>
            <w:bottom w:w="0" w:type="dxa"/>
            <w:right w:w="108" w:type="dxa"/>
          </w:tblCellMar>
        </w:tblPrEx>
        <w:trPr>
          <w:trHeight w:val="270" w:hRule="atLeast"/>
        </w:trPr>
        <w:tc>
          <w:tcPr>
            <w:tcW w:w="8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22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喀什地区</w:t>
            </w:r>
          </w:p>
        </w:tc>
        <w:tc>
          <w:tcPr>
            <w:tcW w:w="99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19067.5</w:t>
            </w:r>
          </w:p>
        </w:tc>
        <w:tc>
          <w:tcPr>
            <w:tcW w:w="10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14471.34</w:t>
            </w:r>
          </w:p>
        </w:tc>
        <w:tc>
          <w:tcPr>
            <w:tcW w:w="93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75.90%</w:t>
            </w:r>
          </w:p>
        </w:tc>
      </w:tr>
      <w:tr>
        <w:tblPrEx>
          <w:tblCellMar>
            <w:top w:w="0" w:type="dxa"/>
            <w:left w:w="108" w:type="dxa"/>
            <w:bottom w:w="0" w:type="dxa"/>
            <w:right w:w="108" w:type="dxa"/>
          </w:tblCellMar>
        </w:tblPrEx>
        <w:trPr>
          <w:trHeight w:val="2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和田地区</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14078.5</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12044.35</w:t>
            </w:r>
          </w:p>
        </w:tc>
        <w:tc>
          <w:tcPr>
            <w:tcW w:w="9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85.55%</w:t>
            </w:r>
          </w:p>
        </w:tc>
      </w:tr>
      <w:tr>
        <w:tblPrEx>
          <w:tblCellMar>
            <w:top w:w="0" w:type="dxa"/>
            <w:left w:w="108" w:type="dxa"/>
            <w:bottom w:w="0" w:type="dxa"/>
            <w:right w:w="108" w:type="dxa"/>
          </w:tblCellMar>
        </w:tblPrEx>
        <w:trPr>
          <w:trHeight w:val="2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1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cs="宋体"/>
                <w:kern w:val="0"/>
                <w:sz w:val="20"/>
                <w:szCs w:val="20"/>
                <w:lang w:val="en-US" w:eastAsia="zh-CN"/>
              </w:rPr>
              <w:t>自治区本级</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140</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139.89</w:t>
            </w:r>
          </w:p>
        </w:tc>
        <w:tc>
          <w:tcPr>
            <w:tcW w:w="9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99.92%</w:t>
            </w:r>
          </w:p>
        </w:tc>
      </w:tr>
    </w:tbl>
    <w:p>
      <w:pPr>
        <w:spacing w:line="560" w:lineRule="exact"/>
        <w:ind w:firstLine="642" w:firstLineChars="200"/>
        <w:rPr>
          <w:b/>
          <w:bCs/>
          <w:sz w:val="32"/>
          <w:szCs w:val="32"/>
        </w:rPr>
      </w:pPr>
      <w:r>
        <w:rPr>
          <w:b/>
          <w:bCs/>
          <w:sz w:val="32"/>
          <w:szCs w:val="32"/>
        </w:rPr>
        <w:t>（二）项目资金管理情况分析</w:t>
      </w:r>
    </w:p>
    <w:p>
      <w:pPr>
        <w:spacing w:line="560" w:lineRule="exact"/>
        <w:ind w:firstLine="640" w:firstLineChars="200"/>
        <w:rPr>
          <w:rFonts w:hint="default"/>
          <w:sz w:val="32"/>
          <w:szCs w:val="32"/>
          <w:shd w:val="clear" w:color="auto" w:fill="FFFFFF"/>
          <w:lang w:val="en-US" w:eastAsia="zh-CN"/>
        </w:rPr>
      </w:pPr>
      <w:r>
        <w:rPr>
          <w:rFonts w:hint="eastAsia"/>
          <w:sz w:val="32"/>
          <w:szCs w:val="32"/>
          <w:shd w:val="clear" w:color="auto" w:fill="FFFFFF"/>
          <w:lang w:val="en-US" w:eastAsia="zh-CN"/>
        </w:rPr>
        <w:t>按照</w:t>
      </w:r>
      <w:r>
        <w:rPr>
          <w:sz w:val="32"/>
          <w:szCs w:val="32"/>
          <w:shd w:val="clear" w:color="auto" w:fill="FFFFFF"/>
        </w:rPr>
        <w:t>按照《财政厅农业农村厅关于印发&lt;新疆维吾尔自治区</w:t>
      </w:r>
      <w:r>
        <w:rPr>
          <w:rFonts w:hint="eastAsia"/>
          <w:sz w:val="32"/>
          <w:szCs w:val="32"/>
          <w:shd w:val="clear" w:color="auto" w:fill="FFFFFF"/>
        </w:rPr>
        <w:t>中央</w:t>
      </w:r>
      <w:r>
        <w:rPr>
          <w:sz w:val="32"/>
          <w:szCs w:val="32"/>
          <w:shd w:val="clear" w:color="auto" w:fill="FFFFFF"/>
        </w:rPr>
        <w:t>农业资源及生态保护补助资金管理实施细则&gt;的通知》</w:t>
      </w:r>
      <w:r>
        <w:rPr>
          <w:rFonts w:hint="eastAsia"/>
          <w:sz w:val="32"/>
          <w:szCs w:val="32"/>
          <w:shd w:val="clear" w:color="auto" w:fill="FFFFFF"/>
        </w:rPr>
        <w:t>（</w:t>
      </w:r>
      <w:r>
        <w:rPr>
          <w:sz w:val="32"/>
          <w:szCs w:val="32"/>
          <w:shd w:val="clear" w:color="auto" w:fill="FFFFFF"/>
        </w:rPr>
        <w:t>新财规〔2020〕16号）</w:t>
      </w:r>
      <w:r>
        <w:rPr>
          <w:rFonts w:hint="eastAsia"/>
          <w:sz w:val="32"/>
          <w:szCs w:val="32"/>
          <w:shd w:val="clear" w:color="auto" w:fill="FFFFFF"/>
          <w:lang w:val="en-US" w:eastAsia="zh-CN"/>
        </w:rPr>
        <w:t>要求，农业资源及生态保护补助资金实行“大专项+任务清单”管理方式。任务清单主要包括农业资源及生态保护补助资金支持的年度重点工作、支持方向、具体任务指标等，与资金预算同步下达。下达预算时可明确约束性任务对应资金额度。各地在完成约束性任务的前提下，可根据当地发展需要，区分轻重缓急，在农业资源及生态保护补助资金专项内调剂使用资金，并全面落实预算信息公开的要求。总体来看，本项目资金的整体管理水平，做到了专款专用、及时拨付、规范支付，保障中央农业生态资源保护资金支付需求，确保中央农业生态资源保护项目顺利实施。</w:t>
      </w:r>
    </w:p>
    <w:p>
      <w:pPr>
        <w:spacing w:line="560" w:lineRule="exact"/>
        <w:ind w:firstLine="642" w:firstLineChars="200"/>
        <w:rPr>
          <w:sz w:val="32"/>
          <w:szCs w:val="32"/>
        </w:rPr>
      </w:pPr>
      <w:r>
        <w:rPr>
          <w:b/>
          <w:bCs/>
          <w:sz w:val="32"/>
          <w:szCs w:val="32"/>
        </w:rPr>
        <w:t>1.资金分配科学性：</w:t>
      </w:r>
      <w:r>
        <w:rPr>
          <w:sz w:val="32"/>
          <w:szCs w:val="32"/>
          <w:shd w:val="clear" w:color="auto" w:fill="FFFFFF"/>
        </w:rPr>
        <w:t>按照《财政厅农业农村厅关于印发&lt;新疆维吾尔自治区</w:t>
      </w:r>
      <w:r>
        <w:rPr>
          <w:rFonts w:hint="eastAsia"/>
          <w:sz w:val="32"/>
          <w:szCs w:val="32"/>
          <w:shd w:val="clear" w:color="auto" w:fill="FFFFFF"/>
        </w:rPr>
        <w:t>中央</w:t>
      </w:r>
      <w:r>
        <w:rPr>
          <w:sz w:val="32"/>
          <w:szCs w:val="32"/>
          <w:shd w:val="clear" w:color="auto" w:fill="FFFFFF"/>
        </w:rPr>
        <w:t>农业资源及生态保护补助资金管理实施细则&gt;的通知》</w:t>
      </w:r>
      <w:r>
        <w:rPr>
          <w:rFonts w:hint="eastAsia"/>
          <w:sz w:val="32"/>
          <w:szCs w:val="32"/>
          <w:shd w:val="clear" w:color="auto" w:fill="FFFFFF"/>
        </w:rPr>
        <w:t>（</w:t>
      </w:r>
      <w:r>
        <w:rPr>
          <w:sz w:val="32"/>
          <w:szCs w:val="32"/>
          <w:shd w:val="clear" w:color="auto" w:fill="FFFFFF"/>
        </w:rPr>
        <w:t>新财规〔2020〕16号），</w:t>
      </w:r>
      <w:r>
        <w:rPr>
          <w:sz w:val="32"/>
          <w:szCs w:val="32"/>
        </w:rPr>
        <w:t>自治区农业农村厅会同自治区财政厅根据中央下达我区年度绩效任务目标，按照任务量与资金相匹配的原则，合理测算各地州任务完成能力，分解我区整体绩效任务。</w:t>
      </w:r>
      <w:r>
        <w:rPr>
          <w:sz w:val="32"/>
          <w:szCs w:val="32"/>
          <w:shd w:val="clear" w:color="auto" w:fill="FFFFFF"/>
        </w:rPr>
        <w:t>根据各地</w:t>
      </w:r>
      <w:r>
        <w:rPr>
          <w:rFonts w:hint="eastAsia"/>
          <w:sz w:val="32"/>
          <w:szCs w:val="32"/>
          <w:shd w:val="clear" w:color="auto" w:fill="FFFFFF"/>
        </w:rPr>
        <w:t>（</w:t>
      </w:r>
      <w:r>
        <w:rPr>
          <w:sz w:val="32"/>
          <w:szCs w:val="32"/>
          <w:shd w:val="clear" w:color="auto" w:fill="FFFFFF"/>
        </w:rPr>
        <w:t>州</w:t>
      </w:r>
      <w:r>
        <w:rPr>
          <w:rFonts w:hint="eastAsia"/>
          <w:sz w:val="32"/>
          <w:szCs w:val="32"/>
          <w:shd w:val="clear" w:color="auto" w:fill="FFFFFF"/>
        </w:rPr>
        <w:t>、市）</w:t>
      </w:r>
      <w:r>
        <w:rPr>
          <w:sz w:val="32"/>
          <w:szCs w:val="32"/>
          <w:shd w:val="clear" w:color="auto" w:fill="FFFFFF"/>
        </w:rPr>
        <w:t>任务指标合理分配，对照资金分配使用需要达到的目标、任务、效果等，明确实施主体必须完成哪些绩效指标、约束指标、硬性指标分配资金。</w:t>
      </w:r>
      <w:r>
        <w:rPr>
          <w:rFonts w:hint="eastAsia"/>
          <w:sz w:val="32"/>
          <w:szCs w:val="32"/>
          <w:shd w:val="clear" w:color="auto" w:fill="FFFFFF"/>
        </w:rPr>
        <w:t>新疆</w:t>
      </w:r>
      <w:r>
        <w:rPr>
          <w:sz w:val="32"/>
          <w:szCs w:val="32"/>
          <w:shd w:val="clear" w:color="auto" w:fill="FFFFFF"/>
        </w:rPr>
        <w:t>农业资源及生态保护补助资金</w:t>
      </w:r>
      <w:r>
        <w:rPr>
          <w:rFonts w:hint="eastAsia"/>
          <w:sz w:val="32"/>
          <w:szCs w:val="32"/>
          <w:shd w:val="clear" w:color="auto" w:fill="FFFFFF"/>
        </w:rPr>
        <w:t>分配额度合理，资金分配依据充分</w:t>
      </w:r>
      <w:r>
        <w:rPr>
          <w:sz w:val="32"/>
          <w:szCs w:val="32"/>
        </w:rPr>
        <w:t>。</w:t>
      </w:r>
    </w:p>
    <w:p>
      <w:pPr>
        <w:spacing w:line="560" w:lineRule="exact"/>
        <w:ind w:firstLine="642" w:firstLineChars="200"/>
        <w:rPr>
          <w:sz w:val="32"/>
          <w:szCs w:val="32"/>
        </w:rPr>
      </w:pPr>
      <w:r>
        <w:rPr>
          <w:b/>
          <w:bCs/>
          <w:sz w:val="32"/>
          <w:szCs w:val="32"/>
        </w:rPr>
        <w:t>2.资金下达及时性：</w:t>
      </w:r>
      <w:r>
        <w:rPr>
          <w:sz w:val="32"/>
          <w:szCs w:val="32"/>
          <w:shd w:val="clear" w:color="auto" w:fill="FFFFFF"/>
        </w:rPr>
        <w:t>202</w:t>
      </w:r>
      <w:r>
        <w:rPr>
          <w:rFonts w:hint="eastAsia"/>
          <w:sz w:val="32"/>
          <w:szCs w:val="32"/>
          <w:shd w:val="clear" w:color="auto" w:fill="FFFFFF"/>
        </w:rPr>
        <w:t>4</w:t>
      </w:r>
      <w:r>
        <w:rPr>
          <w:sz w:val="32"/>
          <w:szCs w:val="32"/>
          <w:shd w:val="clear" w:color="auto" w:fill="FFFFFF"/>
        </w:rPr>
        <w:t>年度，中央财政分两批下达我区农业生态资源保护资金，第一批资金于202</w:t>
      </w:r>
      <w:r>
        <w:rPr>
          <w:rFonts w:hint="eastAsia"/>
          <w:sz w:val="32"/>
          <w:szCs w:val="32"/>
          <w:shd w:val="clear" w:color="auto" w:fill="FFFFFF"/>
        </w:rPr>
        <w:t>3</w:t>
      </w:r>
      <w:r>
        <w:rPr>
          <w:sz w:val="32"/>
          <w:szCs w:val="32"/>
          <w:shd w:val="clear" w:color="auto" w:fill="FFFFFF"/>
        </w:rPr>
        <w:t>年</w:t>
      </w:r>
      <w:r>
        <w:rPr>
          <w:rFonts w:hint="eastAsia"/>
          <w:sz w:val="32"/>
          <w:szCs w:val="32"/>
          <w:shd w:val="clear" w:color="auto" w:fill="FFFFFF"/>
        </w:rPr>
        <w:t>11</w:t>
      </w:r>
      <w:r>
        <w:rPr>
          <w:sz w:val="32"/>
          <w:szCs w:val="32"/>
          <w:shd w:val="clear" w:color="auto" w:fill="FFFFFF"/>
        </w:rPr>
        <w:t>月</w:t>
      </w:r>
      <w:r>
        <w:rPr>
          <w:rFonts w:hint="eastAsia"/>
          <w:sz w:val="32"/>
          <w:szCs w:val="32"/>
          <w:shd w:val="clear" w:color="auto" w:fill="FFFFFF"/>
          <w:lang w:eastAsia="zh-CN"/>
        </w:rPr>
        <w:t>《</w:t>
      </w:r>
      <w:r>
        <w:rPr>
          <w:rFonts w:hint="eastAsia"/>
          <w:sz w:val="32"/>
          <w:szCs w:val="32"/>
          <w:shd w:val="clear" w:color="auto" w:fill="FFFFFF"/>
        </w:rPr>
        <w:t>财政部关于提前下达2024年农业相关转移支付资金预算的通知</w:t>
      </w:r>
      <w:r>
        <w:rPr>
          <w:rFonts w:hint="eastAsia"/>
          <w:sz w:val="32"/>
          <w:szCs w:val="32"/>
          <w:shd w:val="clear" w:color="auto" w:fill="FFFFFF"/>
          <w:lang w:eastAsia="zh-CN"/>
        </w:rPr>
        <w:t>》</w:t>
      </w:r>
      <w:r>
        <w:rPr>
          <w:rFonts w:hint="eastAsia"/>
          <w:sz w:val="32"/>
          <w:szCs w:val="32"/>
          <w:shd w:val="clear" w:color="auto" w:fill="FFFFFF"/>
        </w:rPr>
        <w:t>（财农〔2023〕87号</w:t>
      </w:r>
      <w:r>
        <w:rPr>
          <w:rFonts w:hint="eastAsia"/>
          <w:sz w:val="32"/>
          <w:szCs w:val="32"/>
          <w:shd w:val="clear" w:color="auto" w:fill="FFFFFF"/>
          <w:lang w:val="en-US" w:eastAsia="zh-CN"/>
        </w:rPr>
        <w:t>随文</w:t>
      </w:r>
      <w:r>
        <w:rPr>
          <w:rFonts w:hint="eastAsia"/>
          <w:sz w:val="32"/>
          <w:szCs w:val="32"/>
          <w:shd w:val="clear" w:color="auto" w:fill="FFFFFF"/>
        </w:rPr>
        <w:t>提前</w:t>
      </w:r>
      <w:r>
        <w:rPr>
          <w:sz w:val="32"/>
          <w:szCs w:val="32"/>
          <w:shd w:val="clear" w:color="auto" w:fill="FFFFFF"/>
        </w:rPr>
        <w:t>下达，第二批资金于202</w:t>
      </w:r>
      <w:r>
        <w:rPr>
          <w:rFonts w:hint="eastAsia"/>
          <w:sz w:val="32"/>
          <w:szCs w:val="32"/>
          <w:shd w:val="clear" w:color="auto" w:fill="FFFFFF"/>
        </w:rPr>
        <w:t>4</w:t>
      </w:r>
      <w:r>
        <w:rPr>
          <w:sz w:val="32"/>
          <w:szCs w:val="32"/>
          <w:shd w:val="clear" w:color="auto" w:fill="FFFFFF"/>
        </w:rPr>
        <w:t>年</w:t>
      </w:r>
      <w:r>
        <w:rPr>
          <w:rFonts w:hint="eastAsia"/>
          <w:sz w:val="32"/>
          <w:szCs w:val="32"/>
          <w:shd w:val="clear" w:color="auto" w:fill="FFFFFF"/>
        </w:rPr>
        <w:t>4</w:t>
      </w:r>
      <w:r>
        <w:rPr>
          <w:sz w:val="32"/>
          <w:szCs w:val="32"/>
          <w:shd w:val="clear" w:color="auto" w:fill="FFFFFF"/>
        </w:rPr>
        <w:t>月</w:t>
      </w:r>
      <w:r>
        <w:rPr>
          <w:rFonts w:hint="eastAsia"/>
          <w:sz w:val="32"/>
          <w:szCs w:val="32"/>
          <w:shd w:val="clear" w:color="auto" w:fill="FFFFFF"/>
          <w:lang w:eastAsia="zh-CN"/>
        </w:rPr>
        <w:t>《</w:t>
      </w:r>
      <w:r>
        <w:rPr>
          <w:rFonts w:hint="eastAsia"/>
          <w:sz w:val="32"/>
          <w:szCs w:val="32"/>
          <w:shd w:val="clear" w:color="auto" w:fill="FFFFFF"/>
        </w:rPr>
        <w:t>财政部关于下达2024年农业生态资源保护资金预算的通知</w:t>
      </w:r>
      <w:r>
        <w:rPr>
          <w:rFonts w:hint="eastAsia"/>
          <w:sz w:val="32"/>
          <w:szCs w:val="32"/>
          <w:shd w:val="clear" w:color="auto" w:fill="FFFFFF"/>
          <w:lang w:eastAsia="zh-CN"/>
        </w:rPr>
        <w:t>》</w:t>
      </w:r>
      <w:r>
        <w:rPr>
          <w:rFonts w:hint="eastAsia"/>
          <w:sz w:val="32"/>
          <w:szCs w:val="32"/>
          <w:shd w:val="clear" w:color="auto" w:fill="FFFFFF"/>
        </w:rPr>
        <w:t>（财农〔2024〕15号</w:t>
      </w:r>
      <w:r>
        <w:rPr>
          <w:rFonts w:hint="eastAsia"/>
          <w:sz w:val="32"/>
          <w:szCs w:val="32"/>
          <w:shd w:val="clear" w:color="auto" w:fill="FFFFFF"/>
          <w:lang w:val="en-US" w:eastAsia="zh-CN"/>
        </w:rPr>
        <w:t>随文</w:t>
      </w:r>
      <w:r>
        <w:rPr>
          <w:sz w:val="32"/>
          <w:szCs w:val="32"/>
          <w:shd w:val="clear" w:color="auto" w:fill="FFFFFF"/>
        </w:rPr>
        <w:t>下达。根据财政部、农业</w:t>
      </w:r>
      <w:r>
        <w:rPr>
          <w:rFonts w:hint="eastAsia"/>
          <w:sz w:val="32"/>
          <w:szCs w:val="32"/>
          <w:shd w:val="clear" w:color="auto" w:fill="FFFFFF"/>
        </w:rPr>
        <w:t>农村</w:t>
      </w:r>
      <w:r>
        <w:rPr>
          <w:sz w:val="32"/>
          <w:szCs w:val="32"/>
          <w:shd w:val="clear" w:color="auto" w:fill="FFFFFF"/>
        </w:rPr>
        <w:t>部有关要求，农业农村厅收到资金文件后，在规定时限内（30日内），按管理办法规定提出具体资金分配方案，经厅党组审议同意后，正式行文报财政厅申请下达资金</w:t>
      </w:r>
      <w:r>
        <w:rPr>
          <w:rFonts w:hint="eastAsia"/>
          <w:sz w:val="32"/>
          <w:szCs w:val="32"/>
          <w:shd w:val="clear" w:color="auto" w:fill="FFFFFF"/>
        </w:rPr>
        <w:t>。</w:t>
      </w:r>
      <w:r>
        <w:rPr>
          <w:sz w:val="32"/>
          <w:szCs w:val="32"/>
        </w:rPr>
        <w:t>专项资金及时拨付至各地县市，</w:t>
      </w:r>
      <w:r>
        <w:rPr>
          <w:kern w:val="0"/>
          <w:sz w:val="32"/>
          <w:szCs w:val="32"/>
          <w:lang w:bidi="ar"/>
        </w:rPr>
        <w:t>资金分解下达及时</w:t>
      </w:r>
      <w:r>
        <w:rPr>
          <w:rFonts w:hint="eastAsia"/>
          <w:kern w:val="0"/>
          <w:sz w:val="32"/>
          <w:szCs w:val="32"/>
          <w:lang w:bidi="ar"/>
        </w:rPr>
        <w:t>。</w:t>
      </w:r>
    </w:p>
    <w:p>
      <w:pPr>
        <w:spacing w:line="560" w:lineRule="exact"/>
        <w:ind w:firstLine="642" w:firstLineChars="200"/>
        <w:rPr>
          <w:sz w:val="32"/>
          <w:szCs w:val="32"/>
        </w:rPr>
      </w:pPr>
      <w:r>
        <w:rPr>
          <w:b/>
          <w:bCs/>
          <w:sz w:val="32"/>
          <w:szCs w:val="32"/>
        </w:rPr>
        <w:t>3.资金拨付合规性：</w:t>
      </w:r>
      <w:r>
        <w:rPr>
          <w:spacing w:val="-2"/>
          <w:sz w:val="32"/>
          <w:szCs w:val="32"/>
        </w:rPr>
        <w:t>按照《财政部农业农村部关于修订农业相关转移支付资金管理办法的通知》</w:t>
      </w:r>
      <w:r>
        <w:rPr>
          <w:rFonts w:hint="eastAsia"/>
          <w:spacing w:val="-2"/>
          <w:sz w:val="32"/>
          <w:szCs w:val="32"/>
        </w:rPr>
        <w:t>（</w:t>
      </w:r>
      <w:r>
        <w:rPr>
          <w:spacing w:val="-2"/>
          <w:sz w:val="32"/>
          <w:szCs w:val="32"/>
        </w:rPr>
        <w:t>财农〔2022〕25号）文件的“第三章资金分配和预算下达”要求，严格按照国库集中支付制度有关规定支付资金，未出现违规将资金从国库转入财政专户或支付到预算单位实有资金账户等问题</w:t>
      </w:r>
      <w:r>
        <w:rPr>
          <w:rFonts w:hint="eastAsia"/>
          <w:spacing w:val="-2"/>
          <w:sz w:val="32"/>
          <w:szCs w:val="32"/>
        </w:rPr>
        <w:t>。</w:t>
      </w:r>
    </w:p>
    <w:p>
      <w:pPr>
        <w:spacing w:line="560" w:lineRule="exact"/>
        <w:ind w:firstLine="642" w:firstLineChars="200"/>
        <w:rPr>
          <w:rFonts w:hint="eastAsia" w:eastAsia="仿宋_GB2312"/>
          <w:sz w:val="32"/>
          <w:szCs w:val="32"/>
          <w:lang w:eastAsia="zh-CN"/>
        </w:rPr>
      </w:pPr>
      <w:r>
        <w:rPr>
          <w:b/>
          <w:bCs/>
          <w:sz w:val="32"/>
          <w:szCs w:val="32"/>
        </w:rPr>
        <w:t>4.资金使用规范性：</w:t>
      </w:r>
      <w:r>
        <w:rPr>
          <w:sz w:val="32"/>
          <w:szCs w:val="32"/>
        </w:rPr>
        <w:t>项目严格</w:t>
      </w:r>
      <w:r>
        <w:rPr>
          <w:rFonts w:hint="eastAsia"/>
          <w:sz w:val="32"/>
          <w:szCs w:val="32"/>
        </w:rPr>
        <w:t>按照</w:t>
      </w:r>
      <w:r>
        <w:rPr>
          <w:sz w:val="32"/>
          <w:szCs w:val="32"/>
        </w:rPr>
        <w:t>《财政部农业农村部关于修订农业相关转移支付资金管理办法的通知》（财农〔2022〕25号）等文件要求，建立资金使用台账，加强资金监管，</w:t>
      </w:r>
      <w:r>
        <w:rPr>
          <w:rFonts w:hint="eastAsia"/>
          <w:sz w:val="32"/>
          <w:szCs w:val="32"/>
        </w:rPr>
        <w:t>实行统筹管理、专项核算、专职会计。坚持实事求是的原则，严格执行财务制度，做到原始凭证齐全，财务手续健全，账目核算规范。草原生态保护补助奖励政策资金全部用于草原禁牧补助和草畜平衡奖励</w:t>
      </w:r>
      <w:r>
        <w:rPr>
          <w:rFonts w:hint="eastAsia"/>
          <w:sz w:val="32"/>
          <w:szCs w:val="32"/>
          <w:lang w:eastAsia="zh-CN"/>
        </w:rPr>
        <w:t>，</w:t>
      </w:r>
      <w:r>
        <w:rPr>
          <w:rFonts w:hint="eastAsia"/>
          <w:sz w:val="32"/>
          <w:szCs w:val="32"/>
        </w:rPr>
        <w:t>着重做好项目资金专款专储专用，杜绝任何形式的资金占用。大部分项目能够按照规定的范围和程序使用资金，确保资金用于生态保护领域。</w:t>
      </w:r>
      <w:r>
        <w:rPr>
          <w:rFonts w:hint="eastAsia"/>
          <w:sz w:val="32"/>
          <w:szCs w:val="32"/>
          <w:lang w:val="en-US" w:eastAsia="zh-CN"/>
        </w:rPr>
        <w:t>在生态资源保护重点</w:t>
      </w:r>
      <w:r>
        <w:rPr>
          <w:rFonts w:hint="eastAsia"/>
          <w:sz w:val="32"/>
          <w:szCs w:val="32"/>
        </w:rPr>
        <w:t>地区建立了资金使用信息公开机制，提高了资金使用的透明度</w:t>
      </w:r>
      <w:r>
        <w:rPr>
          <w:rFonts w:hint="eastAsia"/>
          <w:sz w:val="32"/>
          <w:szCs w:val="32"/>
          <w:lang w:eastAsia="zh-CN"/>
        </w:rPr>
        <w:t>。</w:t>
      </w:r>
    </w:p>
    <w:p>
      <w:pPr>
        <w:spacing w:line="560" w:lineRule="exact"/>
        <w:ind w:firstLine="642" w:firstLineChars="200"/>
        <w:rPr>
          <w:color w:val="FF0000"/>
          <w:sz w:val="32"/>
          <w:szCs w:val="32"/>
        </w:rPr>
      </w:pPr>
      <w:r>
        <w:rPr>
          <w:b/>
          <w:bCs/>
          <w:sz w:val="32"/>
          <w:szCs w:val="32"/>
        </w:rPr>
        <w:t>5.资金执行准确性</w:t>
      </w:r>
      <w:r>
        <w:rPr>
          <w:sz w:val="32"/>
          <w:szCs w:val="32"/>
        </w:rPr>
        <w:t>：自治区</w:t>
      </w:r>
      <w:r>
        <w:rPr>
          <w:sz w:val="32"/>
          <w:szCs w:val="32"/>
          <w:lang w:val="en"/>
        </w:rPr>
        <w:t>农业农村厅印发《关于全力以赴抓好2023年涉农项目资金监管工作的通知》、《关于印发</w:t>
      </w:r>
      <w:r>
        <w:rPr>
          <w:sz w:val="32"/>
          <w:szCs w:val="32"/>
        </w:rPr>
        <w:t>&lt;</w:t>
      </w:r>
      <w:r>
        <w:rPr>
          <w:sz w:val="32"/>
          <w:szCs w:val="32"/>
          <w:lang w:val="en"/>
        </w:rPr>
        <w:t>关于加强农业农村厅涉农资金规范管理的办法（试行）</w:t>
      </w:r>
      <w:r>
        <w:rPr>
          <w:sz w:val="32"/>
          <w:szCs w:val="32"/>
        </w:rPr>
        <w:t>&gt;</w:t>
      </w:r>
      <w:r>
        <w:rPr>
          <w:sz w:val="32"/>
          <w:szCs w:val="32"/>
          <w:lang w:val="en"/>
        </w:rPr>
        <w:t>的通知》等，委托第三方</w:t>
      </w:r>
      <w:r>
        <w:rPr>
          <w:sz w:val="32"/>
          <w:szCs w:val="32"/>
        </w:rPr>
        <w:t>专业机构</w:t>
      </w:r>
      <w:r>
        <w:rPr>
          <w:sz w:val="32"/>
          <w:szCs w:val="32"/>
          <w:lang w:val="en"/>
        </w:rPr>
        <w:t>对项目开展实地绩效评价，</w:t>
      </w:r>
      <w:r>
        <w:rPr>
          <w:sz w:val="32"/>
          <w:szCs w:val="32"/>
        </w:rPr>
        <w:t>对发现问题通过发提醒函或约谈等形式及时协调推动解决，</w:t>
      </w:r>
      <w:r>
        <w:rPr>
          <w:sz w:val="32"/>
          <w:szCs w:val="32"/>
          <w:lang w:val="en"/>
        </w:rPr>
        <w:t>督促做好涉农项目资金管理工作。</w:t>
      </w:r>
      <w:r>
        <w:rPr>
          <w:rFonts w:hint="eastAsia"/>
          <w:sz w:val="32"/>
          <w:szCs w:val="32"/>
          <w:lang w:val="en"/>
        </w:rPr>
        <w:t>严格按照《新疆维吾尔自治区第三轮草原生态保护补助奖励政策实施方案（2021—2025年）》中的禁牧和草畜平衡面积发放资金</w:t>
      </w:r>
      <w:r>
        <w:rPr>
          <w:rFonts w:hint="eastAsia"/>
          <w:sz w:val="32"/>
          <w:szCs w:val="32"/>
          <w:lang w:val="en" w:eastAsia="zh-CN"/>
        </w:rPr>
        <w:t>。</w:t>
      </w:r>
      <w:r>
        <w:rPr>
          <w:sz w:val="32"/>
          <w:szCs w:val="32"/>
        </w:rPr>
        <w:t>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sz w:val="32"/>
          <w:szCs w:val="32"/>
        </w:rPr>
        <w:t>，</w:t>
      </w:r>
      <w:r>
        <w:rPr>
          <w:sz w:val="32"/>
          <w:szCs w:val="32"/>
        </w:rPr>
        <w:t>抓好资金监管，资金执行准确</w:t>
      </w:r>
      <w:r>
        <w:rPr>
          <w:rFonts w:hint="eastAsia"/>
          <w:sz w:val="32"/>
          <w:szCs w:val="32"/>
        </w:rPr>
        <w:t>。</w:t>
      </w:r>
    </w:p>
    <w:p>
      <w:pPr>
        <w:spacing w:line="560" w:lineRule="exact"/>
        <w:ind w:firstLine="642" w:firstLineChars="200"/>
        <w:rPr>
          <w:sz w:val="32"/>
          <w:szCs w:val="32"/>
        </w:rPr>
      </w:pPr>
      <w:r>
        <w:rPr>
          <w:b/>
          <w:bCs/>
          <w:sz w:val="32"/>
          <w:szCs w:val="32"/>
        </w:rPr>
        <w:t>6.预算绩效管理情况：</w:t>
      </w:r>
      <w:r>
        <w:rPr>
          <w:sz w:val="32"/>
          <w:szCs w:val="32"/>
          <w:shd w:val="clear" w:color="auto" w:fill="FFFFFF"/>
        </w:rPr>
        <w:t>按照《中共中央国务院关于全面实施预算绩效管理的意见》、《关于印发&lt;自治区本级部门预算绩效目标管理办法&gt;的通知》（新财预〔2017〕21号</w:t>
      </w:r>
      <w:r>
        <w:rPr>
          <w:rFonts w:hint="eastAsia"/>
          <w:sz w:val="32"/>
          <w:szCs w:val="32"/>
          <w:shd w:val="clear" w:color="auto" w:fill="FFFFFF"/>
        </w:rPr>
        <w:t>）</w:t>
      </w:r>
      <w:r>
        <w:rPr>
          <w:sz w:val="32"/>
          <w:szCs w:val="32"/>
          <w:shd w:val="clear" w:color="auto" w:fill="FFFFFF"/>
        </w:rPr>
        <w:t>、等相关文件，</w:t>
      </w:r>
      <w:r>
        <w:rPr>
          <w:rFonts w:hint="eastAsia"/>
          <w:sz w:val="32"/>
          <w:szCs w:val="32"/>
          <w:shd w:val="clear" w:color="auto" w:fill="FFFFFF"/>
        </w:rPr>
        <w:t>新疆维吾尔自治区</w:t>
      </w:r>
      <w:r>
        <w:rPr>
          <w:rFonts w:hint="eastAsia"/>
          <w:sz w:val="32"/>
          <w:szCs w:val="32"/>
          <w:shd w:val="clear" w:color="auto" w:fill="FFFFFF"/>
          <w:lang w:val="en-US" w:eastAsia="zh-CN"/>
        </w:rPr>
        <w:t>农业农村厅</w:t>
      </w:r>
      <w:r>
        <w:rPr>
          <w:rFonts w:hint="eastAsia"/>
          <w:sz w:val="32"/>
          <w:szCs w:val="32"/>
          <w:shd w:val="clear" w:color="auto" w:fill="FFFFFF"/>
        </w:rPr>
        <w:t>在多个文件中强调了绩效管理的重要性。提到要牢固树立绩效理念，强化对生态环保财政资金使用的管理，将绩效管理全面覆盖项目生命周期，并强化绩效评价结果的应用。此外，林业草原生态保护恢复资金的绩效管理机制包括预算编制、执行、完成、评价和反馈等环节，绩效目标涵盖质量、时效、成本、经济效益、社会效益和生态效益等多个方面</w:t>
      </w:r>
      <w:r>
        <w:rPr>
          <w:rFonts w:hint="eastAsia"/>
          <w:sz w:val="32"/>
          <w:szCs w:val="32"/>
          <w:shd w:val="clear" w:color="auto" w:fill="FFFFFF"/>
          <w:lang w:eastAsia="zh-CN"/>
        </w:rPr>
        <w:t>。</w:t>
      </w:r>
      <w:r>
        <w:rPr>
          <w:sz w:val="32"/>
          <w:szCs w:val="32"/>
          <w:shd w:val="clear" w:color="auto" w:fill="FFFFFF"/>
        </w:rPr>
        <w:t>严格执行有关财经制度，进一步加强预算绩效管理，在预算执行中做好绩效监控，预算执行完做好绩效评价，切实提高财政资金使用效益，确保资金安全规范使用，确保年度绩效目标如期实现</w:t>
      </w:r>
      <w:r>
        <w:rPr>
          <w:rFonts w:hint="eastAsia"/>
          <w:sz w:val="32"/>
          <w:szCs w:val="32"/>
          <w:shd w:val="clear" w:color="auto" w:fill="FFFFFF"/>
        </w:rPr>
        <w:t>。</w:t>
      </w:r>
    </w:p>
    <w:p>
      <w:pPr>
        <w:pStyle w:val="10"/>
        <w:spacing w:after="0" w:line="560" w:lineRule="exact"/>
        <w:ind w:left="0" w:leftChars="0" w:firstLine="640"/>
        <w:rPr>
          <w:rFonts w:ascii="Times New Roman" w:hAnsi="Times New Roman"/>
          <w:sz w:val="32"/>
          <w:szCs w:val="32"/>
          <w:shd w:val="clear" w:color="auto" w:fill="FFFFFF"/>
        </w:rPr>
      </w:pPr>
      <w:r>
        <w:rPr>
          <w:rFonts w:ascii="Times New Roman" w:hAnsi="Times New Roman"/>
          <w:b/>
          <w:bCs/>
          <w:sz w:val="32"/>
          <w:szCs w:val="32"/>
        </w:rPr>
        <w:t>7.支出责任履行情况：</w:t>
      </w:r>
      <w:r>
        <w:rPr>
          <w:rFonts w:ascii="Times New Roman" w:hAnsi="Times New Roman"/>
          <w:sz w:val="32"/>
          <w:szCs w:val="32"/>
          <w:shd w:val="clear" w:color="auto" w:fill="FFFFFF"/>
        </w:rPr>
        <w:t>对共同财政事权转移支付，按照财政事权和支出责任划分有关规定，足额安排资金履行本级支出责任，支出责任履行情况良好。</w:t>
      </w:r>
    </w:p>
    <w:p>
      <w:pPr>
        <w:pStyle w:val="10"/>
        <w:spacing w:after="0" w:line="560" w:lineRule="exact"/>
        <w:ind w:left="0" w:leftChars="0" w:firstLine="640"/>
        <w:rPr>
          <w:rFonts w:ascii="Times New Roman" w:hAnsi="Times New Roman"/>
          <w:color w:val="FF0000"/>
          <w:sz w:val="32"/>
          <w:szCs w:val="32"/>
        </w:rPr>
      </w:pPr>
      <w:r>
        <w:rPr>
          <w:rFonts w:ascii="Times New Roman" w:hAnsi="Times New Roman"/>
          <w:sz w:val="32"/>
          <w:szCs w:val="32"/>
          <w:lang w:eastAsia="zh-Hans"/>
        </w:rPr>
        <w:t>项目实施乡镇人民政府为直接责任人，地州市县农业农村局为项目主管部门对项目资金使用、监督和验收负主体责任；单位主要领导为项目监督和实施第一责任人</w:t>
      </w:r>
      <w:r>
        <w:rPr>
          <w:rFonts w:ascii="Times New Roman" w:hAnsi="Times New Roman"/>
          <w:sz w:val="32"/>
          <w:szCs w:val="32"/>
        </w:rPr>
        <w:t>，</w:t>
      </w:r>
      <w:r>
        <w:rPr>
          <w:rFonts w:ascii="Times New Roman" w:hAnsi="Times New Roman"/>
          <w:sz w:val="32"/>
          <w:szCs w:val="32"/>
          <w:lang w:eastAsia="zh-Hans"/>
        </w:rPr>
        <w:t>主动与财政部门做好项目资金对接落实工作，确保资金及时到位，安全使用；</w:t>
      </w:r>
      <w:r>
        <w:rPr>
          <w:rFonts w:ascii="Times New Roman" w:hAnsi="Times New Roman"/>
          <w:sz w:val="32"/>
          <w:szCs w:val="32"/>
        </w:rPr>
        <w:t>自治区农业农村厅</w:t>
      </w:r>
      <w:r>
        <w:rPr>
          <w:rFonts w:ascii="Times New Roman" w:hAnsi="Times New Roman"/>
          <w:sz w:val="32"/>
          <w:szCs w:val="32"/>
          <w:lang w:eastAsia="zh-Hans"/>
        </w:rPr>
        <w:t>建立项目执行定期调度督导机制，及时掌握项目执行和资金使用情况，</w:t>
      </w:r>
      <w:r>
        <w:rPr>
          <w:rFonts w:ascii="Times New Roman" w:hAnsi="Times New Roman"/>
          <w:sz w:val="32"/>
          <w:szCs w:val="32"/>
        </w:rPr>
        <w:t>不断总结经验和问题，</w:t>
      </w:r>
      <w:r>
        <w:rPr>
          <w:rFonts w:ascii="Times New Roman" w:hAnsi="Times New Roman"/>
          <w:sz w:val="32"/>
          <w:szCs w:val="32"/>
          <w:lang w:eastAsia="zh-Hans"/>
        </w:rPr>
        <w:t>确保项目执行到位、资金使用规范。</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（三）总体绩效目标完成情况分析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202</w:t>
      </w:r>
      <w:r>
        <w:rPr>
          <w:rFonts w:hint="eastAsia"/>
          <w:sz w:val="32"/>
          <w:szCs w:val="32"/>
        </w:rPr>
        <w:t>4</w:t>
      </w:r>
      <w:r>
        <w:rPr>
          <w:sz w:val="32"/>
          <w:szCs w:val="32"/>
        </w:rPr>
        <w:t>年，</w:t>
      </w:r>
      <w:r>
        <w:rPr>
          <w:rFonts w:hint="eastAsia"/>
          <w:sz w:val="32"/>
          <w:szCs w:val="32"/>
        </w:rPr>
        <w:t>全年地膜科学使用回收推广面积完成182.43万亩，建设秸秆综合利用亚点县12个、经济物种增殖放流数量7</w:t>
      </w:r>
      <w:r>
        <w:rPr>
          <w:rFonts w:hint="eastAsia"/>
          <w:sz w:val="32"/>
          <w:szCs w:val="32"/>
          <w:lang w:val="en-US" w:eastAsia="zh-CN"/>
        </w:rPr>
        <w:t>49.</w:t>
      </w:r>
      <w:r>
        <w:rPr>
          <w:rFonts w:hint="eastAsia"/>
          <w:sz w:val="32"/>
          <w:szCs w:val="32"/>
        </w:rPr>
        <w:t>37万尾、珍稀濒危物种增殖放流数量190.2万尾，项目区农膜处置率全年实际完成71%、重点县秸秆综合利用率95.33%、草原生态保护补助资金发放到位时间截止至9月30日前资金发放到户243193.68万元，发放率98.17%，项目前期资金使用无重大违规违纪问题，重要经济物种放流资源贡献率为2.</w:t>
      </w:r>
      <w:r>
        <w:rPr>
          <w:rFonts w:hint="eastAsia"/>
          <w:sz w:val="32"/>
          <w:szCs w:val="32"/>
          <w:lang w:val="en-US" w:eastAsia="zh-CN"/>
        </w:rPr>
        <w:t>38</w:t>
      </w:r>
      <w:r>
        <w:rPr>
          <w:rFonts w:hint="eastAsia"/>
          <w:sz w:val="32"/>
          <w:szCs w:val="32"/>
        </w:rPr>
        <w:t>%，可持续方面天然草原生产能力有所提高，农牧民对草原禁牧补助和草畜平衡街奖励政策实施的满意度和增殖放流区域内抽样调查满意度均达到95%。</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（四）绩效指标完成情况分析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1.产出指标完成情况分析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（1）数量指标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szCs w:val="32"/>
        </w:rPr>
        <w:t>随文下达</w:t>
      </w:r>
      <w:r>
        <w:rPr>
          <w:rFonts w:hint="eastAsia"/>
          <w:sz w:val="32"/>
          <w:szCs w:val="32"/>
        </w:rPr>
        <w:t>地膜科学使用回收推广面积指标，指标值为11</w:t>
      </w:r>
      <w:r>
        <w:rPr>
          <w:rFonts w:hint="eastAsia"/>
          <w:sz w:val="32"/>
          <w:szCs w:val="32"/>
          <w:lang w:val="en-US" w:eastAsia="zh-CN"/>
        </w:rPr>
        <w:t>35</w:t>
      </w:r>
      <w:r>
        <w:rPr>
          <w:rFonts w:hint="eastAsia"/>
          <w:sz w:val="32"/>
          <w:szCs w:val="32"/>
        </w:rPr>
        <w:t>（万亩），</w:t>
      </w:r>
      <w:r>
        <w:rPr>
          <w:rFonts w:hint="eastAsia"/>
          <w:sz w:val="32"/>
          <w:szCs w:val="32"/>
          <w:lang w:val="en-US" w:eastAsia="zh-CN"/>
        </w:rPr>
        <w:t>我区</w:t>
      </w:r>
      <w:r>
        <w:rPr>
          <w:sz w:val="32"/>
          <w:szCs w:val="32"/>
        </w:rPr>
        <w:t>实际完成</w:t>
      </w:r>
      <w:r>
        <w:rPr>
          <w:rFonts w:hint="eastAsia"/>
          <w:sz w:val="32"/>
          <w:szCs w:val="32"/>
        </w:rPr>
        <w:t>182.43万亩</w:t>
      </w:r>
      <w:r>
        <w:rPr>
          <w:sz w:val="32"/>
          <w:szCs w:val="32"/>
        </w:rPr>
        <w:t>，完成率</w:t>
      </w:r>
      <w:r>
        <w:rPr>
          <w:rFonts w:hint="eastAsia"/>
          <w:sz w:val="32"/>
          <w:szCs w:val="32"/>
        </w:rPr>
        <w:t>16.</w:t>
      </w:r>
      <w:r>
        <w:rPr>
          <w:rFonts w:hint="eastAsia"/>
          <w:sz w:val="32"/>
          <w:szCs w:val="32"/>
          <w:lang w:val="en-US" w:eastAsia="zh-CN"/>
        </w:rPr>
        <w:t>07</w:t>
      </w:r>
      <w:r>
        <w:rPr>
          <w:sz w:val="32"/>
          <w:szCs w:val="32"/>
        </w:rPr>
        <w:t>%，偏差率</w:t>
      </w:r>
      <w:r>
        <w:rPr>
          <w:rFonts w:hint="eastAsia"/>
          <w:sz w:val="32"/>
          <w:szCs w:val="32"/>
        </w:rPr>
        <w:t>83.</w:t>
      </w:r>
      <w:r>
        <w:rPr>
          <w:rFonts w:hint="eastAsia"/>
          <w:sz w:val="32"/>
          <w:szCs w:val="32"/>
          <w:lang w:val="en-US" w:eastAsia="zh-CN"/>
        </w:rPr>
        <w:t>93</w:t>
      </w:r>
      <w:r>
        <w:rPr>
          <w:sz w:val="32"/>
          <w:szCs w:val="32"/>
        </w:rPr>
        <w:t>%。</w:t>
      </w:r>
      <w:r>
        <w:rPr>
          <w:rFonts w:hint="eastAsia"/>
          <w:sz w:val="32"/>
          <w:szCs w:val="32"/>
        </w:rPr>
        <w:t>原因：2024年度安排试点任务可跨年度实施，预计2025年春播季节可全部完成。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sz w:val="32"/>
          <w:szCs w:val="32"/>
        </w:rPr>
        <w:t>b.</w:t>
      </w:r>
      <w:r>
        <w:rPr>
          <w:rFonts w:hint="eastAsia"/>
          <w:sz w:val="32"/>
          <w:szCs w:val="32"/>
        </w:rPr>
        <w:t>财政部</w:t>
      </w:r>
      <w:r>
        <w:rPr>
          <w:sz w:val="32"/>
          <w:szCs w:val="32"/>
        </w:rPr>
        <w:t>随文下达建设秸秆综合利用重点县</w:t>
      </w:r>
      <w:r>
        <w:rPr>
          <w:rFonts w:hint="eastAsia"/>
          <w:sz w:val="32"/>
          <w:szCs w:val="32"/>
        </w:rPr>
        <w:t>指标，指标值</w:t>
      </w:r>
      <w:r>
        <w:rPr>
          <w:rFonts w:hint="eastAsia"/>
          <w:sz w:val="32"/>
          <w:szCs w:val="32"/>
          <w:highlight w:val="none"/>
        </w:rPr>
        <w:t>为</w:t>
      </w:r>
      <w:r>
        <w:rPr>
          <w:rFonts w:hint="eastAsia"/>
          <w:sz w:val="32"/>
          <w:szCs w:val="32"/>
          <w:highlight w:val="none"/>
          <w:lang w:val="en-US" w:eastAsia="zh-CN"/>
        </w:rPr>
        <w:t>6</w:t>
      </w:r>
      <w:r>
        <w:rPr>
          <w:rFonts w:hint="eastAsia"/>
          <w:sz w:val="32"/>
          <w:szCs w:val="32"/>
          <w:highlight w:val="none"/>
        </w:rPr>
        <w:t>个</w:t>
      </w:r>
      <w:r>
        <w:rPr>
          <w:rFonts w:hint="eastAsia"/>
          <w:sz w:val="32"/>
          <w:szCs w:val="32"/>
        </w:rPr>
        <w:t>，</w:t>
      </w:r>
      <w:r>
        <w:rPr>
          <w:rFonts w:hint="eastAsia" w:ascii="Times New Roman PS Pro" w:hAnsi="Times New Roman PS Pro" w:cs="Times New Roman PS Pro"/>
          <w:sz w:val="32"/>
          <w:szCs w:val="32"/>
        </w:rPr>
        <w:t>我区</w:t>
      </w:r>
      <w:r>
        <w:rPr>
          <w:rFonts w:hint="eastAsia" w:ascii="Times New Roman PS Pro" w:hAnsi="Times New Roman PS Pro" w:cs="Times New Roman PS Pro"/>
          <w:sz w:val="32"/>
          <w:szCs w:val="32"/>
          <w:lang w:val="en-US" w:eastAsia="zh-CN"/>
        </w:rPr>
        <w:t>实际完成</w:t>
      </w:r>
      <w:r>
        <w:rPr>
          <w:rFonts w:ascii="Times New Roman PS Pro" w:hAnsi="Times New Roman PS Pro" w:cs="Times New Roman PS Pro"/>
          <w:sz w:val="32"/>
          <w:szCs w:val="32"/>
        </w:rPr>
        <w:t>已建设重点县12个，完成率</w:t>
      </w:r>
      <w:r>
        <w:rPr>
          <w:rFonts w:hint="eastAsia" w:ascii="Times New Roman PS Pro" w:hAnsi="Times New Roman PS Pro" w:cs="Times New Roman PS Pro"/>
          <w:sz w:val="32"/>
          <w:szCs w:val="32"/>
          <w:lang w:val="en-US" w:eastAsia="zh-CN"/>
        </w:rPr>
        <w:t>2</w:t>
      </w:r>
      <w:r>
        <w:rPr>
          <w:rFonts w:ascii="Times New Roman PS Pro" w:hAnsi="Times New Roman PS Pro" w:cs="Times New Roman PS Pro"/>
          <w:sz w:val="32"/>
          <w:szCs w:val="32"/>
        </w:rPr>
        <w:t>00%</w:t>
      </w:r>
      <w:r>
        <w:rPr>
          <w:rFonts w:hint="eastAsia" w:ascii="Times New Roman PS Pro" w:hAnsi="Times New Roman PS Pro" w:cs="Times New Roman PS Pro"/>
          <w:sz w:val="32"/>
          <w:szCs w:val="32"/>
        </w:rPr>
        <w:t>，</w:t>
      </w:r>
      <w:r>
        <w:rPr>
          <w:rFonts w:ascii="Times New Roman PS Pro" w:hAnsi="Times New Roman PS Pro" w:cs="Times New Roman PS Pro"/>
          <w:sz w:val="32"/>
          <w:szCs w:val="32"/>
        </w:rPr>
        <w:t>偏差率为</w:t>
      </w:r>
      <w:r>
        <w:rPr>
          <w:rFonts w:hint="eastAsia" w:ascii="Times New Roman PS Pro" w:hAnsi="Times New Roman PS Pro" w:cs="Times New Roman PS Pro"/>
          <w:sz w:val="32"/>
          <w:szCs w:val="32"/>
          <w:lang w:val="en-US" w:eastAsia="zh-CN"/>
        </w:rPr>
        <w:t>100</w:t>
      </w:r>
      <w:r>
        <w:rPr>
          <w:rFonts w:hint="eastAsia" w:ascii="Times New Roman PS Pro" w:hAnsi="Times New Roman PS Pro" w:cs="Times New Roman PS Pro"/>
          <w:sz w:val="32"/>
          <w:szCs w:val="32"/>
        </w:rPr>
        <w:t>%</w:t>
      </w:r>
      <w:r>
        <w:rPr>
          <w:sz w:val="32"/>
          <w:szCs w:val="32"/>
        </w:rPr>
        <w:t>。</w:t>
      </w:r>
      <w:r>
        <w:rPr>
          <w:rFonts w:hint="eastAsia"/>
          <w:sz w:val="32"/>
          <w:szCs w:val="32"/>
          <w:highlight w:val="none"/>
          <w:lang w:val="en-US" w:eastAsia="zh-CN"/>
        </w:rPr>
        <w:t>偏差原因</w:t>
      </w:r>
      <w:r>
        <w:rPr>
          <w:rFonts w:hint="eastAsia"/>
          <w:sz w:val="32"/>
          <w:szCs w:val="32"/>
          <w:lang w:val="en-US" w:eastAsia="zh-CN"/>
        </w:rPr>
        <w:t>：一是经与农业农村部科技司对接，秸秆综合利用重点县市数量大于等于6个县市即可，具体情况可结合新疆实际。二是根据《自治区党委办公厅人民政府办公厅关于印发2024年自治区粮棉果畜农业特色产业高质量发展的财政金融支持政策的通知》（新党办发〔2024〕2号）要求，支持农作物秸秆综合利用，按照每个县补助500-1000万元的标准支持粮油、棉花主产县推进秸秆饲料化、肥料化、燃料华、基料化、原料化利用的要求，9479万元可支持12个县市开展项目。</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c.财政部</w:t>
      </w:r>
      <w:r>
        <w:rPr>
          <w:sz w:val="32"/>
          <w:szCs w:val="32"/>
        </w:rPr>
        <w:t>随文下达经济物种增殖放流数量</w:t>
      </w:r>
      <w:r>
        <w:rPr>
          <w:rFonts w:hint="eastAsia"/>
          <w:sz w:val="32"/>
          <w:szCs w:val="32"/>
        </w:rPr>
        <w:t>指标，指标值为820（万尾），</w:t>
      </w:r>
      <w:r>
        <w:rPr>
          <w:rFonts w:hint="eastAsia"/>
          <w:sz w:val="32"/>
          <w:szCs w:val="32"/>
          <w:lang w:val="en-US" w:eastAsia="zh-CN"/>
        </w:rPr>
        <w:t>我区实际完成</w:t>
      </w:r>
      <w:r>
        <w:rPr>
          <w:rFonts w:hint="eastAsia"/>
          <w:sz w:val="32"/>
          <w:szCs w:val="32"/>
        </w:rPr>
        <w:t>749.37万尾，完成率91.4%，偏差率8.6%。偏差原因：阿勒泰地区该项目实施较晚，受天气影响，水温较低，部分品种鱼苗易产生应激反应，对苗种成活率均有影响，剩余70.63万尾完成招标采购任务，但没有完成放流任务。</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d.财政部</w:t>
      </w:r>
      <w:r>
        <w:rPr>
          <w:sz w:val="32"/>
          <w:szCs w:val="32"/>
        </w:rPr>
        <w:t>随文下达珍稀濒危物种增殖放流数量</w:t>
      </w:r>
      <w:r>
        <w:rPr>
          <w:rFonts w:hint="eastAsia"/>
          <w:sz w:val="32"/>
          <w:szCs w:val="32"/>
        </w:rPr>
        <w:t>指标，指标值为240（万尾），</w:t>
      </w:r>
      <w:r>
        <w:rPr>
          <w:rFonts w:hint="eastAsia"/>
          <w:sz w:val="32"/>
          <w:szCs w:val="32"/>
          <w:lang w:val="en-US" w:eastAsia="zh-CN"/>
        </w:rPr>
        <w:t>我区</w:t>
      </w:r>
      <w:r>
        <w:rPr>
          <w:sz w:val="32"/>
          <w:szCs w:val="32"/>
        </w:rPr>
        <w:t>实际完成</w:t>
      </w:r>
      <w:r>
        <w:rPr>
          <w:rFonts w:hint="eastAsia"/>
          <w:sz w:val="32"/>
          <w:szCs w:val="32"/>
        </w:rPr>
        <w:t>190.2万尾</w:t>
      </w:r>
      <w:r>
        <w:rPr>
          <w:sz w:val="32"/>
          <w:szCs w:val="32"/>
        </w:rPr>
        <w:t>，完成率</w:t>
      </w:r>
      <w:r>
        <w:rPr>
          <w:rFonts w:hint="eastAsia"/>
          <w:sz w:val="32"/>
          <w:szCs w:val="32"/>
        </w:rPr>
        <w:t>79.2</w:t>
      </w:r>
      <w:r>
        <w:rPr>
          <w:sz w:val="32"/>
          <w:szCs w:val="32"/>
        </w:rPr>
        <w:t>%，偏差率</w:t>
      </w:r>
      <w:r>
        <w:rPr>
          <w:rFonts w:hint="eastAsia"/>
          <w:sz w:val="32"/>
          <w:szCs w:val="32"/>
        </w:rPr>
        <w:t>20.8</w:t>
      </w:r>
      <w:r>
        <w:rPr>
          <w:sz w:val="32"/>
          <w:szCs w:val="32"/>
        </w:rPr>
        <w:t>%</w:t>
      </w:r>
      <w:r>
        <w:rPr>
          <w:rFonts w:hint="eastAsia"/>
          <w:sz w:val="32"/>
          <w:szCs w:val="32"/>
        </w:rPr>
        <w:t>。偏差原因：阿勒泰地区该项目实施较晚，受天气影响，水温较低，部分品种鱼苗易产生应激反应，对苗种成活率均有影响，剩余70.63万尾完成招标采购任务，但没有完成放流任务。</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（2）</w:t>
      </w:r>
      <w:r>
        <w:rPr>
          <w:rFonts w:hint="eastAsia"/>
          <w:sz w:val="32"/>
        </w:rPr>
        <w:t>质量</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szCs w:val="32"/>
        </w:rPr>
        <w:t>随文</w:t>
      </w:r>
      <w:r>
        <w:rPr>
          <w:rFonts w:hint="eastAsia"/>
          <w:sz w:val="32"/>
          <w:szCs w:val="32"/>
        </w:rPr>
        <w:t>下达项目区农膜处置率指标，指标值为≥83%，</w:t>
      </w:r>
      <w:r>
        <w:rPr>
          <w:rFonts w:hint="eastAsia"/>
          <w:sz w:val="32"/>
          <w:szCs w:val="32"/>
          <w:lang w:val="en-US" w:eastAsia="zh-CN"/>
        </w:rPr>
        <w:t>我区</w:t>
      </w:r>
      <w:r>
        <w:rPr>
          <w:sz w:val="32"/>
          <w:szCs w:val="32"/>
        </w:rPr>
        <w:t>实际完成</w:t>
      </w:r>
      <w:r>
        <w:rPr>
          <w:rFonts w:hint="eastAsia"/>
          <w:sz w:val="32"/>
          <w:szCs w:val="32"/>
        </w:rPr>
        <w:t>71</w:t>
      </w:r>
      <w:r>
        <w:rPr>
          <w:rFonts w:hint="eastAsia"/>
          <w:sz w:val="32"/>
          <w:szCs w:val="32"/>
          <w:lang w:val="en-US" w:eastAsia="zh-CN"/>
        </w:rPr>
        <w:t>%</w:t>
      </w:r>
      <w:r>
        <w:rPr>
          <w:sz w:val="32"/>
          <w:szCs w:val="32"/>
        </w:rPr>
        <w:t>，完成率</w:t>
      </w:r>
      <w:r>
        <w:rPr>
          <w:rFonts w:hint="eastAsia"/>
          <w:sz w:val="32"/>
          <w:szCs w:val="32"/>
        </w:rPr>
        <w:t>85.54</w:t>
      </w:r>
      <w:r>
        <w:rPr>
          <w:sz w:val="32"/>
          <w:szCs w:val="32"/>
        </w:rPr>
        <w:t>%，偏差率</w:t>
      </w:r>
      <w:r>
        <w:rPr>
          <w:rFonts w:hint="eastAsia"/>
          <w:sz w:val="32"/>
          <w:szCs w:val="32"/>
        </w:rPr>
        <w:t>14.46</w:t>
      </w:r>
      <w:r>
        <w:rPr>
          <w:sz w:val="32"/>
          <w:szCs w:val="32"/>
        </w:rPr>
        <w:t>%。</w:t>
      </w:r>
      <w:r>
        <w:rPr>
          <w:rFonts w:hint="eastAsia"/>
          <w:sz w:val="32"/>
          <w:szCs w:val="32"/>
        </w:rPr>
        <w:t>偏差原因：该项目跨年度实施，预计2025年春播后可完成剩余任务。2024年地膜回收率达到71%，预计2025年春季地膜回收后，地膜回收率可达85%以上。</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b.财政部</w:t>
      </w:r>
      <w:r>
        <w:rPr>
          <w:sz w:val="32"/>
          <w:szCs w:val="32"/>
        </w:rPr>
        <w:t>随文</w:t>
      </w:r>
      <w:r>
        <w:rPr>
          <w:rFonts w:hint="eastAsia"/>
          <w:sz w:val="32"/>
          <w:szCs w:val="32"/>
        </w:rPr>
        <w:t>下达秸秆综合利用重点县秸秆综合利用率指标，指标值为≥90%或比2023年提高5个百分点，我区</w:t>
      </w:r>
      <w:r>
        <w:rPr>
          <w:rFonts w:hint="eastAsia" w:ascii="Times New Roman PS Pro" w:hAnsi="Times New Roman PS Pro" w:cs="Times New Roman PS Pro"/>
          <w:sz w:val="32"/>
          <w:szCs w:val="32"/>
        </w:rPr>
        <w:t>实际完成值为95.33%</w:t>
      </w:r>
      <w:r>
        <w:rPr>
          <w:rFonts w:ascii="Times New Roman PS Pro" w:hAnsi="Times New Roman PS Pro" w:cs="Times New Roman PS Pro"/>
          <w:sz w:val="32"/>
          <w:szCs w:val="32"/>
        </w:rPr>
        <w:t>，完成率</w:t>
      </w:r>
      <w:r>
        <w:rPr>
          <w:rFonts w:hint="eastAsia" w:ascii="Times New Roman PS Pro" w:hAnsi="Times New Roman PS Pro" w:cs="Times New Roman PS Pro"/>
          <w:sz w:val="32"/>
          <w:szCs w:val="32"/>
          <w:lang w:val="en-US" w:eastAsia="zh-CN"/>
        </w:rPr>
        <w:t>105.92</w:t>
      </w:r>
      <w:r>
        <w:rPr>
          <w:rFonts w:ascii="Times New Roman PS Pro" w:hAnsi="Times New Roman PS Pro" w:cs="Times New Roman PS Pro"/>
          <w:sz w:val="32"/>
          <w:szCs w:val="32"/>
        </w:rPr>
        <w:t>%</w:t>
      </w:r>
      <w:r>
        <w:rPr>
          <w:rFonts w:hint="eastAsia" w:ascii="Times New Roman PS Pro" w:hAnsi="Times New Roman PS Pro" w:cs="Times New Roman PS Pro"/>
          <w:sz w:val="32"/>
          <w:szCs w:val="32"/>
        </w:rPr>
        <w:t>，</w:t>
      </w:r>
      <w:r>
        <w:rPr>
          <w:rFonts w:ascii="Times New Roman PS Pro" w:hAnsi="Times New Roman PS Pro" w:cs="Times New Roman PS Pro"/>
          <w:sz w:val="32"/>
          <w:szCs w:val="32"/>
        </w:rPr>
        <w:t>偏差率为</w:t>
      </w:r>
      <w:r>
        <w:rPr>
          <w:rFonts w:hint="eastAsia" w:ascii="Times New Roman PS Pro" w:hAnsi="Times New Roman PS Pro" w:cs="Times New Roman PS Pro"/>
          <w:sz w:val="32"/>
          <w:szCs w:val="32"/>
          <w:lang w:val="en-US" w:eastAsia="zh-CN"/>
        </w:rPr>
        <w:t>5.92</w:t>
      </w:r>
      <w:r>
        <w:rPr>
          <w:rFonts w:hint="eastAsia" w:ascii="Times New Roman PS Pro" w:hAnsi="Times New Roman PS Pro" w:cs="Times New Roman PS Pro"/>
          <w:sz w:val="32"/>
          <w:szCs w:val="32"/>
        </w:rPr>
        <w:t>%</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（3）</w:t>
      </w:r>
      <w:r>
        <w:rPr>
          <w:rFonts w:hint="eastAsia"/>
          <w:sz w:val="32"/>
        </w:rPr>
        <w:t>时效</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rPr>
      </w:pPr>
      <w:r>
        <w:rPr>
          <w:sz w:val="32"/>
          <w:szCs w:val="32"/>
        </w:rPr>
        <w:t>a.</w:t>
      </w:r>
      <w:r>
        <w:rPr>
          <w:rFonts w:hint="eastAsia"/>
          <w:sz w:val="32"/>
          <w:szCs w:val="32"/>
        </w:rPr>
        <w:t>财政部</w:t>
      </w:r>
      <w:r>
        <w:rPr>
          <w:sz w:val="32"/>
        </w:rPr>
        <w:t>随文下达草原生态保护补助资金发放到位时间指标，指标值为9月30日前</w:t>
      </w:r>
      <w:r>
        <w:rPr>
          <w:rFonts w:hint="eastAsia"/>
          <w:sz w:val="32"/>
        </w:rPr>
        <w:t>，</w:t>
      </w:r>
      <w:r>
        <w:rPr>
          <w:rFonts w:hint="eastAsia"/>
          <w:sz w:val="32"/>
          <w:szCs w:val="32"/>
          <w:highlight w:val="none"/>
          <w:lang w:eastAsia="zh-Hans"/>
        </w:rPr>
        <w:t>截止2024年9月30日，我区实际发放243193.68万元，完成率98.17%，偏差率1.83%。未完成原因是全区除克拉玛依市外均存在草原被征占的情况，征占后草原已不存在，无法发放资金</w:t>
      </w:r>
      <w:r>
        <w:rPr>
          <w:rFonts w:hint="eastAsia"/>
          <w:sz w:val="32"/>
          <w:szCs w:val="32"/>
          <w:highlight w:val="none"/>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rFonts w:hint="eastAsia"/>
          <w:sz w:val="32"/>
          <w:szCs w:val="32"/>
          <w:lang w:val="en-US" w:eastAsia="zh-CN"/>
        </w:rPr>
        <w:t>成本指标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rFonts w:hint="default"/>
          <w:sz w:val="32"/>
          <w:szCs w:val="32"/>
          <w:lang w:val="en-US" w:eastAsia="zh-CN"/>
        </w:rPr>
      </w:pPr>
      <w:r>
        <w:rPr>
          <w:rFonts w:hint="eastAsia"/>
          <w:sz w:val="32"/>
          <w:szCs w:val="32"/>
        </w:rPr>
        <w:t>财政部随文</w:t>
      </w:r>
      <w:r>
        <w:rPr>
          <w:rFonts w:hint="eastAsia"/>
          <w:sz w:val="32"/>
          <w:szCs w:val="32"/>
          <w:lang w:val="en-US" w:eastAsia="zh-CN"/>
        </w:rPr>
        <w:t>未</w:t>
      </w:r>
      <w:r>
        <w:rPr>
          <w:rFonts w:hint="eastAsia"/>
          <w:sz w:val="32"/>
          <w:szCs w:val="32"/>
        </w:rPr>
        <w:t>下达</w:t>
      </w:r>
      <w:r>
        <w:rPr>
          <w:rFonts w:hint="eastAsia"/>
          <w:sz w:val="32"/>
          <w:szCs w:val="32"/>
          <w:lang w:val="en-US" w:eastAsia="zh-CN"/>
        </w:rPr>
        <w:t>成本</w:t>
      </w:r>
      <w:r>
        <w:rPr>
          <w:sz w:val="32"/>
          <w:szCs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2.效益指标完成情况分析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（1）经济效益指标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sz w:val="32"/>
          <w:szCs w:val="32"/>
        </w:rPr>
      </w:pPr>
      <w:r>
        <w:rPr>
          <w:rFonts w:hint="eastAsia"/>
          <w:sz w:val="32"/>
          <w:szCs w:val="32"/>
        </w:rPr>
        <w:t>财政部随文</w:t>
      </w:r>
      <w:r>
        <w:rPr>
          <w:rFonts w:hint="eastAsia"/>
          <w:sz w:val="32"/>
          <w:szCs w:val="32"/>
          <w:lang w:val="en-US" w:eastAsia="zh-CN"/>
        </w:rPr>
        <w:t>未</w:t>
      </w:r>
      <w:r>
        <w:rPr>
          <w:rFonts w:hint="eastAsia"/>
          <w:sz w:val="32"/>
          <w:szCs w:val="32"/>
        </w:rPr>
        <w:t>下达</w:t>
      </w:r>
      <w:r>
        <w:rPr>
          <w:sz w:val="32"/>
          <w:szCs w:val="32"/>
        </w:rPr>
        <w:t>经济效益指标</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（2）社会效益指标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pPr>
      <w:r>
        <w:rPr>
          <w:rFonts w:hint="eastAsia"/>
          <w:sz w:val="32"/>
          <w:szCs w:val="32"/>
        </w:rPr>
        <w:t>财政部</w:t>
      </w:r>
      <w:r>
        <w:rPr>
          <w:sz w:val="32"/>
        </w:rPr>
        <w:t>随文下达下达</w:t>
      </w:r>
      <w:r>
        <w:rPr>
          <w:sz w:val="32"/>
          <w:szCs w:val="32"/>
        </w:rPr>
        <w:t>资金使用无重大违规违纪问题指标，指标值为无重大违规违纪问题</w:t>
      </w:r>
      <w:r>
        <w:rPr>
          <w:rFonts w:hint="eastAsia"/>
          <w:sz w:val="32"/>
          <w:szCs w:val="32"/>
        </w:rPr>
        <w:t>，</w:t>
      </w:r>
      <w:r>
        <w:rPr>
          <w:rFonts w:hint="eastAsia"/>
          <w:sz w:val="32"/>
          <w:szCs w:val="32"/>
          <w:lang w:val="en-US" w:eastAsia="zh-CN"/>
        </w:rPr>
        <w:t>我区</w:t>
      </w:r>
      <w:r>
        <w:rPr>
          <w:sz w:val="32"/>
          <w:szCs w:val="32"/>
        </w:rPr>
        <w:t>实际完成</w:t>
      </w:r>
      <w:r>
        <w:rPr>
          <w:rFonts w:hint="eastAsia"/>
          <w:sz w:val="32"/>
          <w:szCs w:val="32"/>
        </w:rPr>
        <w:t>无</w:t>
      </w:r>
      <w:r>
        <w:rPr>
          <w:sz w:val="32"/>
          <w:szCs w:val="32"/>
        </w:rPr>
        <w:t>，完成率</w:t>
      </w:r>
      <w:r>
        <w:rPr>
          <w:rFonts w:hint="eastAsia"/>
          <w:sz w:val="32"/>
          <w:szCs w:val="32"/>
        </w:rPr>
        <w:t>100</w:t>
      </w:r>
      <w:r>
        <w:rPr>
          <w:sz w:val="32"/>
          <w:szCs w:val="32"/>
        </w:rPr>
        <w:t>%，偏差率</w:t>
      </w:r>
      <w:r>
        <w:rPr>
          <w:rFonts w:hint="eastAsia"/>
          <w:sz w:val="32"/>
          <w:szCs w:val="32"/>
        </w:rPr>
        <w:t>0</w:t>
      </w:r>
      <w:r>
        <w:rPr>
          <w:sz w:val="32"/>
          <w:szCs w:val="32"/>
        </w:rPr>
        <w:t>%</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（3）生态效益指标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pPr>
      <w:r>
        <w:rPr>
          <w:rFonts w:hint="eastAsia"/>
          <w:sz w:val="32"/>
          <w:szCs w:val="32"/>
        </w:rPr>
        <w:t>财政部</w:t>
      </w:r>
      <w:r>
        <w:rPr>
          <w:sz w:val="32"/>
        </w:rPr>
        <w:t>随文下达</w:t>
      </w:r>
      <w:r>
        <w:rPr>
          <w:sz w:val="32"/>
          <w:szCs w:val="32"/>
        </w:rPr>
        <w:t>重要经济物种放流资源贡献率指标，指标值为≥2%</w:t>
      </w:r>
      <w:r>
        <w:rPr>
          <w:rFonts w:hint="eastAsia"/>
          <w:sz w:val="32"/>
          <w:szCs w:val="32"/>
        </w:rPr>
        <w:t>，</w:t>
      </w:r>
      <w:r>
        <w:rPr>
          <w:rFonts w:hint="eastAsia"/>
          <w:sz w:val="32"/>
          <w:szCs w:val="32"/>
          <w:lang w:val="en-US" w:eastAsia="zh-CN"/>
        </w:rPr>
        <w:t>我区</w:t>
      </w:r>
      <w:r>
        <w:rPr>
          <w:sz w:val="32"/>
          <w:szCs w:val="32"/>
        </w:rPr>
        <w:t>实际完成</w:t>
      </w:r>
      <w:r>
        <w:rPr>
          <w:rFonts w:hint="eastAsia"/>
          <w:sz w:val="32"/>
          <w:szCs w:val="32"/>
        </w:rPr>
        <w:t>2.</w:t>
      </w:r>
      <w:r>
        <w:rPr>
          <w:rFonts w:hint="eastAsia"/>
          <w:sz w:val="32"/>
          <w:szCs w:val="32"/>
          <w:lang w:val="en-US" w:eastAsia="zh-CN"/>
        </w:rPr>
        <w:t>38</w:t>
      </w:r>
      <w:r>
        <w:rPr>
          <w:rFonts w:hint="eastAsia"/>
          <w:sz w:val="32"/>
          <w:szCs w:val="32"/>
        </w:rPr>
        <w:t>%，完成率</w:t>
      </w:r>
      <w:r>
        <w:rPr>
          <w:rFonts w:hint="eastAsia"/>
          <w:sz w:val="32"/>
          <w:szCs w:val="32"/>
          <w:lang w:val="en-US" w:eastAsia="zh-CN"/>
        </w:rPr>
        <w:t>119</w:t>
      </w:r>
      <w:r>
        <w:rPr>
          <w:rFonts w:hint="eastAsia"/>
          <w:sz w:val="32"/>
          <w:szCs w:val="32"/>
        </w:rPr>
        <w:t>%,偏差率</w:t>
      </w:r>
      <w:r>
        <w:rPr>
          <w:rFonts w:hint="eastAsia"/>
          <w:sz w:val="32"/>
          <w:szCs w:val="32"/>
          <w:lang w:val="en-US" w:eastAsia="zh-CN"/>
        </w:rPr>
        <w:t>19</w:t>
      </w:r>
      <w:r>
        <w:rPr>
          <w:rFonts w:hint="eastAsia"/>
          <w:sz w:val="32"/>
          <w:szCs w:val="32"/>
        </w:rPr>
        <w:t>%</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3.满意度指标完成情况分析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rPr>
        <w:t>随文下达</w:t>
      </w:r>
      <w:r>
        <w:rPr>
          <w:sz w:val="32"/>
          <w:szCs w:val="32"/>
        </w:rPr>
        <w:t>农牧民对草原禁牧补助与草畜平衡奖励政策实施的满意度指标，指标值为≥</w:t>
      </w:r>
      <w:r>
        <w:rPr>
          <w:rFonts w:hint="eastAsia"/>
          <w:sz w:val="32"/>
          <w:szCs w:val="32"/>
        </w:rPr>
        <w:t>90</w:t>
      </w:r>
      <w:r>
        <w:rPr>
          <w:sz w:val="32"/>
          <w:szCs w:val="32"/>
        </w:rPr>
        <w:t>%</w:t>
      </w:r>
      <w:r>
        <w:rPr>
          <w:rFonts w:hint="eastAsia"/>
          <w:sz w:val="32"/>
          <w:szCs w:val="32"/>
        </w:rPr>
        <w:t>，</w:t>
      </w:r>
      <w:r>
        <w:rPr>
          <w:rFonts w:hint="eastAsia"/>
          <w:sz w:val="32"/>
          <w:szCs w:val="32"/>
          <w:lang w:val="en-US" w:eastAsia="zh-CN"/>
        </w:rPr>
        <w:t>我区</w:t>
      </w:r>
      <w:r>
        <w:rPr>
          <w:sz w:val="32"/>
          <w:szCs w:val="32"/>
        </w:rPr>
        <w:t>实际完成</w:t>
      </w:r>
      <w:r>
        <w:rPr>
          <w:rFonts w:hint="eastAsia"/>
          <w:sz w:val="32"/>
          <w:szCs w:val="32"/>
        </w:rPr>
        <w:t>95%</w:t>
      </w:r>
      <w:r>
        <w:rPr>
          <w:sz w:val="32"/>
          <w:szCs w:val="32"/>
        </w:rPr>
        <w:t>，完成率</w:t>
      </w:r>
      <w:r>
        <w:rPr>
          <w:rFonts w:hint="eastAsia"/>
          <w:sz w:val="32"/>
          <w:szCs w:val="32"/>
        </w:rPr>
        <w:t>105.56</w:t>
      </w:r>
      <w:r>
        <w:rPr>
          <w:sz w:val="32"/>
          <w:szCs w:val="32"/>
        </w:rPr>
        <w:t>%，偏差率</w:t>
      </w:r>
      <w:r>
        <w:rPr>
          <w:rFonts w:hint="eastAsia"/>
          <w:sz w:val="32"/>
          <w:szCs w:val="32"/>
        </w:rPr>
        <w:t>5.56</w:t>
      </w:r>
      <w:r>
        <w:rPr>
          <w:sz w:val="32"/>
          <w:szCs w:val="32"/>
        </w:rPr>
        <w:t>%</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w:t>
      </w:r>
      <w:r>
        <w:rPr>
          <w:rFonts w:hint="eastAsia"/>
          <w:sz w:val="32"/>
          <w:szCs w:val="32"/>
          <w:lang w:val="en-US" w:eastAsia="zh-CN"/>
        </w:rPr>
        <w:t>财政部</w:t>
      </w:r>
      <w:r>
        <w:rPr>
          <w:sz w:val="32"/>
          <w:szCs w:val="32"/>
        </w:rPr>
        <w:t>随文下达增殖放流区域内抽样调查满意度指标，指标值为≥</w:t>
      </w:r>
      <w:r>
        <w:rPr>
          <w:rFonts w:hint="eastAsia"/>
          <w:sz w:val="32"/>
          <w:szCs w:val="32"/>
        </w:rPr>
        <w:t>90</w:t>
      </w:r>
      <w:r>
        <w:rPr>
          <w:sz w:val="32"/>
          <w:szCs w:val="32"/>
        </w:rPr>
        <w:t>%</w:t>
      </w:r>
      <w:r>
        <w:rPr>
          <w:rFonts w:hint="eastAsia"/>
          <w:sz w:val="32"/>
          <w:szCs w:val="32"/>
        </w:rPr>
        <w:t>，</w:t>
      </w:r>
      <w:r>
        <w:rPr>
          <w:rFonts w:hint="eastAsia"/>
          <w:sz w:val="32"/>
          <w:szCs w:val="32"/>
          <w:lang w:val="en-US" w:eastAsia="zh-CN"/>
        </w:rPr>
        <w:t>我区</w:t>
      </w:r>
      <w:r>
        <w:rPr>
          <w:sz w:val="32"/>
          <w:szCs w:val="32"/>
        </w:rPr>
        <w:t>实际完成</w:t>
      </w:r>
      <w:r>
        <w:rPr>
          <w:rFonts w:hint="eastAsia"/>
          <w:sz w:val="32"/>
          <w:szCs w:val="32"/>
        </w:rPr>
        <w:t>95%</w:t>
      </w:r>
      <w:r>
        <w:rPr>
          <w:sz w:val="32"/>
          <w:szCs w:val="32"/>
        </w:rPr>
        <w:t>，完成率</w:t>
      </w:r>
      <w:r>
        <w:rPr>
          <w:rFonts w:hint="eastAsia"/>
          <w:sz w:val="32"/>
          <w:szCs w:val="32"/>
        </w:rPr>
        <w:t>105.56</w:t>
      </w:r>
      <w:r>
        <w:rPr>
          <w:sz w:val="32"/>
          <w:szCs w:val="32"/>
        </w:rPr>
        <w:t>%，偏差率</w:t>
      </w:r>
      <w:r>
        <w:rPr>
          <w:rFonts w:hint="eastAsia"/>
          <w:sz w:val="32"/>
          <w:szCs w:val="32"/>
        </w:rPr>
        <w:t>5.56</w:t>
      </w:r>
      <w:r>
        <w:rPr>
          <w:sz w:val="32"/>
          <w:szCs w:val="32"/>
        </w:rPr>
        <w:t>%</w:t>
      </w:r>
      <w:r>
        <w:rPr>
          <w:rFonts w:hint="eastAsia"/>
          <w:sz w:val="32"/>
          <w:szCs w:val="32"/>
        </w:rPr>
        <w:t>。</w:t>
      </w:r>
    </w:p>
    <w:p>
      <w:pPr>
        <w:numPr>
          <w:ilvl w:val="0"/>
          <w:numId w:val="1"/>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bCs/>
          <w:sz w:val="32"/>
          <w:szCs w:val="32"/>
        </w:rPr>
      </w:pPr>
      <w:r>
        <w:rPr>
          <w:rFonts w:eastAsia="黑体"/>
          <w:bCs/>
          <w:sz w:val="32"/>
          <w:szCs w:val="32"/>
        </w:rPr>
        <w:t>偏离绩效目标的原因和下一步改进措施</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eastAsia="zh-CN"/>
        </w:rPr>
        <w:t>（</w:t>
      </w:r>
      <w:r>
        <w:rPr>
          <w:rFonts w:hint="eastAsia"/>
          <w:b/>
          <w:bCs/>
          <w:sz w:val="32"/>
          <w:szCs w:val="32"/>
          <w:lang w:val="en-US" w:eastAsia="zh-CN"/>
        </w:rPr>
        <w:t>一</w:t>
      </w:r>
      <w:r>
        <w:rPr>
          <w:rFonts w:hint="eastAsia"/>
          <w:b/>
          <w:bCs/>
          <w:sz w:val="32"/>
          <w:szCs w:val="32"/>
          <w:lang w:eastAsia="zh-CN"/>
        </w:rPr>
        <w:t>）</w:t>
      </w:r>
      <w:r>
        <w:rPr>
          <w:b/>
          <w:bCs/>
          <w:sz w:val="32"/>
          <w:szCs w:val="32"/>
        </w:rPr>
        <w:t>偏离的绩效目标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val="en-US" w:eastAsia="zh-CN"/>
        </w:rPr>
        <w:t>1、</w:t>
      </w:r>
      <w:r>
        <w:rPr>
          <w:rFonts w:hint="eastAsia"/>
          <w:b/>
          <w:bCs/>
          <w:sz w:val="32"/>
          <w:szCs w:val="32"/>
        </w:rPr>
        <w:t>未完成指标：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eastAsia="zh-CN"/>
        </w:rPr>
        <w:t>（</w:t>
      </w:r>
      <w:r>
        <w:rPr>
          <w:rFonts w:hint="eastAsia"/>
          <w:b/>
          <w:bCs/>
          <w:sz w:val="32"/>
          <w:szCs w:val="32"/>
          <w:lang w:val="en-US" w:eastAsia="zh-CN"/>
        </w:rPr>
        <w:t>1</w:t>
      </w:r>
      <w:r>
        <w:rPr>
          <w:rFonts w:hint="eastAsia"/>
          <w:b/>
          <w:bCs/>
          <w:sz w:val="32"/>
          <w:szCs w:val="32"/>
          <w:lang w:eastAsia="zh-CN"/>
        </w:rPr>
        <w:t>）</w:t>
      </w:r>
      <w:r>
        <w:rPr>
          <w:rFonts w:hint="eastAsia"/>
          <w:b/>
          <w:bCs/>
          <w:sz w:val="32"/>
          <w:szCs w:val="32"/>
        </w:rPr>
        <w:t>数量指标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ascii="Times New Roman PS Pro" w:hAnsi="Times New Roman PS Pro" w:cs="Times New Roman PS Pro"/>
          <w:sz w:val="32"/>
          <w:szCs w:val="32"/>
        </w:rPr>
      </w:pPr>
      <w:r>
        <w:rPr>
          <w:rFonts w:hint="eastAsia"/>
          <w:b/>
          <w:bCs/>
          <w:sz w:val="32"/>
          <w:szCs w:val="32"/>
        </w:rPr>
        <w:t>a．</w:t>
      </w:r>
      <w:r>
        <w:rPr>
          <w:rFonts w:hint="eastAsia"/>
          <w:sz w:val="32"/>
          <w:szCs w:val="32"/>
        </w:rPr>
        <w:t>财政部</w:t>
      </w:r>
      <w:r>
        <w:rPr>
          <w:sz w:val="32"/>
          <w:szCs w:val="32"/>
        </w:rPr>
        <w:t>随文下达</w:t>
      </w:r>
      <w:r>
        <w:rPr>
          <w:rFonts w:hint="eastAsia"/>
          <w:sz w:val="32"/>
          <w:szCs w:val="32"/>
        </w:rPr>
        <w:t>地膜科学使用回收推广面积指标，指标值为11</w:t>
      </w:r>
      <w:r>
        <w:rPr>
          <w:rFonts w:hint="eastAsia"/>
          <w:sz w:val="32"/>
          <w:szCs w:val="32"/>
          <w:lang w:val="en-US" w:eastAsia="zh-CN"/>
        </w:rPr>
        <w:t>35</w:t>
      </w:r>
      <w:r>
        <w:rPr>
          <w:rFonts w:hint="eastAsia"/>
          <w:sz w:val="32"/>
          <w:szCs w:val="32"/>
        </w:rPr>
        <w:t>（万亩），</w:t>
      </w:r>
      <w:r>
        <w:rPr>
          <w:sz w:val="32"/>
          <w:szCs w:val="32"/>
        </w:rPr>
        <w:t>实际完成</w:t>
      </w:r>
      <w:r>
        <w:rPr>
          <w:rFonts w:hint="eastAsia"/>
          <w:sz w:val="32"/>
          <w:szCs w:val="32"/>
        </w:rPr>
        <w:t>182.43万亩</w:t>
      </w:r>
      <w:r>
        <w:rPr>
          <w:sz w:val="32"/>
          <w:szCs w:val="32"/>
        </w:rPr>
        <w:t>，</w:t>
      </w:r>
      <w:r>
        <w:rPr>
          <w:rFonts w:hint="eastAsia"/>
          <w:sz w:val="32"/>
          <w:szCs w:val="32"/>
          <w:lang w:val="en-US" w:eastAsia="zh-CN"/>
        </w:rPr>
        <w:t>完成率</w:t>
      </w:r>
      <w:r>
        <w:rPr>
          <w:rFonts w:hint="eastAsia"/>
          <w:sz w:val="32"/>
          <w:szCs w:val="32"/>
        </w:rPr>
        <w:t>16.</w:t>
      </w:r>
      <w:r>
        <w:rPr>
          <w:rFonts w:hint="eastAsia"/>
          <w:sz w:val="32"/>
          <w:szCs w:val="32"/>
          <w:lang w:val="en-US" w:eastAsia="zh-CN"/>
        </w:rPr>
        <w:t>07</w:t>
      </w:r>
      <w:r>
        <w:rPr>
          <w:sz w:val="32"/>
          <w:szCs w:val="32"/>
        </w:rPr>
        <w:t>%，偏差率</w:t>
      </w:r>
      <w:r>
        <w:rPr>
          <w:rFonts w:hint="eastAsia"/>
          <w:sz w:val="32"/>
          <w:szCs w:val="32"/>
        </w:rPr>
        <w:t>83.</w:t>
      </w:r>
      <w:r>
        <w:rPr>
          <w:rFonts w:hint="eastAsia"/>
          <w:sz w:val="32"/>
          <w:szCs w:val="32"/>
          <w:lang w:val="en-US" w:eastAsia="zh-CN"/>
        </w:rPr>
        <w:t>93</w:t>
      </w:r>
      <w:r>
        <w:rPr>
          <w:sz w:val="32"/>
          <w:szCs w:val="32"/>
        </w:rPr>
        <w:t>%</w:t>
      </w:r>
      <w:r>
        <w:rPr>
          <w:rFonts w:hint="eastAsia"/>
          <w:sz w:val="32"/>
          <w:szCs w:val="32"/>
        </w:rPr>
        <w:t>，</w:t>
      </w:r>
      <w:bookmarkStart w:id="0" w:name="OLE_LINK2"/>
      <w:r>
        <w:rPr>
          <w:rFonts w:hint="eastAsia"/>
          <w:sz w:val="32"/>
          <w:szCs w:val="32"/>
        </w:rPr>
        <w:t>原因：</w:t>
      </w:r>
      <w:r>
        <w:rPr>
          <w:rFonts w:ascii="Times New Roman PS Pro" w:hAnsi="Times New Roman PS Pro" w:cs="Times New Roman PS Pro"/>
          <w:sz w:val="32"/>
          <w:szCs w:val="32"/>
        </w:rPr>
        <w:t>2024年度安排试点任务可跨年度实施，预计2025年春播季节可全部完成</w:t>
      </w:r>
      <w:bookmarkEnd w:id="0"/>
      <w:r>
        <w:rPr>
          <w:rFonts w:hint="eastAsia" w:ascii="Times New Roman PS Pro" w:hAnsi="Times New Roman PS Pro" w:cs="Times New Roman PS Pro"/>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Times New Roman PS Pro" w:hAnsi="Times New Roman PS Pro" w:cs="Times New Roman PS Pro"/>
          <w:sz w:val="32"/>
          <w:szCs w:val="32"/>
        </w:rPr>
      </w:pPr>
      <w:r>
        <w:rPr>
          <w:rFonts w:hint="eastAsia" w:ascii="Times New Roman PS Pro" w:hAnsi="Times New Roman PS Pro" w:cs="Times New Roman PS Pro"/>
          <w:sz w:val="32"/>
          <w:szCs w:val="32"/>
          <w:lang w:val="en-US" w:eastAsia="zh-CN"/>
        </w:rPr>
        <w:t>b</w:t>
      </w:r>
      <w:r>
        <w:rPr>
          <w:rFonts w:hint="eastAsia" w:ascii="Times New Roman PS Pro" w:hAnsi="Times New Roman PS Pro" w:cs="Times New Roman PS Pro"/>
          <w:sz w:val="32"/>
          <w:szCs w:val="32"/>
        </w:rPr>
        <w:t>.财政部随文下达经济物种增殖放流数量指标，指标值为820（万尾），实际完成7</w:t>
      </w:r>
      <w:r>
        <w:rPr>
          <w:rFonts w:hint="eastAsia" w:ascii="Times New Roman PS Pro" w:hAnsi="Times New Roman PS Pro" w:cs="Times New Roman PS Pro"/>
          <w:sz w:val="32"/>
          <w:szCs w:val="32"/>
          <w:lang w:val="en-US" w:eastAsia="zh-CN"/>
        </w:rPr>
        <w:t>49</w:t>
      </w:r>
      <w:r>
        <w:rPr>
          <w:rFonts w:hint="eastAsia" w:ascii="Times New Roman PS Pro" w:hAnsi="Times New Roman PS Pro" w:cs="Times New Roman PS Pro"/>
          <w:sz w:val="32"/>
          <w:szCs w:val="32"/>
        </w:rPr>
        <w:t>.37万尾，完成率</w:t>
      </w:r>
      <w:r>
        <w:rPr>
          <w:rFonts w:hint="eastAsia" w:ascii="Times New Roman PS Pro" w:hAnsi="Times New Roman PS Pro" w:cs="Times New Roman PS Pro"/>
          <w:sz w:val="32"/>
          <w:szCs w:val="32"/>
          <w:lang w:val="en-US" w:eastAsia="zh-CN"/>
        </w:rPr>
        <w:t>91.4</w:t>
      </w:r>
      <w:r>
        <w:rPr>
          <w:rFonts w:hint="eastAsia" w:ascii="Times New Roman PS Pro" w:hAnsi="Times New Roman PS Pro" w:cs="Times New Roman PS Pro"/>
          <w:sz w:val="32"/>
          <w:szCs w:val="32"/>
        </w:rPr>
        <w:t>%，偏差率</w:t>
      </w:r>
      <w:r>
        <w:rPr>
          <w:rFonts w:hint="eastAsia" w:ascii="Times New Roman PS Pro" w:hAnsi="Times New Roman PS Pro" w:cs="Times New Roman PS Pro"/>
          <w:sz w:val="32"/>
          <w:szCs w:val="32"/>
          <w:lang w:val="en-US" w:eastAsia="zh-CN"/>
        </w:rPr>
        <w:t>8.6</w:t>
      </w:r>
      <w:r>
        <w:rPr>
          <w:rFonts w:hint="eastAsia" w:ascii="Times New Roman PS Pro" w:hAnsi="Times New Roman PS Pro" w:cs="Times New Roman PS Pro"/>
          <w:sz w:val="32"/>
          <w:szCs w:val="32"/>
        </w:rPr>
        <w:t>%。偏差原因：阿勒泰地区该项目实施较晚，受天气影响，水温较低，部分品种鱼苗易产生应激反应，对苗种成活率均有影响，剩余70.63万尾完成招标采购任务，但没有完成放流任务。</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Times New Roman PS Pro" w:hAnsi="Times New Roman PS Pro" w:eastAsia="仿宋_GB2312" w:cs="Times New Roman PS Pro"/>
          <w:sz w:val="32"/>
          <w:szCs w:val="32"/>
          <w:lang w:eastAsia="zh-CN"/>
        </w:rPr>
      </w:pPr>
      <w:r>
        <w:rPr>
          <w:rFonts w:hint="eastAsia" w:ascii="Times New Roman PS Pro" w:hAnsi="Times New Roman PS Pro" w:cs="Times New Roman PS Pro"/>
          <w:sz w:val="32"/>
          <w:szCs w:val="32"/>
          <w:lang w:val="en-US" w:eastAsia="zh-CN"/>
        </w:rPr>
        <w:t>c</w:t>
      </w:r>
      <w:r>
        <w:rPr>
          <w:rFonts w:hint="eastAsia" w:ascii="Times New Roman PS Pro" w:hAnsi="Times New Roman PS Pro" w:cs="Times New Roman PS Pro"/>
          <w:sz w:val="32"/>
          <w:szCs w:val="32"/>
        </w:rPr>
        <w:t>.财政部随文下达珍稀濒危物种增殖放流数量指标，指标值为240（万尾），实际完成190.2万尾，完成率79.2%，偏差率20.8%。偏差原因：阿勒泰地区该项目实施较晚，受天气影响，水温较低，部分品种鱼苗易产生应激反应，对苗种成活率均有影响，剩余70.63万尾完成招标采购任务，但没有完成放流任务</w:t>
      </w:r>
      <w:r>
        <w:rPr>
          <w:rFonts w:hint="eastAsia" w:ascii="Times New Roman PS Pro" w:hAnsi="Times New Roman PS Pro" w:cs="Times New Roman PS Pro"/>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ascii="Times New Roman PS Pro" w:hAnsi="Times New Roman PS Pro" w:cs="Times New Roman PS Pro"/>
          <w:b/>
          <w:bCs/>
          <w:sz w:val="32"/>
          <w:szCs w:val="32"/>
        </w:rPr>
      </w:pPr>
      <w:r>
        <w:rPr>
          <w:rFonts w:hint="eastAsia" w:ascii="Times New Roman PS Pro" w:hAnsi="Times New Roman PS Pro" w:cs="Times New Roman PS Pro"/>
          <w:b/>
          <w:bCs/>
          <w:sz w:val="32"/>
          <w:szCs w:val="32"/>
          <w:lang w:val="en-US" w:eastAsia="zh-CN"/>
        </w:rPr>
        <w:t>（2</w:t>
      </w:r>
      <w:r>
        <w:rPr>
          <w:rFonts w:hint="eastAsia" w:ascii="Times New Roman PS Pro" w:hAnsi="Times New Roman PS Pro" w:cs="Times New Roman PS Pro"/>
          <w:b/>
          <w:bCs/>
          <w:sz w:val="32"/>
          <w:szCs w:val="32"/>
          <w:lang w:eastAsia="zh-CN"/>
        </w:rPr>
        <w:t>）</w:t>
      </w:r>
      <w:r>
        <w:rPr>
          <w:rFonts w:hint="eastAsia" w:ascii="Times New Roman PS Pro" w:hAnsi="Times New Roman PS Pro" w:cs="Times New Roman PS Pro"/>
          <w:b/>
          <w:bCs/>
          <w:sz w:val="32"/>
          <w:szCs w:val="32"/>
        </w:rPr>
        <w:t>质量指标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财政部</w:t>
      </w:r>
      <w:r>
        <w:rPr>
          <w:sz w:val="32"/>
          <w:szCs w:val="32"/>
        </w:rPr>
        <w:t>随文下达</w:t>
      </w:r>
      <w:r>
        <w:rPr>
          <w:rFonts w:hint="eastAsia"/>
          <w:sz w:val="32"/>
          <w:szCs w:val="32"/>
        </w:rPr>
        <w:t>项目区农膜回收处置率指标，指标值为83%，实际完成值为71%，偏差率14.46%，偏差原因：</w:t>
      </w:r>
      <w:r>
        <w:rPr>
          <w:sz w:val="32"/>
          <w:szCs w:val="32"/>
        </w:rPr>
        <w:t>该项目跨年度实施，预计2025年春播后可完成剩余任务。2024年地膜回收率达到71%，预计2025年春季地膜回收后，地膜回收率可达85%以上</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ascii="Times New Roman PS Pro" w:hAnsi="Times New Roman PS Pro" w:cs="Times New Roman PS Pro"/>
          <w:b/>
          <w:bCs/>
          <w:sz w:val="32"/>
          <w:szCs w:val="32"/>
          <w:lang w:val="en-US" w:eastAsia="zh-CN"/>
        </w:rPr>
      </w:pPr>
      <w:r>
        <w:rPr>
          <w:rFonts w:hint="eastAsia" w:ascii="Times New Roman PS Pro" w:hAnsi="Times New Roman PS Pro" w:cs="Times New Roman PS Pro"/>
          <w:b/>
          <w:bCs/>
          <w:sz w:val="32"/>
          <w:szCs w:val="32"/>
          <w:lang w:val="en-US" w:eastAsia="zh-CN"/>
        </w:rPr>
        <w:t>（3）时效指标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rPr>
      </w:pPr>
      <w:r>
        <w:rPr>
          <w:sz w:val="32"/>
          <w:szCs w:val="32"/>
          <w:lang w:eastAsia="zh-Hans"/>
        </w:rPr>
        <w:t>a.</w:t>
      </w:r>
      <w:r>
        <w:rPr>
          <w:sz w:val="32"/>
          <w:szCs w:val="32"/>
        </w:rPr>
        <w:t>财政部随文下达草原</w:t>
      </w:r>
      <w:r>
        <w:rPr>
          <w:sz w:val="32"/>
          <w:szCs w:val="32"/>
          <w:lang w:eastAsia="zh-Hans"/>
        </w:rPr>
        <w:t>生态</w:t>
      </w:r>
      <w:r>
        <w:rPr>
          <w:sz w:val="32"/>
          <w:szCs w:val="32"/>
        </w:rPr>
        <w:t>保护补助奖励资金发放到位时间</w:t>
      </w:r>
      <w:r>
        <w:rPr>
          <w:sz w:val="32"/>
          <w:szCs w:val="32"/>
          <w:lang w:eastAsia="zh-Hans"/>
        </w:rPr>
        <w:t>指标，指标值</w:t>
      </w:r>
      <w:r>
        <w:rPr>
          <w:sz w:val="32"/>
          <w:szCs w:val="32"/>
        </w:rPr>
        <w:t>是9月30日前，</w:t>
      </w:r>
      <w:r>
        <w:rPr>
          <w:rFonts w:hint="eastAsia"/>
          <w:sz w:val="32"/>
          <w:szCs w:val="32"/>
          <w:highlight w:val="none"/>
          <w:lang w:eastAsia="zh-Hans"/>
        </w:rPr>
        <w:t>截止2024年9月30日，我区实际发放243193.68万元，完成率98.17%，偏差率1.83%。未完成原因是全区除克拉玛依市外均存在草原被征占的情况，征占后草原已不存在，无法发放资金</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sz w:val="32"/>
          <w:szCs w:val="32"/>
          <w:lang w:val="en-US" w:eastAsia="zh-CN"/>
        </w:rPr>
      </w:pPr>
      <w:r>
        <w:rPr>
          <w:rFonts w:hint="eastAsia"/>
          <w:b/>
          <w:bCs/>
          <w:sz w:val="32"/>
          <w:szCs w:val="32"/>
          <w:lang w:val="en-US" w:eastAsia="zh-CN"/>
        </w:rPr>
        <w:t>2、完成率超过30%的指标</w:t>
      </w:r>
      <w:r>
        <w:rPr>
          <w:rFonts w:hint="eastAsia"/>
          <w:sz w:val="32"/>
          <w:szCs w:val="32"/>
          <w:lang w:val="en-US"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sz w:val="32"/>
          <w:szCs w:val="32"/>
          <w:lang w:val="en-US" w:eastAsia="zh-CN"/>
        </w:rPr>
      </w:pPr>
      <w:r>
        <w:rPr>
          <w:rFonts w:hint="eastAsia"/>
          <w:sz w:val="32"/>
          <w:szCs w:val="32"/>
        </w:rPr>
        <w:t>财政部</w:t>
      </w:r>
      <w:r>
        <w:rPr>
          <w:sz w:val="32"/>
          <w:szCs w:val="32"/>
        </w:rPr>
        <w:t>随文下达建设秸秆综合利用重点县</w:t>
      </w:r>
      <w:r>
        <w:rPr>
          <w:rFonts w:hint="eastAsia"/>
          <w:sz w:val="32"/>
          <w:szCs w:val="32"/>
        </w:rPr>
        <w:t>指标，指标值</w:t>
      </w:r>
      <w:r>
        <w:rPr>
          <w:rFonts w:hint="eastAsia"/>
          <w:sz w:val="32"/>
          <w:szCs w:val="32"/>
          <w:highlight w:val="none"/>
        </w:rPr>
        <w:t>为</w:t>
      </w:r>
      <w:r>
        <w:rPr>
          <w:rFonts w:hint="eastAsia"/>
          <w:sz w:val="32"/>
          <w:szCs w:val="32"/>
          <w:highlight w:val="none"/>
          <w:lang w:val="en-US" w:eastAsia="zh-CN"/>
        </w:rPr>
        <w:t>6</w:t>
      </w:r>
      <w:r>
        <w:rPr>
          <w:rFonts w:hint="eastAsia"/>
          <w:sz w:val="32"/>
          <w:szCs w:val="32"/>
          <w:highlight w:val="none"/>
        </w:rPr>
        <w:t>个</w:t>
      </w:r>
      <w:r>
        <w:rPr>
          <w:rFonts w:hint="eastAsia"/>
          <w:sz w:val="32"/>
          <w:szCs w:val="32"/>
        </w:rPr>
        <w:t>，</w:t>
      </w:r>
      <w:r>
        <w:rPr>
          <w:rFonts w:hint="eastAsia" w:ascii="Times New Roman PS Pro" w:hAnsi="Times New Roman PS Pro" w:cs="Times New Roman PS Pro"/>
          <w:sz w:val="32"/>
          <w:szCs w:val="32"/>
        </w:rPr>
        <w:t>我区</w:t>
      </w:r>
      <w:r>
        <w:rPr>
          <w:rFonts w:hint="eastAsia" w:ascii="Times New Roman PS Pro" w:hAnsi="Times New Roman PS Pro" w:cs="Times New Roman PS Pro"/>
          <w:sz w:val="32"/>
          <w:szCs w:val="32"/>
          <w:lang w:val="en-US" w:eastAsia="zh-CN"/>
        </w:rPr>
        <w:t>实际完成</w:t>
      </w:r>
      <w:r>
        <w:rPr>
          <w:rFonts w:ascii="Times New Roman PS Pro" w:hAnsi="Times New Roman PS Pro" w:cs="Times New Roman PS Pro"/>
          <w:sz w:val="32"/>
          <w:szCs w:val="32"/>
        </w:rPr>
        <w:t>已建设重点县12个，完成率</w:t>
      </w:r>
      <w:r>
        <w:rPr>
          <w:rFonts w:hint="eastAsia" w:ascii="Times New Roman PS Pro" w:hAnsi="Times New Roman PS Pro" w:cs="Times New Roman PS Pro"/>
          <w:sz w:val="32"/>
          <w:szCs w:val="32"/>
          <w:lang w:val="en-US" w:eastAsia="zh-CN"/>
        </w:rPr>
        <w:t>2</w:t>
      </w:r>
      <w:r>
        <w:rPr>
          <w:rFonts w:ascii="Times New Roman PS Pro" w:hAnsi="Times New Roman PS Pro" w:cs="Times New Roman PS Pro"/>
          <w:sz w:val="32"/>
          <w:szCs w:val="32"/>
        </w:rPr>
        <w:t>00%</w:t>
      </w:r>
      <w:r>
        <w:rPr>
          <w:rFonts w:hint="eastAsia" w:ascii="Times New Roman PS Pro" w:hAnsi="Times New Roman PS Pro" w:cs="Times New Roman PS Pro"/>
          <w:sz w:val="32"/>
          <w:szCs w:val="32"/>
        </w:rPr>
        <w:t>，</w:t>
      </w:r>
      <w:r>
        <w:rPr>
          <w:rFonts w:ascii="Times New Roman PS Pro" w:hAnsi="Times New Roman PS Pro" w:cs="Times New Roman PS Pro"/>
          <w:sz w:val="32"/>
          <w:szCs w:val="32"/>
        </w:rPr>
        <w:t>偏差率为</w:t>
      </w:r>
      <w:r>
        <w:rPr>
          <w:rFonts w:hint="eastAsia" w:ascii="Times New Roman PS Pro" w:hAnsi="Times New Roman PS Pro" w:cs="Times New Roman PS Pro"/>
          <w:sz w:val="32"/>
          <w:szCs w:val="32"/>
          <w:lang w:val="en-US" w:eastAsia="zh-CN"/>
        </w:rPr>
        <w:t>100</w:t>
      </w:r>
      <w:r>
        <w:rPr>
          <w:rFonts w:hint="eastAsia" w:ascii="Times New Roman PS Pro" w:hAnsi="Times New Roman PS Pro" w:cs="Times New Roman PS Pro"/>
          <w:sz w:val="32"/>
          <w:szCs w:val="32"/>
        </w:rPr>
        <w:t>%</w:t>
      </w:r>
      <w:r>
        <w:rPr>
          <w:sz w:val="32"/>
          <w:szCs w:val="32"/>
        </w:rPr>
        <w:t>。</w:t>
      </w:r>
      <w:r>
        <w:rPr>
          <w:rFonts w:hint="eastAsia"/>
          <w:sz w:val="32"/>
          <w:szCs w:val="32"/>
          <w:highlight w:val="none"/>
          <w:lang w:val="en-US" w:eastAsia="zh-CN"/>
        </w:rPr>
        <w:t>偏差原因</w:t>
      </w:r>
      <w:r>
        <w:rPr>
          <w:rFonts w:hint="eastAsia"/>
          <w:sz w:val="32"/>
          <w:szCs w:val="32"/>
          <w:lang w:val="en-US" w:eastAsia="zh-CN"/>
        </w:rPr>
        <w:t>：一是经与农业农村部科技司对接，秸秆综合利用重点县市数量大于等于6个县市即可，具体情况可结合新疆实际。二是根据《自治区党委办公厅人民政府办公厅关于印发2024年自治区粮棉果畜农业特色产业高质量发展的财政金融支持政策的通知》（新党办发 〔2024〕2号）要求，支持农作物秸秆综合利用，按照每个县补助500-1000万元的标准支持粮油、棉花主产县推进秸秆饲料化、肥料化、燃料华、基料化、原料化利用的要求，9479万元可支持12个县市开展项目。改进措施：下一步积极做好项目储备工作，按照主产县的意愿及历年项目实施情况，择优选择县市实施项目。</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val="en-US" w:eastAsia="zh-CN"/>
        </w:rPr>
        <w:t>（二）</w:t>
      </w:r>
      <w:r>
        <w:rPr>
          <w:b/>
          <w:bCs/>
          <w:sz w:val="32"/>
          <w:szCs w:val="32"/>
        </w:rPr>
        <w:t>下一步改进措施</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b/>
          <w:bCs/>
          <w:sz w:val="32"/>
          <w:szCs w:val="32"/>
          <w:highlight w:val="none"/>
          <w:lang w:eastAsia="zh-CN"/>
        </w:rPr>
      </w:pPr>
      <w:r>
        <w:rPr>
          <w:rFonts w:hint="eastAsia"/>
          <w:b/>
          <w:bCs/>
          <w:sz w:val="32"/>
          <w:szCs w:val="32"/>
          <w:highlight w:val="none"/>
          <w:lang w:val="en-US" w:eastAsia="zh-CN"/>
        </w:rPr>
        <w:t>1.</w:t>
      </w:r>
      <w:r>
        <w:rPr>
          <w:b/>
          <w:bCs/>
          <w:sz w:val="32"/>
          <w:szCs w:val="32"/>
          <w:highlight w:val="none"/>
        </w:rPr>
        <w:t>项目实施过程中存在不足</w:t>
      </w:r>
      <w:r>
        <w:rPr>
          <w:rFonts w:hint="eastAsia"/>
          <w:b/>
          <w:bCs/>
          <w:sz w:val="32"/>
          <w:szCs w:val="32"/>
          <w:highlight w:val="none"/>
          <w:lang w:eastAsia="zh-CN"/>
        </w:rPr>
        <w:t>。</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b/>
          <w:bCs/>
          <w:sz w:val="32"/>
          <w:szCs w:val="32"/>
          <w:highlight w:val="none"/>
          <w:lang w:val="en-US" w:eastAsia="zh-CN"/>
        </w:rPr>
      </w:pPr>
      <w:r>
        <w:rPr>
          <w:rFonts w:hint="eastAsia"/>
          <w:sz w:val="32"/>
          <w:szCs w:val="32"/>
          <w:lang w:val="en-US" w:eastAsia="zh-CN"/>
        </w:rPr>
        <w:t>本项目草原生态保护补助奖励政策涉及完善草原确权承包、草原生态动态监测评估、禁牧和草畜平衡区域动态调整优化等多方面内容，各相关部门工作协同不够紧密。集中体现为以下不足情况：</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lang w:val="en-US" w:eastAsia="zh-CN"/>
        </w:rPr>
        <w:t>资金分配不均衡，部分生态脆弱地区资金支持不足，而一些条件较好的地区可能存在资金过剩现象。资金分配机制未能充分体现区域生态保护需求的差异性。</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lang w:val="en-US" w:eastAsia="zh-CN"/>
        </w:rPr>
        <w:t>项目执行能力不足，部分项目实施单位缺乏专业能力，导致项目进展缓慢或质量不达标。人才和技术支持不足，培训机制不健全。</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sz w:val="32"/>
          <w:szCs w:val="32"/>
          <w:lang w:val="en-US" w:eastAsia="zh-CN"/>
        </w:rPr>
      </w:pPr>
      <w:r>
        <w:rPr>
          <w:rFonts w:hint="eastAsia"/>
          <w:sz w:val="32"/>
          <w:szCs w:val="32"/>
          <w:lang w:val="en-US" w:eastAsia="zh-CN"/>
        </w:rPr>
        <w:t>生态效益评估不足问题，项目完成后，缺乏对生态效益的长期监测和评估，难以量化项目成效。生态效益评估体系不完善，缺乏科学的评估指标和方法。</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default"/>
          <w:b/>
          <w:bCs/>
          <w:sz w:val="32"/>
          <w:szCs w:val="32"/>
          <w:highlight w:val="none"/>
          <w:lang w:val="en-US" w:eastAsia="zh-CN"/>
        </w:rPr>
      </w:pPr>
      <w:r>
        <w:rPr>
          <w:rFonts w:hint="eastAsia"/>
          <w:b/>
          <w:bCs/>
          <w:sz w:val="32"/>
          <w:szCs w:val="32"/>
          <w:highlight w:val="none"/>
        </w:rPr>
        <w:t>2.</w:t>
      </w:r>
      <w:r>
        <w:rPr>
          <w:b/>
          <w:bCs/>
          <w:sz w:val="32"/>
          <w:szCs w:val="32"/>
          <w:highlight w:val="none"/>
        </w:rPr>
        <w:t>下一步</w:t>
      </w:r>
      <w:r>
        <w:rPr>
          <w:rFonts w:hint="eastAsia"/>
          <w:b/>
          <w:bCs/>
          <w:sz w:val="32"/>
          <w:szCs w:val="32"/>
          <w:highlight w:val="none"/>
          <w:lang w:eastAsia="zh-CN"/>
        </w:rPr>
        <w:t>工作实施</w:t>
      </w:r>
      <w:r>
        <w:rPr>
          <w:b/>
          <w:bCs/>
          <w:sz w:val="32"/>
          <w:szCs w:val="32"/>
          <w:highlight w:val="none"/>
        </w:rPr>
        <w:t>改进措施</w:t>
      </w:r>
      <w:r>
        <w:rPr>
          <w:rFonts w:hint="eastAsia"/>
          <w:b/>
          <w:bCs/>
          <w:sz w:val="32"/>
          <w:szCs w:val="32"/>
          <w:highlight w:val="none"/>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2"/>
          <w:lang w:eastAsia="zh-CN"/>
        </w:rPr>
      </w:pPr>
      <w:r>
        <w:rPr>
          <w:rFonts w:hint="eastAsia"/>
          <w:sz w:val="32"/>
          <w:szCs w:val="32"/>
        </w:rPr>
        <w:t>优化资金分配机制</w:t>
      </w:r>
      <w:r>
        <w:rPr>
          <w:rFonts w:hint="eastAsia"/>
          <w:sz w:val="32"/>
          <w:szCs w:val="32"/>
          <w:lang w:eastAsia="zh-CN"/>
        </w:rPr>
        <w:t>，</w:t>
      </w:r>
      <w:r>
        <w:rPr>
          <w:rFonts w:hint="eastAsia"/>
          <w:sz w:val="32"/>
          <w:szCs w:val="32"/>
        </w:rPr>
        <w:t>建立科学的资金分配模型，综合考虑区域生态脆弱性、保护需求和经济发展水平，确保资金分配公平合理。引入第三方评估机构，对资金分配方案进行独立评估</w:t>
      </w:r>
      <w:r>
        <w:rPr>
          <w:rFonts w:hint="eastAsia"/>
          <w:sz w:val="32"/>
          <w:szCs w:val="32"/>
          <w:lang w:eastAsia="zh-CN"/>
        </w:rPr>
        <w:t>。提升项目执行能力，加强对项目实施单位的培训和指导，提升其专业能力和管理水平。引入专家团队和技术支持，为项目实施提供智力保障。建立生态效益评估体系，制定科学的生态效益评估指标和方法，对项目实施后的生态效益进行长期监测和评估。引入第三方评估机构，确保评估结果的客观性和公正性。</w:t>
      </w:r>
      <w:r>
        <w:rPr>
          <w:rFonts w:hint="eastAsia"/>
          <w:sz w:val="32"/>
          <w:szCs w:val="32"/>
          <w:lang w:val="en-US" w:eastAsia="zh-CN"/>
        </w:rPr>
        <w:t>加</w:t>
      </w:r>
      <w:r>
        <w:rPr>
          <w:rFonts w:hint="eastAsia"/>
          <w:sz w:val="32"/>
          <w:szCs w:val="32"/>
          <w:lang w:eastAsia="zh-CN"/>
        </w:rPr>
        <w:t>强与自治区财政、林草等部门的沟通协作，对享受政策的牧户（项目单位）进行登记造册，做好草原生态保护补助奖励政策管理信息系统录入。开展政策宣传和政策落实培训，保障政策宣传到位。</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pPr>
      <w:r>
        <w:rPr>
          <w:sz w:val="32"/>
          <w:szCs w:val="32"/>
        </w:rPr>
        <w:t>自治区农业农村厅将</w:t>
      </w:r>
      <w:r>
        <w:rPr>
          <w:rFonts w:hint="eastAsia"/>
          <w:sz w:val="32"/>
          <w:szCs w:val="32"/>
        </w:rPr>
        <w:t>进一步</w:t>
      </w:r>
      <w:r>
        <w:rPr>
          <w:sz w:val="32"/>
          <w:szCs w:val="32"/>
        </w:rPr>
        <w:t>加强资金使用的督导、推动专项任务按时完成</w:t>
      </w:r>
      <w:bookmarkStart w:id="1" w:name="_Hlk36400345"/>
      <w:r>
        <w:rPr>
          <w:sz w:val="32"/>
          <w:szCs w:val="32"/>
        </w:rPr>
        <w:t>、强化绩效目标管理</w:t>
      </w:r>
      <w:bookmarkEnd w:id="1"/>
      <w:r>
        <w:rPr>
          <w:sz w:val="32"/>
          <w:szCs w:val="32"/>
        </w:rPr>
        <w:t>、提升沟通协调能力等方面有序开展工作，根据实际情况，确保专项补助资金按相关要求执行，进一步提高中央财政相关农业转移支付资金的使用效益。</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四、绩效自评结果拟应用和公开情况</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highlight w:val="yellow"/>
        </w:rPr>
      </w:pPr>
      <w:r>
        <w:rPr>
          <w:sz w:val="32"/>
          <w:szCs w:val="32"/>
        </w:rPr>
        <w:t>1.按照财政部《项目支出绩效评价管理办法》（财预〔2020〕10号）规定，单位自评标准是：预算执行10分，产出指标50分，效益指标30分，服务对象满意度指标10分。经自评，202</w:t>
      </w:r>
      <w:r>
        <w:rPr>
          <w:rFonts w:hint="eastAsia"/>
          <w:sz w:val="32"/>
          <w:szCs w:val="32"/>
        </w:rPr>
        <w:t>4</w:t>
      </w:r>
      <w:r>
        <w:rPr>
          <w:sz w:val="32"/>
          <w:szCs w:val="32"/>
        </w:rPr>
        <w:t>年度</w:t>
      </w:r>
      <w:r>
        <w:rPr>
          <w:rFonts w:hint="eastAsia"/>
          <w:sz w:val="32"/>
          <w:szCs w:val="32"/>
        </w:rPr>
        <w:t>农业生态资源保护资金</w:t>
      </w:r>
      <w:r>
        <w:rPr>
          <w:sz w:val="32"/>
          <w:szCs w:val="32"/>
        </w:rPr>
        <w:t>项目综合评价自评得分为</w:t>
      </w:r>
      <w:r>
        <w:rPr>
          <w:rFonts w:hint="eastAsia"/>
          <w:sz w:val="32"/>
          <w:szCs w:val="32"/>
          <w:lang w:val="en-US" w:eastAsia="zh-CN"/>
        </w:rPr>
        <w:t>82.41</w:t>
      </w:r>
      <w:r>
        <w:rPr>
          <w:sz w:val="32"/>
          <w:szCs w:val="32"/>
        </w:rPr>
        <w:t>分，其中：预算执行</w:t>
      </w:r>
      <w:r>
        <w:rPr>
          <w:rFonts w:hint="eastAsia"/>
          <w:sz w:val="32"/>
          <w:szCs w:val="32"/>
        </w:rPr>
        <w:t>8.89</w:t>
      </w:r>
      <w:r>
        <w:rPr>
          <w:sz w:val="32"/>
          <w:szCs w:val="32"/>
        </w:rPr>
        <w:t>分、产出指标</w:t>
      </w:r>
      <w:r>
        <w:rPr>
          <w:rFonts w:hint="eastAsia"/>
          <w:sz w:val="32"/>
          <w:szCs w:val="32"/>
          <w:lang w:val="en-US" w:eastAsia="zh-CN"/>
        </w:rPr>
        <w:t>33.52</w:t>
      </w:r>
      <w:r>
        <w:rPr>
          <w:sz w:val="32"/>
          <w:szCs w:val="32"/>
        </w:rPr>
        <w:t>分、效益指标</w:t>
      </w:r>
      <w:r>
        <w:rPr>
          <w:rFonts w:hint="eastAsia"/>
          <w:sz w:val="32"/>
          <w:szCs w:val="32"/>
        </w:rPr>
        <w:t>30</w:t>
      </w:r>
      <w:r>
        <w:rPr>
          <w:sz w:val="32"/>
          <w:szCs w:val="32"/>
        </w:rPr>
        <w:t>分、服务对象满意度指标</w:t>
      </w:r>
      <w:r>
        <w:rPr>
          <w:rFonts w:hint="eastAsia"/>
          <w:sz w:val="32"/>
          <w:szCs w:val="32"/>
        </w:rPr>
        <w:t>10</w:t>
      </w:r>
      <w:r>
        <w:rPr>
          <w:sz w:val="32"/>
          <w:szCs w:val="32"/>
        </w:rPr>
        <w:t>分，自评结果为“</w:t>
      </w:r>
      <w:r>
        <w:rPr>
          <w:rFonts w:hint="eastAsia"/>
          <w:sz w:val="32"/>
          <w:szCs w:val="32"/>
          <w:lang w:val="en-US" w:eastAsia="zh-CN"/>
        </w:rPr>
        <w:t>良</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自治区农业农村厅高度重视绩效评价结果的应用工作，积极探索建立与预算管理相结合的有效机制，着力提高绩效意识和财政资金使用效益。农业产业发展转移支付资金的绩效自评价结果、执行情况等将作为下一年度安排项目资金的依据，对于绩效自评差的、执行进度慢的地</w:t>
      </w:r>
      <w:r>
        <w:rPr>
          <w:rFonts w:hint="eastAsia"/>
          <w:sz w:val="32"/>
          <w:szCs w:val="32"/>
        </w:rPr>
        <w:t>（</w:t>
      </w:r>
      <w:r>
        <w:rPr>
          <w:sz w:val="32"/>
          <w:szCs w:val="32"/>
        </w:rPr>
        <w:t>州</w:t>
      </w:r>
      <w:r>
        <w:rPr>
          <w:rFonts w:hint="eastAsia"/>
          <w:sz w:val="32"/>
          <w:szCs w:val="32"/>
        </w:rPr>
        <w:t>、市）</w:t>
      </w:r>
      <w:r>
        <w:rPr>
          <w:sz w:val="32"/>
          <w:szCs w:val="32"/>
        </w:rPr>
        <w:t>，将在分配下一年度资金时酌情扣减。同时将不断提升预算管理水平，进一步夯实业务基础，提高我单位绩效人员水平。专门设定对绩效工作人员定职、定岗、定责等相关制度措施，进一步提升我单位绩效管理工作业务水平，扎实做好绩效管理工作。</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3.评价结果将在</w:t>
      </w:r>
      <w:r>
        <w:rPr>
          <w:rFonts w:hint="eastAsia"/>
          <w:sz w:val="32"/>
          <w:szCs w:val="32"/>
        </w:rPr>
        <w:t>自治区农业农村厅、自治区财政厅</w:t>
      </w:r>
      <w:r>
        <w:rPr>
          <w:sz w:val="32"/>
          <w:szCs w:val="32"/>
        </w:rPr>
        <w:t>门户网站进行公示公开，广泛接受社会监督。</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sz w:val="32"/>
          <w:szCs w:val="32"/>
        </w:rPr>
      </w:pPr>
      <w:r>
        <w:rPr>
          <w:rFonts w:eastAsia="黑体"/>
          <w:sz w:val="32"/>
          <w:szCs w:val="32"/>
        </w:rPr>
        <w:t>五、其他需要说明的问题</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中央巡视、各级审计和财政监督中未发现问题。</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黑体"/>
          <w:sz w:val="32"/>
          <w:szCs w:val="32"/>
          <w:lang w:eastAsia="zh-CN"/>
        </w:rPr>
      </w:pPr>
      <w:r>
        <w:rPr>
          <w:rFonts w:hint="eastAsia" w:eastAsia="黑体"/>
          <w:sz w:val="32"/>
          <w:szCs w:val="32"/>
          <w:lang w:eastAsia="zh-CN"/>
        </w:rPr>
        <w:t>六</w:t>
      </w:r>
      <w:r>
        <w:rPr>
          <w:rFonts w:eastAsia="黑体"/>
          <w:sz w:val="32"/>
          <w:szCs w:val="32"/>
        </w:rPr>
        <w:t>、附件</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202</w:t>
      </w:r>
      <w:r>
        <w:rPr>
          <w:rFonts w:hint="eastAsia"/>
          <w:sz w:val="32"/>
          <w:szCs w:val="32"/>
        </w:rPr>
        <w:t>4</w:t>
      </w:r>
      <w:r>
        <w:rPr>
          <w:sz w:val="32"/>
          <w:szCs w:val="32"/>
        </w:rPr>
        <w:t>年中央对地方专项转移支付绩效目标自评表（</w:t>
      </w:r>
      <w:r>
        <w:rPr>
          <w:rFonts w:hint="eastAsia"/>
          <w:sz w:val="32"/>
          <w:szCs w:val="32"/>
        </w:rPr>
        <w:t>农业生态资源保护资金</w:t>
      </w:r>
      <w:r>
        <w:rPr>
          <w:sz w:val="32"/>
          <w:szCs w:val="32"/>
        </w:rPr>
        <w:t>）</w:t>
      </w:r>
    </w:p>
    <w:p>
      <w:pPr>
        <w:pStyle w:val="10"/>
        <w:ind w:left="600" w:firstLine="600"/>
        <w:rPr>
          <w:rFonts w:ascii="Times New Roman" w:hAnsi="Times New Roman"/>
        </w:rPr>
        <w:sectPr>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附件：</w:t>
      </w:r>
    </w:p>
    <w:p>
      <w:pPr>
        <w:pStyle w:val="9"/>
        <w:spacing w:line="600" w:lineRule="exact"/>
        <w:ind w:firstLine="722" w:firstLineChars="200"/>
        <w:jc w:val="center"/>
        <w:rPr>
          <w:rFonts w:ascii="Times New Roman" w:hAnsi="Times New Roman" w:cs="Times New Roman"/>
          <w:b/>
          <w:bCs/>
          <w:kern w:val="0"/>
          <w:sz w:val="36"/>
          <w:szCs w:val="36"/>
          <w:lang w:val="en-US"/>
        </w:rPr>
      </w:pPr>
      <w:r>
        <w:rPr>
          <w:rFonts w:hint="eastAsia" w:ascii="Times New Roman" w:hAnsi="Times New Roman" w:cs="Times New Roman"/>
          <w:b/>
          <w:bCs/>
          <w:kern w:val="0"/>
          <w:sz w:val="36"/>
          <w:szCs w:val="36"/>
          <w:lang w:val="en-US"/>
        </w:rPr>
        <w:t>2024年中央对地方专项转移支付绩效目标自评表（农业生态资源保护资金）</w:t>
      </w:r>
    </w:p>
    <w:tbl>
      <w:tblPr>
        <w:tblStyle w:val="1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277"/>
        <w:gridCol w:w="1426"/>
        <w:gridCol w:w="1573"/>
        <w:gridCol w:w="97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restar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转移支付（项目）名称</w:t>
            </w:r>
          </w:p>
        </w:tc>
        <w:tc>
          <w:tcPr>
            <w:tcW w:w="3866" w:type="pct"/>
            <w:gridSpan w:val="5"/>
            <w:vMerge w:val="restar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农业生态资源保护资金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3866" w:type="pct"/>
            <w:gridSpan w:val="5"/>
            <w:vMerge w:val="continue"/>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33"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中央主管部门</w:t>
            </w:r>
          </w:p>
        </w:tc>
        <w:tc>
          <w:tcPr>
            <w:tcW w:w="3866" w:type="pct"/>
            <w:gridSpan w:val="5"/>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33"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地方主管部门</w:t>
            </w:r>
          </w:p>
        </w:tc>
        <w:tc>
          <w:tcPr>
            <w:tcW w:w="1490"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自治区财政厅、农业农村厅</w:t>
            </w:r>
          </w:p>
        </w:tc>
        <w:tc>
          <w:tcPr>
            <w:tcW w:w="867" w:type="pct"/>
            <w:noWrap/>
            <w:vAlign w:val="center"/>
          </w:tcPr>
          <w:p>
            <w:pPr>
              <w:widowControl/>
              <w:spacing w:line="0" w:lineRule="atLeast"/>
              <w:jc w:val="left"/>
              <w:textAlignment w:val="center"/>
              <w:rPr>
                <w:rFonts w:eastAsia="宋体"/>
                <w:color w:val="000000"/>
                <w:sz w:val="16"/>
                <w:szCs w:val="16"/>
              </w:rPr>
            </w:pPr>
            <w:r>
              <w:rPr>
                <w:rFonts w:eastAsia="宋体"/>
                <w:color w:val="000000"/>
                <w:kern w:val="0"/>
                <w:sz w:val="16"/>
                <w:szCs w:val="16"/>
                <w:lang w:bidi="ar"/>
              </w:rPr>
              <w:t>资金使用单位</w:t>
            </w:r>
          </w:p>
        </w:tc>
        <w:tc>
          <w:tcPr>
            <w:tcW w:w="1508"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3" w:type="pct"/>
            <w:gridSpan w:val="2"/>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资金投入情况</w:t>
            </w:r>
            <w:r>
              <w:rPr>
                <w:rFonts w:eastAsia="宋体"/>
                <w:color w:val="000000"/>
                <w:kern w:val="0"/>
                <w:sz w:val="16"/>
                <w:szCs w:val="16"/>
                <w:lang w:bidi="ar"/>
              </w:rPr>
              <w:br w:type="textWrapping"/>
            </w:r>
            <w:r>
              <w:rPr>
                <w:rFonts w:eastAsia="宋体"/>
                <w:color w:val="000000"/>
                <w:kern w:val="0"/>
                <w:sz w:val="16"/>
                <w:szCs w:val="16"/>
                <w:lang w:bidi="ar"/>
              </w:rPr>
              <w:t>（万元）</w:t>
            </w:r>
          </w:p>
        </w:tc>
        <w:tc>
          <w:tcPr>
            <w:tcW w:w="704" w:type="pct"/>
            <w:noWrap/>
            <w:vAlign w:val="center"/>
          </w:tcPr>
          <w:p>
            <w:pPr>
              <w:spacing w:line="0" w:lineRule="atLeast"/>
              <w:rPr>
                <w:rFonts w:eastAsia="宋体"/>
                <w:color w:val="000000"/>
                <w:sz w:val="16"/>
                <w:szCs w:val="16"/>
              </w:rPr>
            </w:pPr>
          </w:p>
        </w:tc>
        <w:tc>
          <w:tcPr>
            <w:tcW w:w="786"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全年预算数（A</w:t>
            </w:r>
            <w:r>
              <w:rPr>
                <w:rFonts w:hint="eastAsia" w:eastAsia="宋体"/>
                <w:color w:val="000000"/>
                <w:kern w:val="0"/>
                <w:sz w:val="16"/>
                <w:szCs w:val="16"/>
                <w:lang w:bidi="ar"/>
              </w:rPr>
              <w:t>）</w:t>
            </w:r>
          </w:p>
        </w:tc>
        <w:tc>
          <w:tcPr>
            <w:tcW w:w="867"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全年执行数（B</w:t>
            </w:r>
            <w:r>
              <w:rPr>
                <w:rFonts w:hint="eastAsia" w:eastAsia="宋体"/>
                <w:color w:val="000000"/>
                <w:kern w:val="0"/>
                <w:sz w:val="16"/>
                <w:szCs w:val="16"/>
                <w:lang w:bidi="ar"/>
              </w:rPr>
              <w:t>）</w:t>
            </w:r>
          </w:p>
        </w:tc>
        <w:tc>
          <w:tcPr>
            <w:tcW w:w="1508" w:type="pct"/>
            <w:gridSpan w:val="2"/>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预算执行率</w:t>
            </w:r>
            <w:r>
              <w:rPr>
                <w:rFonts w:eastAsia="宋体"/>
                <w:color w:val="000000"/>
                <w:kern w:val="0"/>
                <w:sz w:val="16"/>
                <w:szCs w:val="16"/>
                <w:lang w:bidi="ar"/>
              </w:rPr>
              <w:br w:type="textWrapping"/>
            </w:r>
            <w:r>
              <w:rPr>
                <w:rFonts w:eastAsia="宋体"/>
                <w:color w:val="000000"/>
                <w:kern w:val="0"/>
                <w:sz w:val="16"/>
                <w:szCs w:val="16"/>
                <w:lang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年度资金总额：</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293805</w:t>
            </w:r>
          </w:p>
        </w:tc>
        <w:tc>
          <w:tcPr>
            <w:tcW w:w="867" w:type="pct"/>
            <w:vAlign w:val="center"/>
          </w:tcPr>
          <w:p>
            <w:pPr>
              <w:widowControl/>
              <w:spacing w:line="0" w:lineRule="atLeast"/>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261203.13</w:t>
            </w:r>
          </w:p>
        </w:tc>
        <w:tc>
          <w:tcPr>
            <w:tcW w:w="1508" w:type="pct"/>
            <w:gridSpan w:val="2"/>
            <w:noWrap/>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88.90</w:t>
            </w:r>
            <w:r>
              <w:rPr>
                <w:rFonts w:eastAsia="宋体"/>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其中：中央</w:t>
            </w:r>
          </w:p>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财政资金</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293805</w:t>
            </w:r>
          </w:p>
        </w:tc>
        <w:tc>
          <w:tcPr>
            <w:tcW w:w="867" w:type="pct"/>
            <w:vAlign w:val="center"/>
          </w:tcPr>
          <w:p>
            <w:pPr>
              <w:widowControl/>
              <w:spacing w:line="0" w:lineRule="atLeast"/>
              <w:jc w:val="center"/>
              <w:textAlignment w:val="center"/>
              <w:rPr>
                <w:rFonts w:hint="default" w:eastAsia="宋体"/>
                <w:color w:val="000000"/>
                <w:kern w:val="0"/>
                <w:sz w:val="16"/>
                <w:szCs w:val="16"/>
                <w:lang w:val="en-US" w:bidi="ar"/>
              </w:rPr>
            </w:pPr>
            <w:r>
              <w:rPr>
                <w:rFonts w:hint="eastAsia" w:eastAsia="宋体"/>
                <w:color w:val="000000"/>
                <w:kern w:val="0"/>
                <w:sz w:val="16"/>
                <w:szCs w:val="16"/>
                <w:lang w:val="en-US" w:eastAsia="zh-CN" w:bidi="ar"/>
              </w:rPr>
              <w:t>261203.13</w:t>
            </w:r>
          </w:p>
        </w:tc>
        <w:tc>
          <w:tcPr>
            <w:tcW w:w="1508" w:type="pct"/>
            <w:gridSpan w:val="2"/>
            <w:noWrap/>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88.90</w:t>
            </w:r>
            <w:r>
              <w:rPr>
                <w:rFonts w:eastAsia="宋体"/>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地方资金</w:t>
            </w:r>
          </w:p>
        </w:tc>
        <w:tc>
          <w:tcPr>
            <w:tcW w:w="786" w:type="pct"/>
            <w:vAlign w:val="center"/>
          </w:tcPr>
          <w:p>
            <w:pPr>
              <w:widowControl/>
              <w:spacing w:line="0" w:lineRule="atLeast"/>
              <w:jc w:val="center"/>
              <w:textAlignment w:val="center"/>
              <w:rPr>
                <w:rFonts w:eastAsia="宋体"/>
                <w:color w:val="000000"/>
                <w:sz w:val="16"/>
                <w:szCs w:val="16"/>
              </w:rPr>
            </w:pPr>
          </w:p>
        </w:tc>
        <w:tc>
          <w:tcPr>
            <w:tcW w:w="867" w:type="pct"/>
            <w:vAlign w:val="center"/>
          </w:tcPr>
          <w:p>
            <w:pPr>
              <w:widowControl/>
              <w:spacing w:line="0" w:lineRule="atLeast"/>
              <w:jc w:val="center"/>
              <w:textAlignment w:val="center"/>
              <w:rPr>
                <w:rFonts w:eastAsia="宋体"/>
                <w:color w:val="000000"/>
                <w:sz w:val="16"/>
                <w:szCs w:val="16"/>
              </w:rPr>
            </w:pPr>
          </w:p>
        </w:tc>
        <w:tc>
          <w:tcPr>
            <w:tcW w:w="1508" w:type="pct"/>
            <w:gridSpan w:val="2"/>
            <w:noWrap/>
            <w:vAlign w:val="center"/>
          </w:tcPr>
          <w:p>
            <w:pPr>
              <w:widowControl/>
              <w:spacing w:line="0" w:lineRule="atLeast"/>
              <w:jc w:val="center"/>
              <w:textAlignment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其他资金</w:t>
            </w:r>
          </w:p>
        </w:tc>
        <w:tc>
          <w:tcPr>
            <w:tcW w:w="786" w:type="pct"/>
            <w:noWrap/>
            <w:vAlign w:val="center"/>
          </w:tcPr>
          <w:p>
            <w:pPr>
              <w:spacing w:line="0" w:lineRule="atLeast"/>
              <w:jc w:val="center"/>
              <w:rPr>
                <w:rFonts w:eastAsia="宋体"/>
                <w:color w:val="000000"/>
                <w:sz w:val="16"/>
                <w:szCs w:val="16"/>
              </w:rPr>
            </w:pPr>
          </w:p>
        </w:tc>
        <w:tc>
          <w:tcPr>
            <w:tcW w:w="867" w:type="pct"/>
            <w:noWrap/>
            <w:vAlign w:val="center"/>
          </w:tcPr>
          <w:p>
            <w:pPr>
              <w:spacing w:line="0" w:lineRule="atLeast"/>
              <w:jc w:val="center"/>
              <w:rPr>
                <w:rFonts w:eastAsia="宋体"/>
                <w:color w:val="000000"/>
                <w:sz w:val="16"/>
                <w:szCs w:val="16"/>
              </w:rPr>
            </w:pPr>
          </w:p>
        </w:tc>
        <w:tc>
          <w:tcPr>
            <w:tcW w:w="1508" w:type="pct"/>
            <w:gridSpan w:val="2"/>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33" w:type="pct"/>
            <w:gridSpan w:val="2"/>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资金管理情况</w:t>
            </w:r>
          </w:p>
        </w:tc>
        <w:tc>
          <w:tcPr>
            <w:tcW w:w="704" w:type="pct"/>
            <w:noWrap/>
            <w:vAlign w:val="center"/>
          </w:tcPr>
          <w:p>
            <w:pPr>
              <w:spacing w:line="0" w:lineRule="atLeast"/>
              <w:rPr>
                <w:rFonts w:eastAsia="宋体"/>
                <w:color w:val="000000"/>
                <w:sz w:val="16"/>
                <w:szCs w:val="16"/>
              </w:rPr>
            </w:pPr>
          </w:p>
        </w:tc>
        <w:tc>
          <w:tcPr>
            <w:tcW w:w="1653"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情况说明</w:t>
            </w:r>
          </w:p>
        </w:tc>
        <w:tc>
          <w:tcPr>
            <w:tcW w:w="1508"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分配科学性</w:t>
            </w:r>
          </w:p>
        </w:tc>
        <w:tc>
          <w:tcPr>
            <w:tcW w:w="1653"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按照《财政厅农业农村厅关于印发&lt;新疆维吾尔自治区</w:t>
            </w:r>
            <w:r>
              <w:rPr>
                <w:rFonts w:hint="eastAsia" w:eastAsia="宋体"/>
                <w:color w:val="000000"/>
                <w:kern w:val="0"/>
                <w:sz w:val="16"/>
                <w:szCs w:val="16"/>
                <w:lang w:bidi="ar"/>
              </w:rPr>
              <w:t>中央</w:t>
            </w:r>
            <w:r>
              <w:rPr>
                <w:rFonts w:eastAsia="宋体"/>
                <w:color w:val="000000"/>
                <w:kern w:val="0"/>
                <w:sz w:val="16"/>
                <w:szCs w:val="16"/>
                <w:lang w:bidi="ar"/>
              </w:rPr>
              <w:t>农业资源及生态保护补助资金管理实施细则&gt;的通知》</w:t>
            </w:r>
            <w:r>
              <w:rPr>
                <w:rFonts w:hint="eastAsia" w:eastAsia="宋体"/>
                <w:color w:val="000000"/>
                <w:kern w:val="0"/>
                <w:sz w:val="16"/>
                <w:szCs w:val="16"/>
                <w:lang w:bidi="ar"/>
              </w:rPr>
              <w:t>（</w:t>
            </w:r>
            <w:r>
              <w:rPr>
                <w:rFonts w:eastAsia="宋体"/>
                <w:color w:val="000000"/>
                <w:kern w:val="0"/>
                <w:sz w:val="16"/>
                <w:szCs w:val="16"/>
                <w:lang w:bidi="ar"/>
              </w:rPr>
              <w:t>新财规〔2020〕16号），自治区农业农村厅会同自治区财政厅根据中央下达我区年度绩效任务目标，按照任务量与资金相匹配的原则，合理测算各地州任务完成能力，分解我区整体绩效任务。根据各地州任务指标合理分配，对照资金分配使用需要达到的目标、任务、效果等，明确实施主体必须完成哪些绩效指标、约束指标、硬性指标分配资金。</w:t>
            </w:r>
            <w:r>
              <w:rPr>
                <w:rFonts w:hint="eastAsia" w:eastAsia="宋体"/>
                <w:color w:val="000000"/>
                <w:kern w:val="0"/>
                <w:sz w:val="16"/>
                <w:szCs w:val="16"/>
                <w:lang w:bidi="ar"/>
              </w:rPr>
              <w:t>综上，新疆</w:t>
            </w:r>
            <w:r>
              <w:rPr>
                <w:rFonts w:eastAsia="宋体"/>
                <w:color w:val="000000"/>
                <w:kern w:val="0"/>
                <w:sz w:val="16"/>
                <w:szCs w:val="16"/>
                <w:lang w:bidi="ar"/>
              </w:rPr>
              <w:t>农业资源及生态保护补助资金</w:t>
            </w:r>
            <w:r>
              <w:rPr>
                <w:rFonts w:hint="eastAsia" w:eastAsia="宋体"/>
                <w:color w:val="000000"/>
                <w:kern w:val="0"/>
                <w:sz w:val="16"/>
                <w:szCs w:val="16"/>
                <w:lang w:bidi="ar"/>
              </w:rPr>
              <w:t>分配额度合理，资金分配依据充分。</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下达及时性</w:t>
            </w:r>
          </w:p>
        </w:tc>
        <w:tc>
          <w:tcPr>
            <w:tcW w:w="1653" w:type="pct"/>
            <w:gridSpan w:val="2"/>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bidi="ar"/>
              </w:rPr>
              <w:t>2024年度，中央财政分两批下达我区农业生态资源保护资金，第一批资金于2023年11月《财政部关于提前下达2024年农业相关转移支付资金预算的通知》（财农〔2023〕87号随文提前下达，第二批资金于2024年4月《财政部关于下达2024年农业生态资源保护资金预算的通知》（财农〔2024〕15号随文下达。根据财政部、农业农村部有关要求，农业农村厅收到资金文件后，在规定时限内（30日内），按管理办法规定提出具体资金分配方案，经厅党组审议同意后，正式行文报财政厅申请下达资金。专项资金及时拨付至各地县市，资金分解下达及时</w:t>
            </w:r>
            <w:r>
              <w:rPr>
                <w:rFonts w:eastAsia="宋体"/>
                <w:color w:val="000000"/>
                <w:kern w:val="0"/>
                <w:sz w:val="16"/>
                <w:szCs w:val="16"/>
                <w:lang w:bidi="ar"/>
              </w:rPr>
              <w:t>。</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拨付合规性</w:t>
            </w:r>
          </w:p>
        </w:tc>
        <w:tc>
          <w:tcPr>
            <w:tcW w:w="1653"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按照《财政部 农业农村部关于修订农业相关转移支付资金管理办法的通知》</w:t>
            </w:r>
            <w:r>
              <w:rPr>
                <w:rFonts w:hint="eastAsia" w:eastAsia="宋体"/>
                <w:color w:val="000000"/>
                <w:kern w:val="0"/>
                <w:sz w:val="16"/>
                <w:szCs w:val="16"/>
                <w:lang w:bidi="ar"/>
              </w:rPr>
              <w:t>（</w:t>
            </w:r>
            <w:r>
              <w:rPr>
                <w:rFonts w:eastAsia="宋体"/>
                <w:color w:val="000000"/>
                <w:kern w:val="0"/>
                <w:sz w:val="16"/>
                <w:szCs w:val="16"/>
                <w:lang w:bidi="ar"/>
              </w:rPr>
              <w:t>财农〔2022〕25号）文件的“第三章 资金分配和预算下达”要求，严格按照国库集中支付制度有关规定支付资金，未出现违规将资金从国库转入财政专户或支付到预算单位实有资金账户等问题。</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使用规范性</w:t>
            </w:r>
          </w:p>
        </w:tc>
        <w:tc>
          <w:tcPr>
            <w:tcW w:w="1653" w:type="pct"/>
            <w:gridSpan w:val="2"/>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bidi="ar"/>
              </w:rPr>
              <w:t>项目严格按照《财政部农业农村部关于修订农业相关转移支付资金管理办法的通知》（财农〔2022〕25号）等文件要求，建立资金使用台账，加强资金监管，实行统筹管理、专项核算、专职会计。坚持实事求是的原则，严格执行财务制度，做到原始凭证齐全，财务手续健全，账目核算规范。草原生态保护补助奖励政策资金全部用于草原禁牧补助和草畜平衡奖励，着重做好项目资金专款专储专用，杜绝任何形式的资金占用。大部分项目能够按照规定的范围和程序使用资金，确保资金用于生态保护领域。在生态资源保护重点地区建立了资金使用信息公开机制，提高了资金使用的透明度</w:t>
            </w:r>
            <w:r>
              <w:rPr>
                <w:rFonts w:eastAsia="宋体"/>
                <w:color w:val="000000"/>
                <w:kern w:val="0"/>
                <w:sz w:val="16"/>
                <w:szCs w:val="16"/>
                <w:lang w:bidi="ar"/>
              </w:rPr>
              <w:t>。</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执行准确性</w:t>
            </w:r>
          </w:p>
        </w:tc>
        <w:tc>
          <w:tcPr>
            <w:tcW w:w="1653" w:type="pct"/>
            <w:gridSpan w:val="2"/>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bidi="ar"/>
              </w:rPr>
              <w:t>自治区农业农村厅印发《关于全力以赴抓好2023年涉农项目资金监管工作的通知》、《关于印发&lt;关于加强农业农村厅涉农资金规范管理的办法（试行）&gt;的通知》等，委托第三方专业机构对项目开展实地绩效评价，对发现问题通过发提醒函或约谈等形式及时协调推动解决，督促做好涉农项目资金管理工作。严格按照《新疆维吾尔自治区第三轮草原生态保护补助奖励政策实施方案（2021—2025年）》中的禁牧和草畜平衡面积发放资金。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抓好资金监管，资金执行准确</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预算绩效管理情况</w:t>
            </w:r>
          </w:p>
        </w:tc>
        <w:tc>
          <w:tcPr>
            <w:tcW w:w="1653" w:type="pct"/>
            <w:gridSpan w:val="2"/>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bidi="ar"/>
              </w:rPr>
              <w:t>按照《中共中央国务院关于全面实施预算绩效管理的意见》、《关于印发&lt;自治区本级部门预算绩效目标管理办法&gt;的通知》（新财预〔2017〕21号）、等相关文件，新疆维吾尔自治区农业农村厅在多个文件中强调了绩效管理的重要性。提到要牢固树立绩效理念，强化对生态环保财政资金使用的管理，将绩效管理全面覆盖项目生命周期，并强化绩效评价结果的应用。此外，林业草原生态保护恢复资金的绩效管理机制包括预算编制、执行、完成、评价和反馈等环节，绩效目标涵盖质量、时效、成本、经济效益、社会效益和生态效益等多个方面。严格执行有关财经制度，进一步加强预算绩效管理，在预算执行中做好绩效监控，预算执行完做好绩效评价，切实提高财政资金使用效益，确保资金安全规范使用，确保年度绩效目标如期实现</w:t>
            </w:r>
            <w:r>
              <w:rPr>
                <w:rFonts w:eastAsia="宋体"/>
                <w:color w:val="000000"/>
                <w:kern w:val="0"/>
                <w:sz w:val="16"/>
                <w:szCs w:val="16"/>
                <w:lang w:bidi="ar"/>
              </w:rPr>
              <w:t>。</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支出责任履行情况</w:t>
            </w:r>
          </w:p>
        </w:tc>
        <w:tc>
          <w:tcPr>
            <w:tcW w:w="1653"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对共同财政事权转移支付，按照财政事权和支出责任划分有关规定，足额安排资金履行本级支出责任，支出责任履行情况良好。</w:t>
            </w:r>
            <w:r>
              <w:rPr>
                <w:rFonts w:eastAsia="宋体"/>
                <w:color w:val="000000"/>
                <w:kern w:val="0"/>
                <w:sz w:val="16"/>
                <w:szCs w:val="16"/>
                <w:lang w:eastAsia="zh-Hans" w:bidi="ar"/>
              </w:rPr>
              <w:t>项目实施乡镇人民政府为直接责任人，地州市县农业农村局为项目主管部门对项目资金使用、监督和验收负主体责任；单位主要领导为项目监督和实施第一责任人</w:t>
            </w:r>
            <w:r>
              <w:rPr>
                <w:rFonts w:eastAsia="宋体"/>
                <w:color w:val="000000"/>
                <w:kern w:val="0"/>
                <w:sz w:val="16"/>
                <w:szCs w:val="16"/>
                <w:lang w:bidi="ar"/>
              </w:rPr>
              <w:t>，</w:t>
            </w:r>
            <w:r>
              <w:rPr>
                <w:rFonts w:eastAsia="宋体"/>
                <w:color w:val="000000"/>
                <w:kern w:val="0"/>
                <w:sz w:val="16"/>
                <w:szCs w:val="16"/>
                <w:lang w:eastAsia="zh-Hans" w:bidi="ar"/>
              </w:rPr>
              <w:t>主动与财政部门做好项目资金对接落实工作，确保资金及时到位，安全使用；</w:t>
            </w:r>
            <w:r>
              <w:rPr>
                <w:rFonts w:eastAsia="宋体"/>
                <w:color w:val="000000"/>
                <w:kern w:val="0"/>
                <w:sz w:val="16"/>
                <w:szCs w:val="16"/>
                <w:lang w:bidi="ar"/>
              </w:rPr>
              <w:t>自治区农业农村厅</w:t>
            </w:r>
            <w:r>
              <w:rPr>
                <w:rFonts w:eastAsia="宋体"/>
                <w:color w:val="000000"/>
                <w:kern w:val="0"/>
                <w:sz w:val="16"/>
                <w:szCs w:val="16"/>
                <w:lang w:eastAsia="zh-Hans" w:bidi="ar"/>
              </w:rPr>
              <w:t>建立项目执行定期调度督导机制，及时掌握项目执行和资金使用情况，</w:t>
            </w:r>
            <w:r>
              <w:rPr>
                <w:rFonts w:eastAsia="宋体"/>
                <w:color w:val="000000"/>
                <w:kern w:val="0"/>
                <w:sz w:val="16"/>
                <w:szCs w:val="16"/>
                <w:lang w:bidi="ar"/>
              </w:rPr>
              <w:t>不断总结经验和问题，</w:t>
            </w:r>
            <w:r>
              <w:rPr>
                <w:rFonts w:eastAsia="宋体"/>
                <w:color w:val="000000"/>
                <w:kern w:val="0"/>
                <w:sz w:val="16"/>
                <w:szCs w:val="16"/>
                <w:lang w:eastAsia="zh-Hans" w:bidi="ar"/>
              </w:rPr>
              <w:t>确保项目执行到位、资金使用规范。</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72" w:type="pct"/>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总体目标完成情况</w:t>
            </w:r>
          </w:p>
        </w:tc>
        <w:tc>
          <w:tcPr>
            <w:tcW w:w="2251" w:type="pct"/>
            <w:gridSpan w:val="3"/>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总体目标</w:t>
            </w:r>
          </w:p>
        </w:tc>
        <w:tc>
          <w:tcPr>
            <w:tcW w:w="2376" w:type="pct"/>
            <w:gridSpan w:val="3"/>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vAlign w:val="center"/>
          </w:tcPr>
          <w:p>
            <w:pPr>
              <w:spacing w:line="0" w:lineRule="atLeast"/>
              <w:jc w:val="center"/>
              <w:rPr>
                <w:rFonts w:eastAsia="宋体"/>
                <w:color w:val="000000"/>
                <w:sz w:val="16"/>
                <w:szCs w:val="16"/>
              </w:rPr>
            </w:pPr>
          </w:p>
        </w:tc>
        <w:tc>
          <w:tcPr>
            <w:tcW w:w="2251" w:type="pct"/>
            <w:gridSpan w:val="3"/>
            <w:vMerge w:val="restar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按照相关规划或实施方案，结合地方实际开展农业生态资源保护。</w:t>
            </w:r>
          </w:p>
        </w:tc>
        <w:tc>
          <w:tcPr>
            <w:tcW w:w="2376" w:type="pct"/>
            <w:gridSpan w:val="3"/>
            <w:vMerge w:val="restart"/>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bidi="ar"/>
              </w:rPr>
              <w:t>全年地膜科学使用回收推广面积完成182.43万亩</w:t>
            </w:r>
            <w:r>
              <w:rPr>
                <w:rFonts w:hint="eastAsia"/>
                <w:color w:val="000000"/>
                <w:kern w:val="0"/>
                <w:sz w:val="16"/>
                <w:szCs w:val="16"/>
                <w:lang w:bidi="ar"/>
              </w:rPr>
              <w:t>，</w:t>
            </w:r>
            <w:r>
              <w:rPr>
                <w:rFonts w:hint="eastAsia" w:eastAsia="宋体"/>
                <w:color w:val="000000"/>
                <w:kern w:val="0"/>
                <w:sz w:val="16"/>
                <w:szCs w:val="16"/>
                <w:lang w:bidi="ar"/>
              </w:rPr>
              <w:t>建设秸秆综合利用亚点县12个、经济物种增殖放流数量7</w:t>
            </w:r>
            <w:r>
              <w:rPr>
                <w:rFonts w:hint="eastAsia" w:eastAsia="宋体"/>
                <w:color w:val="000000"/>
                <w:kern w:val="0"/>
                <w:sz w:val="16"/>
                <w:szCs w:val="16"/>
                <w:lang w:val="en-US" w:eastAsia="zh-CN" w:bidi="ar"/>
              </w:rPr>
              <w:t>49</w:t>
            </w:r>
            <w:r>
              <w:rPr>
                <w:rFonts w:hint="eastAsia" w:eastAsia="宋体"/>
                <w:color w:val="000000"/>
                <w:kern w:val="0"/>
                <w:sz w:val="16"/>
                <w:szCs w:val="16"/>
                <w:lang w:bidi="ar"/>
              </w:rPr>
              <w:t>.37万尾、珍稀濒危物种增殖放流数量190.2万尾，项目区农膜处置率全年实际完成71%、重点县秸秆综合利用率95.33%、</w:t>
            </w:r>
            <w:r>
              <w:rPr>
                <w:rFonts w:hint="eastAsia" w:eastAsia="宋体"/>
                <w:color w:val="000000"/>
                <w:kern w:val="0"/>
                <w:sz w:val="16"/>
                <w:szCs w:val="16"/>
                <w:highlight w:val="none"/>
                <w:lang w:bidi="ar"/>
              </w:rPr>
              <w:t>草原生</w:t>
            </w:r>
            <w:r>
              <w:rPr>
                <w:rFonts w:hint="eastAsia" w:eastAsia="宋体"/>
                <w:color w:val="000000"/>
                <w:kern w:val="0"/>
                <w:sz w:val="16"/>
                <w:szCs w:val="16"/>
                <w:lang w:bidi="ar"/>
              </w:rPr>
              <w:t>态保护补助资金发放到位时间截止至9月30日前资金发放到户243193.68万元，发放率98.17%，项目前期资金使用无重大违规违纪问题，重要经济物种放流资源贡献率为2.</w:t>
            </w:r>
            <w:r>
              <w:rPr>
                <w:rFonts w:hint="eastAsia" w:eastAsia="宋体"/>
                <w:color w:val="000000"/>
                <w:kern w:val="0"/>
                <w:sz w:val="16"/>
                <w:szCs w:val="16"/>
                <w:lang w:val="en-US" w:eastAsia="zh-CN" w:bidi="ar"/>
              </w:rPr>
              <w:t>38</w:t>
            </w:r>
            <w:r>
              <w:rPr>
                <w:rFonts w:hint="eastAsia" w:eastAsia="宋体"/>
                <w:color w:val="000000"/>
                <w:kern w:val="0"/>
                <w:sz w:val="16"/>
                <w:szCs w:val="16"/>
                <w:lang w:bidi="ar"/>
              </w:rPr>
              <w:t>%，可持续方面天然草原生产能力有所提高，农牧民对草原禁牧补助和草畜平衡街奖励政策实施的满意度和增殖放流区域内抽样调查满意度均达到95%</w:t>
            </w:r>
            <w:r>
              <w:rPr>
                <w:rFonts w:hint="eastAsia"/>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vAlign w:val="center"/>
          </w:tcPr>
          <w:p>
            <w:pPr>
              <w:spacing w:line="0" w:lineRule="atLeast"/>
              <w:jc w:val="center"/>
              <w:rPr>
                <w:rFonts w:eastAsia="宋体"/>
                <w:color w:val="000000"/>
                <w:sz w:val="16"/>
                <w:szCs w:val="16"/>
              </w:rPr>
            </w:pPr>
          </w:p>
        </w:tc>
        <w:tc>
          <w:tcPr>
            <w:tcW w:w="2251" w:type="pct"/>
            <w:gridSpan w:val="3"/>
            <w:vMerge w:val="continue"/>
            <w:vAlign w:val="center"/>
          </w:tcPr>
          <w:p>
            <w:pPr>
              <w:spacing w:line="0" w:lineRule="atLeast"/>
              <w:jc w:val="left"/>
              <w:rPr>
                <w:rFonts w:eastAsia="宋体"/>
                <w:color w:val="000000"/>
                <w:sz w:val="16"/>
                <w:szCs w:val="16"/>
              </w:rPr>
            </w:pPr>
          </w:p>
        </w:tc>
        <w:tc>
          <w:tcPr>
            <w:tcW w:w="2376" w:type="pct"/>
            <w:gridSpan w:val="3"/>
            <w:vMerge w:val="continue"/>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72" w:type="pct"/>
            <w:vMerge w:val="continue"/>
            <w:vAlign w:val="center"/>
          </w:tcPr>
          <w:p>
            <w:pPr>
              <w:spacing w:line="0" w:lineRule="atLeast"/>
              <w:jc w:val="center"/>
              <w:rPr>
                <w:rFonts w:eastAsia="宋体"/>
                <w:color w:val="000000"/>
                <w:sz w:val="16"/>
                <w:szCs w:val="16"/>
              </w:rPr>
            </w:pPr>
          </w:p>
        </w:tc>
        <w:tc>
          <w:tcPr>
            <w:tcW w:w="2251" w:type="pct"/>
            <w:gridSpan w:val="3"/>
            <w:vMerge w:val="continue"/>
            <w:vAlign w:val="center"/>
          </w:tcPr>
          <w:p>
            <w:pPr>
              <w:spacing w:line="0" w:lineRule="atLeast"/>
              <w:jc w:val="left"/>
              <w:rPr>
                <w:rFonts w:eastAsia="宋体"/>
                <w:color w:val="000000"/>
                <w:sz w:val="16"/>
                <w:szCs w:val="16"/>
              </w:rPr>
            </w:pPr>
          </w:p>
        </w:tc>
        <w:tc>
          <w:tcPr>
            <w:tcW w:w="2376" w:type="pct"/>
            <w:gridSpan w:val="3"/>
            <w:vMerge w:val="continue"/>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372" w:type="pct"/>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绩</w:t>
            </w:r>
            <w:r>
              <w:rPr>
                <w:rFonts w:eastAsia="宋体"/>
                <w:color w:val="000000"/>
                <w:kern w:val="0"/>
                <w:sz w:val="16"/>
                <w:szCs w:val="16"/>
                <w:lang w:bidi="ar"/>
              </w:rPr>
              <w:br w:type="textWrapping"/>
            </w:r>
            <w:r>
              <w:rPr>
                <w:rFonts w:eastAsia="宋体"/>
                <w:color w:val="000000"/>
                <w:kern w:val="0"/>
                <w:sz w:val="16"/>
                <w:szCs w:val="16"/>
                <w:lang w:bidi="ar"/>
              </w:rPr>
              <w:t>效</w:t>
            </w:r>
            <w:r>
              <w:rPr>
                <w:rFonts w:eastAsia="宋体"/>
                <w:color w:val="000000"/>
                <w:kern w:val="0"/>
                <w:sz w:val="16"/>
                <w:szCs w:val="16"/>
                <w:lang w:bidi="ar"/>
              </w:rPr>
              <w:br w:type="textWrapping"/>
            </w:r>
            <w:r>
              <w:rPr>
                <w:rFonts w:eastAsia="宋体"/>
                <w:color w:val="000000"/>
                <w:kern w:val="0"/>
                <w:sz w:val="16"/>
                <w:szCs w:val="16"/>
                <w:lang w:bidi="ar"/>
              </w:rPr>
              <w:t>指</w:t>
            </w:r>
            <w:r>
              <w:rPr>
                <w:rFonts w:eastAsia="宋体"/>
                <w:color w:val="000000"/>
                <w:kern w:val="0"/>
                <w:sz w:val="16"/>
                <w:szCs w:val="16"/>
                <w:lang w:bidi="ar"/>
              </w:rPr>
              <w:br w:type="textWrapping"/>
            </w:r>
            <w:r>
              <w:rPr>
                <w:rFonts w:eastAsia="宋体"/>
                <w:color w:val="000000"/>
                <w:kern w:val="0"/>
                <w:sz w:val="16"/>
                <w:szCs w:val="16"/>
                <w:lang w:bidi="ar"/>
              </w:rPr>
              <w:t>标</w:t>
            </w:r>
          </w:p>
        </w:tc>
        <w:tc>
          <w:tcPr>
            <w:tcW w:w="760"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一级指标</w:t>
            </w: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二级指标</w:t>
            </w:r>
          </w:p>
        </w:tc>
        <w:tc>
          <w:tcPr>
            <w:tcW w:w="786"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三级指标</w:t>
            </w:r>
          </w:p>
        </w:tc>
        <w:tc>
          <w:tcPr>
            <w:tcW w:w="867"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指标值</w:t>
            </w:r>
          </w:p>
        </w:tc>
        <w:tc>
          <w:tcPr>
            <w:tcW w:w="539" w:type="pc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全年实际完成值</w:t>
            </w:r>
          </w:p>
        </w:tc>
        <w:tc>
          <w:tcPr>
            <w:tcW w:w="969"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产出指标</w:t>
            </w:r>
          </w:p>
        </w:tc>
        <w:tc>
          <w:tcPr>
            <w:tcW w:w="704"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数量指标</w:t>
            </w:r>
          </w:p>
        </w:tc>
        <w:tc>
          <w:tcPr>
            <w:tcW w:w="786" w:type="pct"/>
            <w:vAlign w:val="center"/>
          </w:tcPr>
          <w:p>
            <w:pPr>
              <w:pStyle w:val="13"/>
              <w:spacing w:before="58" w:line="205" w:lineRule="auto"/>
              <w:ind w:left="12" w:right="22"/>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地膜科学使用回收推广面积(万亩)</w:t>
            </w:r>
          </w:p>
        </w:tc>
        <w:tc>
          <w:tcPr>
            <w:tcW w:w="867"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1135</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182.43</w:t>
            </w:r>
          </w:p>
        </w:tc>
        <w:tc>
          <w:tcPr>
            <w:tcW w:w="969" w:type="pct"/>
            <w:noWrap/>
            <w:vAlign w:val="center"/>
          </w:tcPr>
          <w:p>
            <w:pPr>
              <w:pStyle w:val="13"/>
              <w:spacing w:before="58" w:line="205" w:lineRule="auto"/>
              <w:ind w:left="12" w:right="22"/>
              <w:rPr>
                <w:rFonts w:ascii="Times New Roman" w:hAnsi="Times New Roman" w:cs="Times New Roman"/>
                <w:spacing w:val="-2"/>
                <w:lang w:eastAsia="zh-CN"/>
              </w:rPr>
            </w:pPr>
            <w:r>
              <w:rPr>
                <w:rFonts w:ascii="Times New Roman" w:hAnsi="Times New Roman" w:cs="Times New Roman"/>
                <w:color w:val="000000"/>
                <w:kern w:val="0"/>
                <w:sz w:val="16"/>
                <w:szCs w:val="16"/>
                <w:lang w:eastAsia="zh-CN" w:bidi="ar"/>
              </w:rPr>
              <w:t>2024年度安排试点任务可跨年度实施，预计2025年春播季节可全部完成）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72" w:type="pct"/>
            <w:vMerge w:val="continue"/>
            <w:vAlign w:val="center"/>
          </w:tcPr>
          <w:p>
            <w:pPr>
              <w:pStyle w:val="13"/>
              <w:spacing w:before="141" w:line="0" w:lineRule="atLeast"/>
              <w:ind w:left="43"/>
              <w:jc w:val="center"/>
              <w:rPr>
                <w:rFonts w:hint="eastAsia"/>
                <w:lang w:eastAsia="zh-CN"/>
              </w:rPr>
            </w:pPr>
          </w:p>
        </w:tc>
        <w:tc>
          <w:tcPr>
            <w:tcW w:w="760" w:type="pct"/>
            <w:vMerge w:val="continue"/>
            <w:noWrap/>
            <w:vAlign w:val="center"/>
          </w:tcPr>
          <w:p>
            <w:pPr>
              <w:pStyle w:val="13"/>
              <w:spacing w:before="141" w:line="0" w:lineRule="atLeast"/>
              <w:ind w:left="43"/>
              <w:jc w:val="center"/>
              <w:rPr>
                <w:rFonts w:hint="eastAsia"/>
                <w:lang w:eastAsia="zh-CN"/>
              </w:rPr>
            </w:pPr>
          </w:p>
        </w:tc>
        <w:tc>
          <w:tcPr>
            <w:tcW w:w="704" w:type="pct"/>
            <w:vMerge w:val="continue"/>
            <w:noWrap/>
            <w:vAlign w:val="center"/>
          </w:tcPr>
          <w:p>
            <w:pPr>
              <w:pStyle w:val="13"/>
              <w:spacing w:before="141" w:line="0" w:lineRule="atLeast"/>
              <w:ind w:left="43"/>
              <w:jc w:val="center"/>
              <w:rPr>
                <w:rFonts w:hint="eastAsia"/>
                <w:lang w:eastAsia="zh-CN"/>
              </w:rPr>
            </w:pPr>
          </w:p>
        </w:tc>
        <w:tc>
          <w:tcPr>
            <w:tcW w:w="786" w:type="pct"/>
            <w:vAlign w:val="center"/>
          </w:tcPr>
          <w:p>
            <w:pPr>
              <w:pStyle w:val="13"/>
              <w:spacing w:before="109" w:line="219" w:lineRule="auto"/>
              <w:ind w:left="12"/>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建设秸秆综合利用亚点县(个)</w:t>
            </w:r>
          </w:p>
        </w:tc>
        <w:tc>
          <w:tcPr>
            <w:tcW w:w="867"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6</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12</w:t>
            </w:r>
          </w:p>
        </w:tc>
        <w:tc>
          <w:tcPr>
            <w:tcW w:w="969" w:type="pct"/>
            <w:noWrap/>
            <w:vAlign w:val="center"/>
          </w:tcPr>
          <w:p>
            <w:pPr>
              <w:pStyle w:val="13"/>
              <w:spacing w:before="141" w:line="0" w:lineRule="atLeast"/>
              <w:ind w:left="43"/>
              <w:jc w:val="center"/>
              <w:rPr>
                <w:rFonts w:ascii="Times New Roman" w:hAnsi="Times New Roman" w:cs="Times New Roman"/>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72" w:type="pct"/>
            <w:vMerge w:val="continue"/>
            <w:vAlign w:val="center"/>
          </w:tcPr>
          <w:p>
            <w:pPr>
              <w:pStyle w:val="13"/>
              <w:spacing w:before="141" w:line="0" w:lineRule="atLeast"/>
              <w:ind w:left="43"/>
              <w:jc w:val="center"/>
              <w:rPr>
                <w:rFonts w:ascii="Times New Roman" w:hAnsi="Times New Roman" w:cs="Times New Roman"/>
                <w:spacing w:val="1"/>
              </w:rPr>
            </w:pPr>
          </w:p>
        </w:tc>
        <w:tc>
          <w:tcPr>
            <w:tcW w:w="760" w:type="pct"/>
            <w:vMerge w:val="continue"/>
            <w:noWrap/>
            <w:vAlign w:val="center"/>
          </w:tcPr>
          <w:p>
            <w:pPr>
              <w:pStyle w:val="13"/>
              <w:spacing w:before="141" w:line="0" w:lineRule="atLeast"/>
              <w:ind w:left="43"/>
              <w:jc w:val="center"/>
              <w:rPr>
                <w:rFonts w:ascii="Times New Roman" w:hAnsi="Times New Roman" w:cs="Times New Roman"/>
                <w:spacing w:val="1"/>
              </w:rPr>
            </w:pPr>
          </w:p>
        </w:tc>
        <w:tc>
          <w:tcPr>
            <w:tcW w:w="704" w:type="pct"/>
            <w:vMerge w:val="continue"/>
            <w:noWrap/>
            <w:vAlign w:val="center"/>
          </w:tcPr>
          <w:p>
            <w:pPr>
              <w:pStyle w:val="13"/>
              <w:spacing w:before="141" w:line="0" w:lineRule="atLeast"/>
              <w:ind w:left="43"/>
              <w:jc w:val="center"/>
              <w:rPr>
                <w:rFonts w:ascii="Times New Roman" w:hAnsi="Times New Roman" w:cs="Times New Roman"/>
                <w:spacing w:val="1"/>
              </w:rPr>
            </w:pPr>
          </w:p>
        </w:tc>
        <w:tc>
          <w:tcPr>
            <w:tcW w:w="786" w:type="pct"/>
            <w:vAlign w:val="center"/>
          </w:tcPr>
          <w:p>
            <w:pPr>
              <w:pStyle w:val="13"/>
              <w:spacing w:before="110" w:line="219" w:lineRule="auto"/>
              <w:ind w:left="12"/>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经济物种增殖放流数量(万尾)</w:t>
            </w:r>
          </w:p>
        </w:tc>
        <w:tc>
          <w:tcPr>
            <w:tcW w:w="867"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820</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cs="Times New Roman"/>
                <w:color w:val="000000"/>
                <w:kern w:val="0"/>
                <w:sz w:val="16"/>
                <w:szCs w:val="16"/>
                <w:lang w:val="en-US" w:eastAsia="zh-CN" w:bidi="ar"/>
              </w:rPr>
              <w:t>749</w:t>
            </w:r>
            <w:r>
              <w:rPr>
                <w:rFonts w:hint="eastAsia" w:ascii="Times New Roman" w:hAnsi="Times New Roman" w:eastAsia="宋体" w:cs="Times New Roman"/>
                <w:color w:val="000000"/>
                <w:kern w:val="0"/>
                <w:sz w:val="16"/>
                <w:szCs w:val="16"/>
                <w:lang w:eastAsia="zh-CN" w:bidi="ar"/>
              </w:rPr>
              <w:t>.37</w:t>
            </w:r>
          </w:p>
        </w:tc>
        <w:tc>
          <w:tcPr>
            <w:tcW w:w="969" w:type="pct"/>
            <w:noWrap/>
            <w:vAlign w:val="center"/>
          </w:tcPr>
          <w:p>
            <w:pPr>
              <w:pStyle w:val="13"/>
              <w:spacing w:before="58" w:line="205" w:lineRule="auto"/>
              <w:ind w:left="12" w:right="22"/>
              <w:rPr>
                <w:rFonts w:ascii="Times New Roman" w:hAnsi="Times New Roman" w:cs="Times New Roman"/>
                <w:color w:val="000000"/>
                <w:kern w:val="0"/>
                <w:sz w:val="16"/>
                <w:szCs w:val="16"/>
                <w:lang w:eastAsia="zh-CN" w:bidi="ar"/>
              </w:rPr>
            </w:pPr>
            <w:r>
              <w:rPr>
                <w:rFonts w:hint="eastAsia" w:ascii="宋体" w:hAnsi="宋体" w:eastAsia="宋体" w:cs="宋体"/>
                <w:color w:val="000000"/>
                <w:kern w:val="0"/>
                <w:sz w:val="16"/>
                <w:szCs w:val="16"/>
                <w:lang w:eastAsia="zh-CN" w:bidi="ar"/>
              </w:rPr>
              <w:t>阿勒泰地区该项目实施较晚，受天气影响，水温较低，部分品种鱼苗易产生应激反应，对苗种成活率均有影响，剩余70.63万尾完成招标采购任务，但没有完成放流任务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04"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86" w:type="pct"/>
            <w:vAlign w:val="center"/>
          </w:tcPr>
          <w:p>
            <w:pPr>
              <w:pStyle w:val="13"/>
              <w:spacing w:before="41" w:line="210" w:lineRule="auto"/>
              <w:ind w:left="12" w:right="23"/>
              <w:jc w:val="left"/>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珍稀濒危物种增殖放流数量(万尾)</w:t>
            </w:r>
          </w:p>
        </w:tc>
        <w:tc>
          <w:tcPr>
            <w:tcW w:w="867"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240</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190.2</w:t>
            </w:r>
          </w:p>
        </w:tc>
        <w:tc>
          <w:tcPr>
            <w:tcW w:w="969" w:type="pct"/>
            <w:noWrap/>
            <w:vAlign w:val="center"/>
          </w:tcPr>
          <w:p>
            <w:pPr>
              <w:spacing w:line="0" w:lineRule="atLeast"/>
              <w:jc w:val="left"/>
              <w:rPr>
                <w:rFonts w:ascii="Times New Roman" w:hAnsi="Times New Roman" w:eastAsia="宋体" w:cs="Times New Roman"/>
                <w:color w:val="000000"/>
                <w:kern w:val="0"/>
                <w:sz w:val="16"/>
                <w:szCs w:val="16"/>
                <w:lang w:val="en-US" w:eastAsia="zh-CN" w:bidi="ar"/>
              </w:rPr>
            </w:pPr>
            <w:r>
              <w:rPr>
                <w:rFonts w:hint="eastAsia" w:ascii="Times New Roman" w:hAnsi="Times New Roman" w:eastAsia="宋体" w:cs="Times New Roman"/>
                <w:color w:val="000000"/>
                <w:kern w:val="0"/>
                <w:sz w:val="16"/>
                <w:szCs w:val="16"/>
                <w:lang w:val="en-US" w:eastAsia="zh-CN" w:bidi="ar"/>
              </w:rPr>
              <w:t>阿勒泰地区该项目实施较晚，受天气影响，水温较低，部分品种鱼苗易产生应激反应，对苗种成活率均有影响，剩余70.63万尾完成招标采购任务，但没有完成放流任务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spacing w:line="0" w:lineRule="atLeast"/>
              <w:jc w:val="center"/>
              <w:rPr>
                <w:rFonts w:eastAsia="宋体"/>
                <w:color w:val="000000"/>
                <w:sz w:val="16"/>
                <w:szCs w:val="16"/>
              </w:rPr>
            </w:pPr>
          </w:p>
        </w:tc>
        <w:tc>
          <w:tcPr>
            <w:tcW w:w="704"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质量指标</w:t>
            </w:r>
          </w:p>
        </w:tc>
        <w:tc>
          <w:tcPr>
            <w:tcW w:w="786" w:type="pct"/>
            <w:vAlign w:val="center"/>
          </w:tcPr>
          <w:p>
            <w:pPr>
              <w:pStyle w:val="13"/>
              <w:spacing w:before="112" w:line="600" w:lineRule="auto"/>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项目区农膜处置率</w:t>
            </w:r>
          </w:p>
        </w:tc>
        <w:tc>
          <w:tcPr>
            <w:tcW w:w="867" w:type="pct"/>
            <w:vAlign w:val="center"/>
          </w:tcPr>
          <w:p>
            <w:pPr>
              <w:pStyle w:val="13"/>
              <w:spacing w:before="154" w:line="600" w:lineRule="auto"/>
              <w:ind w:left="123"/>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≥83%</w:t>
            </w:r>
          </w:p>
        </w:tc>
        <w:tc>
          <w:tcPr>
            <w:tcW w:w="539" w:type="pct"/>
            <w:vAlign w:val="center"/>
          </w:tcPr>
          <w:p>
            <w:pPr>
              <w:pStyle w:val="13"/>
              <w:spacing w:before="154" w:line="600" w:lineRule="auto"/>
              <w:ind w:left="123"/>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71%</w:t>
            </w:r>
          </w:p>
        </w:tc>
        <w:tc>
          <w:tcPr>
            <w:tcW w:w="969" w:type="pct"/>
            <w:noWrap/>
            <w:vAlign w:val="center"/>
          </w:tcPr>
          <w:p>
            <w:pPr>
              <w:pStyle w:val="13"/>
              <w:spacing w:before="58" w:line="205" w:lineRule="auto"/>
              <w:ind w:left="12" w:right="22"/>
              <w:rPr>
                <w:rFonts w:ascii="Times New Roman" w:hAnsi="Times New Roman" w:cs="Times New Roman"/>
                <w:color w:val="000000"/>
                <w:kern w:val="0"/>
                <w:sz w:val="16"/>
                <w:szCs w:val="16"/>
                <w:lang w:eastAsia="zh-CN" w:bidi="ar"/>
              </w:rPr>
            </w:pPr>
            <w:r>
              <w:rPr>
                <w:rFonts w:ascii="Times New Roman" w:hAnsi="Times New Roman" w:cs="Times New Roman"/>
                <w:color w:val="000000"/>
                <w:kern w:val="0"/>
                <w:sz w:val="16"/>
                <w:szCs w:val="16"/>
                <w:lang w:eastAsia="zh-CN" w:bidi="ar"/>
              </w:rPr>
              <w:t>该项目跨年度实施，预计2025年春播后可完成剩余任务。2024年地膜回收率达到71%，预计2025年春季地膜回收后，地膜回收率可达85%以上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spacing w:line="0" w:lineRule="atLeast"/>
              <w:jc w:val="center"/>
              <w:rPr>
                <w:rFonts w:eastAsia="宋体"/>
                <w:color w:val="000000"/>
                <w:sz w:val="16"/>
                <w:szCs w:val="16"/>
              </w:rPr>
            </w:pPr>
          </w:p>
        </w:tc>
        <w:tc>
          <w:tcPr>
            <w:tcW w:w="704"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86" w:type="pct"/>
            <w:vAlign w:val="center"/>
          </w:tcPr>
          <w:p>
            <w:pPr>
              <w:widowControl/>
              <w:spacing w:line="600" w:lineRule="auto"/>
              <w:jc w:val="center"/>
              <w:textAlignment w:val="center"/>
              <w:rPr>
                <w:rFonts w:eastAsia="宋体"/>
                <w:color w:val="000000"/>
                <w:kern w:val="0"/>
                <w:sz w:val="16"/>
                <w:szCs w:val="16"/>
                <w:lang w:bidi="ar"/>
              </w:rPr>
            </w:pPr>
            <w:r>
              <w:rPr>
                <w:rFonts w:hint="eastAsia" w:eastAsia="宋体"/>
                <w:color w:val="000000"/>
                <w:kern w:val="0"/>
                <w:sz w:val="16"/>
                <w:szCs w:val="16"/>
                <w:lang w:bidi="ar"/>
              </w:rPr>
              <w:t>重点县秸秆综合利用率</w:t>
            </w:r>
          </w:p>
        </w:tc>
        <w:tc>
          <w:tcPr>
            <w:tcW w:w="867" w:type="pct"/>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≥90%比2023年提高5个百分点</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95.33%</w:t>
            </w:r>
          </w:p>
        </w:tc>
        <w:tc>
          <w:tcPr>
            <w:tcW w:w="969" w:type="pct"/>
            <w:noWrap/>
            <w:vAlign w:val="center"/>
          </w:tcPr>
          <w:p>
            <w:pPr>
              <w:pStyle w:val="13"/>
              <w:spacing w:before="183" w:line="0" w:lineRule="atLeast"/>
              <w:jc w:val="left"/>
              <w:rPr>
                <w:rFonts w:ascii="Times New Roman" w:hAnsi="Times New Roman" w:cs="Times New Roman"/>
                <w:spacing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5"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时效指标</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草原生态保护补助资金发放到位时间</w:t>
            </w:r>
          </w:p>
        </w:tc>
        <w:tc>
          <w:tcPr>
            <w:tcW w:w="867"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9月30日前</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98.17%</w:t>
            </w:r>
          </w:p>
        </w:tc>
        <w:tc>
          <w:tcPr>
            <w:tcW w:w="969" w:type="pct"/>
            <w:noWrap/>
            <w:vAlign w:val="center"/>
          </w:tcPr>
          <w:p>
            <w:pPr>
              <w:pStyle w:val="13"/>
              <w:spacing w:before="183" w:line="0" w:lineRule="atLeast"/>
              <w:jc w:val="center"/>
              <w:rPr>
                <w:rFonts w:ascii="Times New Roman" w:hAnsi="Times New Roman" w:cs="Times New Roman"/>
                <w:spacing w:val="-2"/>
                <w:lang w:eastAsia="zh-CN"/>
              </w:rPr>
            </w:pPr>
            <w:r>
              <w:rPr>
                <w:rFonts w:hint="eastAsia" w:ascii="Times New Roman" w:hAnsi="Times New Roman" w:cs="Times New Roman"/>
                <w:color w:val="000000"/>
                <w:kern w:val="0"/>
                <w:sz w:val="16"/>
                <w:szCs w:val="16"/>
                <w:lang w:eastAsia="zh-CN" w:bidi="ar"/>
              </w:rPr>
              <w:t>全区除克拉玛依市外均存在草原被征占的情况，征占后草原已不存在，无法发放资金</w:t>
            </w:r>
            <w:r>
              <w:rPr>
                <w:rFonts w:ascii="Times New Roman" w:hAnsi="Times New Roman" w:cs="Times New Roman"/>
                <w:color w:val="000000"/>
                <w:kern w:val="0"/>
                <w:sz w:val="16"/>
                <w:szCs w:val="16"/>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效益指标</w:t>
            </w: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社会效益指标</w:t>
            </w:r>
          </w:p>
        </w:tc>
        <w:tc>
          <w:tcPr>
            <w:tcW w:w="786" w:type="pct"/>
            <w:vAlign w:val="center"/>
          </w:tcPr>
          <w:p>
            <w:pPr>
              <w:pStyle w:val="13"/>
              <w:spacing w:before="95" w:line="219" w:lineRule="auto"/>
              <w:ind w:left="12"/>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资金使用重大违规违纪问题</w:t>
            </w:r>
          </w:p>
        </w:tc>
        <w:tc>
          <w:tcPr>
            <w:tcW w:w="867" w:type="pct"/>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无</w:t>
            </w:r>
          </w:p>
        </w:tc>
        <w:tc>
          <w:tcPr>
            <w:tcW w:w="539" w:type="pct"/>
            <w:vAlign w:val="center"/>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无</w:t>
            </w:r>
          </w:p>
        </w:tc>
        <w:tc>
          <w:tcPr>
            <w:tcW w:w="969" w:type="pct"/>
            <w:noWrap/>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spacing w:line="0" w:lineRule="atLeast"/>
              <w:jc w:val="center"/>
              <w:rPr>
                <w:rFonts w:eastAsia="宋体"/>
                <w:color w:val="000000"/>
                <w:sz w:val="16"/>
                <w:szCs w:val="16"/>
              </w:rPr>
            </w:pPr>
          </w:p>
        </w:tc>
        <w:tc>
          <w:tcPr>
            <w:tcW w:w="704"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生态效益指标</w:t>
            </w:r>
          </w:p>
        </w:tc>
        <w:tc>
          <w:tcPr>
            <w:tcW w:w="786" w:type="pct"/>
            <w:vAlign w:val="center"/>
          </w:tcPr>
          <w:p>
            <w:pPr>
              <w:pStyle w:val="13"/>
              <w:keepNext w:val="0"/>
              <w:keepLines w:val="0"/>
              <w:pageBreakBefore w:val="0"/>
              <w:widowControl w:val="0"/>
              <w:kinsoku/>
              <w:wordWrap/>
              <w:overflowPunct/>
              <w:topLinePunct w:val="0"/>
              <w:autoSpaceDE/>
              <w:autoSpaceDN/>
              <w:bidi w:val="0"/>
              <w:adjustRightInd/>
              <w:snapToGrid/>
              <w:spacing w:before="15" w:line="240" w:lineRule="auto"/>
              <w:ind w:left="11" w:right="91" w:firstLine="0"/>
              <w:jc w:val="left"/>
              <w:textAlignment w:val="auto"/>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重要经济物种放流资源贡献率(%)</w:t>
            </w:r>
          </w:p>
        </w:tc>
        <w:tc>
          <w:tcPr>
            <w:tcW w:w="867" w:type="pct"/>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&gt;2%</w:t>
            </w:r>
          </w:p>
        </w:tc>
        <w:tc>
          <w:tcPr>
            <w:tcW w:w="539" w:type="pct"/>
          </w:tcPr>
          <w:p>
            <w:pPr>
              <w:pStyle w:val="13"/>
              <w:spacing w:before="154" w:line="600" w:lineRule="auto"/>
              <w:ind w:left="123"/>
              <w:jc w:val="center"/>
              <w:rPr>
                <w:rFonts w:hint="eastAsia" w:ascii="Times New Roman" w:hAnsi="Times New Roman" w:eastAsia="宋体" w:cs="Times New Roman"/>
                <w:color w:val="000000"/>
                <w:kern w:val="0"/>
                <w:sz w:val="16"/>
                <w:szCs w:val="16"/>
                <w:lang w:eastAsia="zh-CN" w:bidi="ar"/>
              </w:rPr>
            </w:pPr>
            <w:r>
              <w:rPr>
                <w:rFonts w:hint="eastAsia" w:ascii="Times New Roman" w:hAnsi="Times New Roman" w:eastAsia="宋体" w:cs="Times New Roman"/>
                <w:color w:val="000000"/>
                <w:kern w:val="0"/>
                <w:sz w:val="16"/>
                <w:szCs w:val="16"/>
                <w:lang w:eastAsia="zh-CN" w:bidi="ar"/>
              </w:rPr>
              <w:t>2.</w:t>
            </w:r>
            <w:r>
              <w:rPr>
                <w:rFonts w:hint="eastAsia" w:ascii="Times New Roman" w:hAnsi="Times New Roman" w:cs="Times New Roman"/>
                <w:color w:val="000000"/>
                <w:kern w:val="0"/>
                <w:sz w:val="16"/>
                <w:szCs w:val="16"/>
                <w:lang w:val="en-US" w:eastAsia="zh-CN" w:bidi="ar"/>
              </w:rPr>
              <w:t>38</w:t>
            </w:r>
            <w:r>
              <w:rPr>
                <w:rFonts w:hint="eastAsia" w:ascii="Times New Roman" w:hAnsi="Times New Roman" w:eastAsia="宋体" w:cs="Times New Roman"/>
                <w:color w:val="000000"/>
                <w:kern w:val="0"/>
                <w:sz w:val="16"/>
                <w:szCs w:val="16"/>
                <w:lang w:eastAsia="zh-CN" w:bidi="ar"/>
              </w:rPr>
              <w:t>%</w:t>
            </w:r>
          </w:p>
        </w:tc>
        <w:tc>
          <w:tcPr>
            <w:tcW w:w="969" w:type="pct"/>
            <w:noWrap/>
            <w:vAlign w:val="center"/>
          </w:tcPr>
          <w:p>
            <w:pPr>
              <w:ind w:firstLine="320" w:firstLineChars="200"/>
              <w:rPr>
                <w:rFonts w:eastAsia="宋体"/>
                <w:color w:val="000000"/>
                <w:sz w:val="16"/>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满意度指标</w:t>
            </w:r>
          </w:p>
        </w:tc>
        <w:tc>
          <w:tcPr>
            <w:tcW w:w="704"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服务对象满意度指标</w:t>
            </w:r>
          </w:p>
        </w:tc>
        <w:tc>
          <w:tcPr>
            <w:tcW w:w="786" w:type="pct"/>
            <w:vAlign w:val="center"/>
          </w:tcPr>
          <w:p>
            <w:pPr>
              <w:pStyle w:val="13"/>
              <w:spacing w:before="16" w:line="174" w:lineRule="auto"/>
              <w:ind w:left="12" w:firstLine="10"/>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农牧民对草原禁牧补助和草畜平衡街奖励政策实施的满意度(%)</w:t>
            </w:r>
          </w:p>
        </w:tc>
        <w:tc>
          <w:tcPr>
            <w:tcW w:w="867" w:type="pct"/>
          </w:tcPr>
          <w:p>
            <w:pPr>
              <w:pStyle w:val="13"/>
              <w:spacing w:before="100" w:line="600" w:lineRule="auto"/>
              <w:ind w:left="82" w:firstLine="160" w:firstLineChars="100"/>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≥90%</w:t>
            </w:r>
          </w:p>
        </w:tc>
        <w:tc>
          <w:tcPr>
            <w:tcW w:w="539" w:type="pct"/>
          </w:tcPr>
          <w:p>
            <w:pPr>
              <w:pStyle w:val="13"/>
              <w:spacing w:before="100" w:line="600" w:lineRule="auto"/>
              <w:ind w:left="82" w:firstLine="160" w:firstLineChars="100"/>
              <w:jc w:val="center"/>
              <w:rPr>
                <w:rFonts w:ascii="Times New Roman" w:hAnsi="Times New Roman" w:cs="Times New Roman"/>
                <w:spacing w:val="-2"/>
                <w:lang w:eastAsia="zh-CN"/>
              </w:rPr>
            </w:pPr>
            <w:r>
              <w:rPr>
                <w:rFonts w:hint="eastAsia" w:ascii="Times New Roman" w:hAnsi="Times New Roman" w:cs="Times New Roman"/>
                <w:color w:val="000000"/>
                <w:kern w:val="0"/>
                <w:sz w:val="16"/>
                <w:szCs w:val="16"/>
                <w:lang w:eastAsia="zh-CN" w:bidi="ar"/>
              </w:rPr>
              <w:t>95%</w:t>
            </w:r>
          </w:p>
        </w:tc>
        <w:tc>
          <w:tcPr>
            <w:tcW w:w="969" w:type="pct"/>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372" w:type="pct"/>
            <w:vMerge w:val="continue"/>
            <w:vAlign w:val="center"/>
          </w:tcPr>
          <w:p>
            <w:pPr>
              <w:spacing w:line="0" w:lineRule="atLeast"/>
              <w:jc w:val="center"/>
              <w:rPr>
                <w:rFonts w:eastAsia="宋体"/>
                <w:color w:val="000000"/>
                <w:sz w:val="16"/>
                <w:szCs w:val="16"/>
              </w:rPr>
            </w:pPr>
          </w:p>
        </w:tc>
        <w:tc>
          <w:tcPr>
            <w:tcW w:w="760"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04"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86" w:type="pct"/>
            <w:vAlign w:val="center"/>
          </w:tcPr>
          <w:p>
            <w:pPr>
              <w:pStyle w:val="13"/>
              <w:spacing w:before="15" w:line="184" w:lineRule="auto"/>
              <w:ind w:left="22" w:hanging="10"/>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增殖放流区域内抽样调查满意度(%)</w:t>
            </w:r>
          </w:p>
        </w:tc>
        <w:tc>
          <w:tcPr>
            <w:tcW w:w="867" w:type="pct"/>
          </w:tcPr>
          <w:p>
            <w:pPr>
              <w:pStyle w:val="13"/>
              <w:spacing w:before="100" w:line="600" w:lineRule="auto"/>
              <w:ind w:left="82"/>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≥90%</w:t>
            </w:r>
          </w:p>
        </w:tc>
        <w:tc>
          <w:tcPr>
            <w:tcW w:w="539" w:type="pct"/>
          </w:tcPr>
          <w:p>
            <w:pPr>
              <w:pStyle w:val="13"/>
              <w:spacing w:before="100" w:line="600" w:lineRule="auto"/>
              <w:ind w:left="82" w:firstLine="160" w:firstLineChars="100"/>
              <w:jc w:val="center"/>
              <w:rPr>
                <w:rFonts w:ascii="Times New Roman" w:hAnsi="Times New Roman" w:cs="Times New Roman"/>
                <w:color w:val="000000"/>
                <w:kern w:val="0"/>
                <w:sz w:val="16"/>
                <w:szCs w:val="16"/>
                <w:lang w:eastAsia="zh-CN" w:bidi="ar"/>
              </w:rPr>
            </w:pPr>
            <w:r>
              <w:rPr>
                <w:rFonts w:hint="eastAsia" w:ascii="Times New Roman" w:hAnsi="Times New Roman" w:cs="Times New Roman"/>
                <w:color w:val="000000"/>
                <w:kern w:val="0"/>
                <w:sz w:val="16"/>
                <w:szCs w:val="16"/>
                <w:lang w:eastAsia="zh-CN" w:bidi="ar"/>
              </w:rPr>
              <w:t>95%</w:t>
            </w:r>
          </w:p>
        </w:tc>
        <w:tc>
          <w:tcPr>
            <w:tcW w:w="969" w:type="pct"/>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372"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说明</w:t>
            </w:r>
          </w:p>
        </w:tc>
        <w:tc>
          <w:tcPr>
            <w:tcW w:w="4627" w:type="pct"/>
            <w:gridSpan w:val="6"/>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无</w:t>
            </w:r>
          </w:p>
        </w:tc>
      </w:tr>
    </w:tbl>
    <w:p>
      <w:pPr>
        <w:pBdr>
          <w:top w:val="none" w:color="000000" w:sz="0" w:space="0"/>
          <w:left w:val="none" w:color="000000" w:sz="0" w:space="0"/>
          <w:bottom w:val="none" w:color="000000" w:sz="0" w:space="21"/>
          <w:right w:val="none" w:color="000000" w:sz="0" w:space="0"/>
        </w:pBdr>
        <w:overflowPunct w:val="0"/>
        <w:spacing w:line="560" w:lineRule="exact"/>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New Roman PS Pro">
    <w:altName w:val="Nimbus Roman No9 L"/>
    <w:panose1 w:val="00000000000000000000"/>
    <w:charset w:val="00"/>
    <w:family w:val="auto"/>
    <w:pitch w:val="default"/>
    <w:sig w:usb0="00000000" w:usb1="00000000" w:usb2="00000000" w:usb3="00000000" w:csb0="20000093"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A60BA"/>
    <w:multiLevelType w:val="singleLevel"/>
    <w:tmpl w:val="4F8A60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690A7624"/>
    <w:rsid w:val="00002D5A"/>
    <w:rsid w:val="000609BF"/>
    <w:rsid w:val="000F09FE"/>
    <w:rsid w:val="0014595C"/>
    <w:rsid w:val="001F7C09"/>
    <w:rsid w:val="00214DD0"/>
    <w:rsid w:val="003C5D16"/>
    <w:rsid w:val="00686522"/>
    <w:rsid w:val="00706BD0"/>
    <w:rsid w:val="007347EA"/>
    <w:rsid w:val="00812858"/>
    <w:rsid w:val="00B3338C"/>
    <w:rsid w:val="00C77E06"/>
    <w:rsid w:val="00CD4D4D"/>
    <w:rsid w:val="00CF6DEE"/>
    <w:rsid w:val="00D65EF1"/>
    <w:rsid w:val="00F81BF6"/>
    <w:rsid w:val="01284C10"/>
    <w:rsid w:val="01AC7493"/>
    <w:rsid w:val="02F2197A"/>
    <w:rsid w:val="03A762C0"/>
    <w:rsid w:val="07434552"/>
    <w:rsid w:val="07B94814"/>
    <w:rsid w:val="080B17EA"/>
    <w:rsid w:val="0902043D"/>
    <w:rsid w:val="0B1464A6"/>
    <w:rsid w:val="0BBB4437"/>
    <w:rsid w:val="0BFC73C5"/>
    <w:rsid w:val="0CA21D12"/>
    <w:rsid w:val="0D5C5C58"/>
    <w:rsid w:val="0EC3241C"/>
    <w:rsid w:val="0F39623B"/>
    <w:rsid w:val="0FCD53EB"/>
    <w:rsid w:val="103510F8"/>
    <w:rsid w:val="132C67E2"/>
    <w:rsid w:val="13FC7AEB"/>
    <w:rsid w:val="140040F4"/>
    <w:rsid w:val="15C076B6"/>
    <w:rsid w:val="169C4ED1"/>
    <w:rsid w:val="18F629B6"/>
    <w:rsid w:val="19575321"/>
    <w:rsid w:val="1A0F452F"/>
    <w:rsid w:val="1AE43EB9"/>
    <w:rsid w:val="1B304996"/>
    <w:rsid w:val="1C9A4858"/>
    <w:rsid w:val="1D7408EF"/>
    <w:rsid w:val="214B412D"/>
    <w:rsid w:val="22A13307"/>
    <w:rsid w:val="22D64075"/>
    <w:rsid w:val="24422247"/>
    <w:rsid w:val="24C80B55"/>
    <w:rsid w:val="24CD528D"/>
    <w:rsid w:val="262F241A"/>
    <w:rsid w:val="2777397E"/>
    <w:rsid w:val="29CC7F7F"/>
    <w:rsid w:val="2B464126"/>
    <w:rsid w:val="2B5621F6"/>
    <w:rsid w:val="2BAC0068"/>
    <w:rsid w:val="2CE33F5E"/>
    <w:rsid w:val="31A71BB0"/>
    <w:rsid w:val="32221084"/>
    <w:rsid w:val="328947D0"/>
    <w:rsid w:val="32F81DE5"/>
    <w:rsid w:val="35960D13"/>
    <w:rsid w:val="36F50A2E"/>
    <w:rsid w:val="374C09A7"/>
    <w:rsid w:val="388D46D6"/>
    <w:rsid w:val="39353A12"/>
    <w:rsid w:val="3CFC3141"/>
    <w:rsid w:val="3E060C40"/>
    <w:rsid w:val="3E932215"/>
    <w:rsid w:val="3ECA05D1"/>
    <w:rsid w:val="3FB35DA1"/>
    <w:rsid w:val="428471F1"/>
    <w:rsid w:val="42E27550"/>
    <w:rsid w:val="45294681"/>
    <w:rsid w:val="47D32A01"/>
    <w:rsid w:val="4DED25B9"/>
    <w:rsid w:val="4DEF484E"/>
    <w:rsid w:val="4EA664B0"/>
    <w:rsid w:val="4F7911BC"/>
    <w:rsid w:val="4FC96B8B"/>
    <w:rsid w:val="52D62C91"/>
    <w:rsid w:val="52E71802"/>
    <w:rsid w:val="542D6A61"/>
    <w:rsid w:val="54B17344"/>
    <w:rsid w:val="57D91936"/>
    <w:rsid w:val="58EB1921"/>
    <w:rsid w:val="59627900"/>
    <w:rsid w:val="59E43CD1"/>
    <w:rsid w:val="5A957D96"/>
    <w:rsid w:val="5B5F5BAF"/>
    <w:rsid w:val="5B8F0C89"/>
    <w:rsid w:val="5C276E4C"/>
    <w:rsid w:val="5EBF2B03"/>
    <w:rsid w:val="5EEF3BD8"/>
    <w:rsid w:val="5FBB029F"/>
    <w:rsid w:val="60015C3D"/>
    <w:rsid w:val="6065020A"/>
    <w:rsid w:val="6197245D"/>
    <w:rsid w:val="636ED47A"/>
    <w:rsid w:val="66AF3F8D"/>
    <w:rsid w:val="68E25D18"/>
    <w:rsid w:val="690A7624"/>
    <w:rsid w:val="6A1707C7"/>
    <w:rsid w:val="6C1D408F"/>
    <w:rsid w:val="6CB26586"/>
    <w:rsid w:val="6CE23A73"/>
    <w:rsid w:val="6E277B0F"/>
    <w:rsid w:val="6E62032D"/>
    <w:rsid w:val="6EE91E80"/>
    <w:rsid w:val="6FA625DD"/>
    <w:rsid w:val="707408E1"/>
    <w:rsid w:val="725E2D0C"/>
    <w:rsid w:val="767B20DE"/>
    <w:rsid w:val="7720419D"/>
    <w:rsid w:val="78372035"/>
    <w:rsid w:val="796450AB"/>
    <w:rsid w:val="7A61783D"/>
    <w:rsid w:val="7AAF6C1D"/>
    <w:rsid w:val="7C607F1C"/>
    <w:rsid w:val="7D7477C4"/>
    <w:rsid w:val="7DD8701C"/>
    <w:rsid w:val="7E1846B6"/>
    <w:rsid w:val="7EDD3B90"/>
    <w:rsid w:val="7F803FA7"/>
    <w:rsid w:val="8EB5B039"/>
    <w:rsid w:val="DBFEDC4C"/>
    <w:rsid w:val="DFFB3CF5"/>
    <w:rsid w:val="EE7EF970"/>
    <w:rsid w:val="F37BE1C5"/>
    <w:rsid w:val="F9732F6F"/>
    <w:rsid w:val="FBFDFA3C"/>
    <w:rsid w:val="FD9FE5A3"/>
    <w:rsid w:val="FDEB8BD0"/>
    <w:rsid w:val="FDFA604B"/>
    <w:rsid w:val="FE4DE49C"/>
    <w:rsid w:val="FFFF8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outlineLvl w:val="1"/>
    </w:pPr>
    <w:rPr>
      <w:rFonts w:ascii="仿宋_GB2312" w:hAnsi="仿宋_GB231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qFormat/>
    <w:uiPriority w:val="0"/>
    <w:rPr>
      <w:rFonts w:ascii="宋体" w:hAnsi="宋体" w:eastAsia="宋体" w:cs="宋体"/>
      <w:szCs w:val="32"/>
      <w:lang w:val="zh-CN" w:bidi="zh-CN"/>
    </w:rPr>
  </w:style>
  <w:style w:type="paragraph" w:styleId="5">
    <w:name w:val="Body Text Indent"/>
    <w:basedOn w:val="1"/>
    <w:next w:val="3"/>
    <w:semiHidden/>
    <w:qFormat/>
    <w:uiPriority w:val="99"/>
    <w:pPr>
      <w:spacing w:after="120"/>
      <w:ind w:left="420" w:leftChars="200"/>
    </w:pPr>
  </w:style>
  <w:style w:type="paragraph" w:styleId="6">
    <w:name w:val="Plain Text"/>
    <w:basedOn w:val="1"/>
    <w:qFormat/>
    <w:uiPriority w:val="0"/>
    <w:rPr>
      <w:rFonts w:ascii="宋体" w:hAnsi="Courier New" w:eastAsia="宋体"/>
      <w:kern w:val="0"/>
      <w:sz w:val="20"/>
      <w:szCs w:val="21"/>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link w:val="27"/>
    <w:qFormat/>
    <w:uiPriority w:val="0"/>
    <w:pP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style>
  <w:style w:type="paragraph" w:styleId="10">
    <w:name w:val="Body Text First Indent 2"/>
    <w:basedOn w:val="5"/>
    <w:next w:val="9"/>
    <w:qFormat/>
    <w:uiPriority w:val="99"/>
    <w:pPr>
      <w:ind w:firstLine="420" w:firstLineChars="200"/>
    </w:pPr>
    <w:rPr>
      <w:rFonts w:ascii="Calibri" w:hAnsi="Calibri"/>
    </w:rPr>
  </w:style>
  <w:style w:type="paragraph" w:customStyle="1" w:styleId="13">
    <w:name w:val="Table Text"/>
    <w:basedOn w:val="1"/>
    <w:semiHidden/>
    <w:qFormat/>
    <w:uiPriority w:val="0"/>
    <w:rPr>
      <w:rFonts w:ascii="宋体" w:hAnsi="宋体" w:eastAsia="宋体" w:cs="宋体"/>
      <w:sz w:val="19"/>
      <w:szCs w:val="19"/>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11"/>
    <w:basedOn w:val="12"/>
    <w:qFormat/>
    <w:uiPriority w:val="0"/>
    <w:rPr>
      <w:rFonts w:hint="eastAsia" w:ascii="黑体" w:hAnsi="宋体" w:eastAsia="黑体" w:cs="黑体"/>
      <w:b/>
      <w:bCs/>
      <w:color w:val="000000"/>
      <w:sz w:val="20"/>
      <w:szCs w:val="20"/>
      <w:u w:val="none"/>
    </w:rPr>
  </w:style>
  <w:style w:type="character" w:customStyle="1" w:styleId="17">
    <w:name w:val="font41"/>
    <w:basedOn w:val="12"/>
    <w:qFormat/>
    <w:uiPriority w:val="0"/>
    <w:rPr>
      <w:rFonts w:ascii="楷体_GB2312" w:eastAsia="楷体_GB2312" w:cs="楷体_GB2312"/>
      <w:b/>
      <w:bCs/>
      <w:color w:val="000000"/>
      <w:sz w:val="20"/>
      <w:szCs w:val="20"/>
      <w:u w:val="none"/>
    </w:rPr>
  </w:style>
  <w:style w:type="character" w:customStyle="1" w:styleId="18">
    <w:name w:val="font21"/>
    <w:basedOn w:val="12"/>
    <w:qFormat/>
    <w:uiPriority w:val="0"/>
    <w:rPr>
      <w:rFonts w:hint="eastAsia" w:ascii="宋体" w:hAnsi="宋体" w:eastAsia="宋体" w:cs="宋体"/>
      <w:color w:val="000000"/>
      <w:sz w:val="18"/>
      <w:szCs w:val="18"/>
      <w:u w:val="none"/>
    </w:rPr>
  </w:style>
  <w:style w:type="character" w:customStyle="1" w:styleId="19">
    <w:name w:val="font91"/>
    <w:basedOn w:val="12"/>
    <w:qFormat/>
    <w:uiPriority w:val="0"/>
    <w:rPr>
      <w:rFonts w:hint="eastAsia" w:ascii="仿宋_GB2312" w:eastAsia="仿宋_GB2312" w:cs="仿宋_GB2312"/>
      <w:color w:val="000000"/>
      <w:sz w:val="16"/>
      <w:szCs w:val="16"/>
      <w:u w:val="none"/>
    </w:rPr>
  </w:style>
  <w:style w:type="character" w:customStyle="1" w:styleId="20">
    <w:name w:val="font121"/>
    <w:basedOn w:val="12"/>
    <w:qFormat/>
    <w:uiPriority w:val="0"/>
    <w:rPr>
      <w:rFonts w:hint="default" w:ascii="Times New Roman" w:hAnsi="Times New Roman" w:cs="Times New Roman"/>
      <w:color w:val="000000"/>
      <w:sz w:val="16"/>
      <w:szCs w:val="16"/>
      <w:u w:val="none"/>
    </w:rPr>
  </w:style>
  <w:style w:type="character" w:customStyle="1" w:styleId="21">
    <w:name w:val="NormalCharacter"/>
    <w:basedOn w:val="12"/>
    <w:semiHidden/>
    <w:qFormat/>
    <w:uiPriority w:val="0"/>
    <w:rPr>
      <w:rFonts w:ascii="Calibri" w:hAnsi="Calibri"/>
      <w:kern w:val="2"/>
      <w:sz w:val="21"/>
      <w:szCs w:val="24"/>
      <w:lang w:val="en-US" w:eastAsia="zh-CN" w:bidi="ar-SA"/>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51"/>
    <w:basedOn w:val="12"/>
    <w:qFormat/>
    <w:uiPriority w:val="0"/>
    <w:rPr>
      <w:rFonts w:hint="eastAsia" w:ascii="宋体" w:hAnsi="宋体" w:eastAsia="宋体" w:cs="宋体"/>
      <w:b/>
      <w:bCs/>
      <w:color w:val="000000"/>
      <w:sz w:val="18"/>
      <w:szCs w:val="18"/>
      <w:u w:val="none"/>
    </w:r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101"/>
    <w:basedOn w:val="12"/>
    <w:qFormat/>
    <w:uiPriority w:val="0"/>
    <w:rPr>
      <w:rFonts w:hint="default" w:ascii="仿宋_GB2312" w:eastAsia="仿宋_GB2312" w:cs="仿宋_GB2312"/>
      <w:color w:val="000000"/>
      <w:sz w:val="16"/>
      <w:szCs w:val="16"/>
      <w:u w:val="none"/>
    </w:rPr>
  </w:style>
  <w:style w:type="character" w:customStyle="1" w:styleId="26">
    <w:name w:val="font141"/>
    <w:basedOn w:val="12"/>
    <w:qFormat/>
    <w:uiPriority w:val="0"/>
    <w:rPr>
      <w:rFonts w:ascii="方正书宋_GBK" w:hAnsi="方正书宋_GBK" w:eastAsia="方正书宋_GBK" w:cs="方正书宋_GBK"/>
      <w:color w:val="000000"/>
      <w:sz w:val="16"/>
      <w:szCs w:val="16"/>
      <w:u w:val="none"/>
    </w:rPr>
  </w:style>
  <w:style w:type="character" w:customStyle="1" w:styleId="27">
    <w:name w:val="页眉 字符"/>
    <w:basedOn w:val="12"/>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2372</Words>
  <Characters>2986</Characters>
  <Lines>82</Lines>
  <Paragraphs>23</Paragraphs>
  <TotalTime>0</TotalTime>
  <ScaleCrop>false</ScaleCrop>
  <LinksUpToDate>false</LinksUpToDate>
  <CharactersWithSpaces>2995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2024-03-11T19:04:00Z</dcterms:created>
  <dc:creator>Qin</dc:creator>
  <cp:lastModifiedBy>刘水清</cp:lastModifiedBy>
  <cp:lastPrinted>2025-03-21T23:50:00Z</cp:lastPrinted>
  <dcterms:modified xsi:type="dcterms:W3CDTF">2025-03-26T17:01:08Z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7BF061CF096D427D8883FBC945ED7D14_13</vt:lpwstr>
  </property>
  <property fmtid="{D5CDD505-2E9C-101B-9397-08002B2CF9AE}" pid="4" name="KSOTemplateDocerSaveRecord">
    <vt:lpwstr>eyJoZGlkIjoiZWVkNzFmYmU3ZmFiNTI4YTExMTUxMzU0YWNhNmVlYWQiLCJ1c2VySWQiOiIxNTU4MDYwODYxIn0=</vt:lpwstr>
  </property>
</Properties>
</file>