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after="0"/>
        <w:jc w:val="left"/>
        <w:textAlignment w:val="baseline"/>
        <w:rPr>
          <w:rFonts w:hint="default" w:ascii="方正黑体_GBK" w:hAnsi="方正黑体_GBK" w:eastAsia="方正黑体_GBK" w:cs="方正黑体_GBK"/>
          <w:b w:val="0"/>
          <w:bCs w:val="0"/>
          <w:snapToGrid w:val="0"/>
          <w:spacing w:val="-5"/>
          <w:kern w:val="0"/>
          <w:sz w:val="32"/>
          <w:szCs w:val="32"/>
          <w:lang w:val="en-US" w:eastAsia="zh-CN"/>
        </w:rPr>
      </w:pPr>
      <w:r>
        <w:rPr>
          <w:rFonts w:hint="eastAsia" w:ascii="方正黑体_GBK" w:hAnsi="方正黑体_GBK" w:eastAsia="方正黑体_GBK" w:cs="方正黑体_GBK"/>
          <w:b w:val="0"/>
          <w:bCs w:val="0"/>
          <w:snapToGrid w:val="0"/>
          <w:spacing w:val="-5"/>
          <w:kern w:val="0"/>
          <w:sz w:val="32"/>
          <w:szCs w:val="32"/>
          <w:lang w:eastAsia="zh-CN"/>
        </w:rPr>
        <w:t>附件</w:t>
      </w:r>
      <w:r>
        <w:rPr>
          <w:rFonts w:hint="eastAsia" w:ascii="方正黑体_GBK" w:hAnsi="方正黑体_GBK" w:eastAsia="方正黑体_GBK" w:cs="方正黑体_GBK"/>
          <w:b w:val="0"/>
          <w:bCs w:val="0"/>
          <w:snapToGrid w:val="0"/>
          <w:spacing w:val="-5"/>
          <w:kern w:val="0"/>
          <w:sz w:val="32"/>
          <w:szCs w:val="32"/>
          <w:lang w:val="en-US" w:eastAsia="zh-CN"/>
        </w:rPr>
        <w:t>6</w:t>
      </w:r>
      <w:bookmarkStart w:id="2" w:name="_GoBack"/>
    </w:p>
    <w:p>
      <w:pPr>
        <w:keepNext w:val="0"/>
        <w:keepLines w:val="0"/>
        <w:pageBreakBefore w:val="0"/>
        <w:wordWrap/>
        <w:overflowPunct/>
        <w:topLinePunct w:val="0"/>
        <w:bidi w:val="0"/>
        <w:spacing w:after="0" w:line="560" w:lineRule="exact"/>
        <w:jc w:val="center"/>
        <w:rPr>
          <w:rFonts w:hint="eastAsia" w:ascii="方正小标宋_GBK" w:hAnsi="方正小标宋_GBK" w:eastAsia="方正小标宋_GBK" w:cs="方正小标宋_GBK"/>
          <w:snapToGrid w:val="0"/>
          <w:spacing w:val="-5"/>
          <w:kern w:val="0"/>
          <w:sz w:val="44"/>
          <w:szCs w:val="44"/>
          <w:highlight w:val="none"/>
        </w:rPr>
      </w:pPr>
    </w:p>
    <w:p>
      <w:pPr>
        <w:keepNext w:val="0"/>
        <w:keepLines w:val="0"/>
        <w:pageBreakBefore w:val="0"/>
        <w:wordWrap/>
        <w:overflowPunct/>
        <w:topLinePunct w:val="0"/>
        <w:bidi w:val="0"/>
        <w:spacing w:after="0" w:line="560" w:lineRule="exact"/>
        <w:jc w:val="center"/>
        <w:rPr>
          <w:rFonts w:hint="eastAsia" w:ascii="方正小标宋_GBK" w:hAnsi="方正小标宋_GBK" w:eastAsia="方正小标宋_GBK" w:cs="方正小标宋_GBK"/>
          <w:snapToGrid w:val="0"/>
          <w:spacing w:val="-5"/>
          <w:kern w:val="0"/>
          <w:sz w:val="44"/>
          <w:szCs w:val="44"/>
          <w:highlight w:val="none"/>
        </w:rPr>
      </w:pPr>
    </w:p>
    <w:bookmarkEnd w:id="2"/>
    <w:p>
      <w:pPr>
        <w:spacing w:line="560" w:lineRule="exact"/>
        <w:jc w:val="center"/>
        <w:rPr>
          <w:rFonts w:hint="eastAsia" w:ascii="方正小标宋_GBK" w:hAnsi="方正小标宋_GBK" w:eastAsia="方正小标宋_GBK" w:cs="方正小标宋_GBK"/>
          <w:snapToGrid w:val="0"/>
          <w:spacing w:val="-5"/>
          <w:kern w:val="0"/>
          <w:sz w:val="44"/>
          <w:szCs w:val="44"/>
          <w:highlight w:val="none"/>
        </w:rPr>
      </w:pPr>
      <w:r>
        <w:rPr>
          <w:rFonts w:hint="eastAsia" w:ascii="方正小标宋_GBK" w:hAnsi="方正小标宋_GBK" w:eastAsia="方正小标宋_GBK" w:cs="方正小标宋_GBK"/>
          <w:snapToGrid w:val="0"/>
          <w:spacing w:val="-5"/>
          <w:kern w:val="0"/>
          <w:sz w:val="44"/>
          <w:szCs w:val="44"/>
          <w:highlight w:val="none"/>
        </w:rPr>
        <w:t>新疆维吾尔自治区粮油生产保障转移支付2024年度绩效自评报告</w:t>
      </w:r>
    </w:p>
    <w:p>
      <w:pPr>
        <w:widowControl/>
        <w:kinsoku w:val="0"/>
        <w:autoSpaceDE w:val="0"/>
        <w:autoSpaceDN w:val="0"/>
        <w:adjustRightInd w:val="0"/>
        <w:snapToGrid w:val="0"/>
        <w:jc w:val="center"/>
        <w:textAlignment w:val="baseline"/>
        <w:rPr>
          <w:rFonts w:eastAsia="方正小标宋_GBK"/>
          <w:snapToGrid w:val="0"/>
          <w:spacing w:val="-5"/>
          <w:kern w:val="0"/>
          <w:sz w:val="40"/>
          <w:szCs w:val="40"/>
          <w:highlight w:val="none"/>
        </w:rPr>
      </w:pPr>
    </w:p>
    <w:p>
      <w:pPr>
        <w:spacing w:line="540" w:lineRule="exact"/>
        <w:jc w:val="center"/>
        <w:rPr>
          <w:kern w:val="0"/>
          <w:szCs w:val="30"/>
          <w:highlight w:val="none"/>
        </w:rPr>
      </w:pPr>
      <w:r>
        <w:rPr>
          <w:rFonts w:hint="eastAsia"/>
          <w:b/>
          <w:bCs/>
          <w:kern w:val="0"/>
          <w:szCs w:val="30"/>
          <w:highlight w:val="none"/>
          <w:lang w:val="en-US" w:eastAsia="zh-CN"/>
        </w:rPr>
        <w:t xml:space="preserve"> </w:t>
      </w:r>
    </w:p>
    <w:p>
      <w:pPr>
        <w:pStyle w:val="11"/>
        <w:ind w:left="600" w:firstLine="600"/>
        <w:rPr>
          <w:rFonts w:ascii="Times New Roman" w:hAnsi="Times New Roman"/>
          <w:kern w:val="0"/>
          <w:szCs w:val="30"/>
          <w:highlight w:val="none"/>
        </w:rPr>
      </w:pPr>
    </w:p>
    <w:p>
      <w:pPr>
        <w:pStyle w:val="11"/>
        <w:ind w:left="600" w:firstLine="600"/>
        <w:rPr>
          <w:rFonts w:ascii="Times New Roman" w:hAnsi="Times New Roman"/>
          <w:kern w:val="0"/>
          <w:szCs w:val="30"/>
          <w:highlight w:val="none"/>
        </w:rPr>
      </w:pPr>
    </w:p>
    <w:p>
      <w:pPr>
        <w:spacing w:line="540" w:lineRule="exact"/>
        <w:rPr>
          <w:kern w:val="0"/>
          <w:szCs w:val="30"/>
          <w:highlight w:val="none"/>
        </w:rPr>
      </w:pPr>
    </w:p>
    <w:p>
      <w:pPr>
        <w:spacing w:line="540" w:lineRule="exact"/>
        <w:rPr>
          <w:kern w:val="0"/>
          <w:szCs w:val="30"/>
          <w:highlight w:val="none"/>
        </w:rPr>
      </w:pPr>
    </w:p>
    <w:p>
      <w:pPr>
        <w:spacing w:line="540" w:lineRule="exact"/>
        <w:rPr>
          <w:kern w:val="0"/>
          <w:szCs w:val="30"/>
          <w:highlight w:val="none"/>
        </w:rPr>
      </w:pPr>
    </w:p>
    <w:p>
      <w:pPr>
        <w:keepNext w:val="0"/>
        <w:keepLines w:val="0"/>
        <w:pageBreakBefore w:val="0"/>
        <w:widowControl w:val="0"/>
        <w:kinsoku/>
        <w:wordWrap/>
        <w:overflowPunct/>
        <w:topLinePunct w:val="0"/>
        <w:autoSpaceDE/>
        <w:autoSpaceDN/>
        <w:bidi w:val="0"/>
        <w:adjustRightInd/>
        <w:snapToGrid/>
        <w:spacing w:after="0" w:line="700" w:lineRule="exact"/>
        <w:ind w:firstLine="642" w:firstLineChars="200"/>
        <w:jc w:val="left"/>
        <w:textAlignment w:val="auto"/>
        <w:rPr>
          <w:kern w:val="0"/>
          <w:sz w:val="36"/>
          <w:szCs w:val="36"/>
          <w:highlight w:val="none"/>
        </w:rPr>
      </w:pPr>
      <w:r>
        <w:rPr>
          <w:b/>
          <w:bCs/>
          <w:color w:val="3F3F3F"/>
          <w:sz w:val="32"/>
          <w:highlight w:val="none"/>
        </w:rPr>
        <w:t>项目名称：</w:t>
      </w:r>
      <w:r>
        <w:rPr>
          <w:kern w:val="0"/>
          <w:sz w:val="36"/>
          <w:szCs w:val="36"/>
          <w:highlight w:val="none"/>
        </w:rPr>
        <w:t>粮油生产保障资金</w:t>
      </w:r>
    </w:p>
    <w:p>
      <w:pPr>
        <w:keepNext w:val="0"/>
        <w:keepLines w:val="0"/>
        <w:pageBreakBefore w:val="0"/>
        <w:widowControl w:val="0"/>
        <w:kinsoku/>
        <w:wordWrap/>
        <w:overflowPunct/>
        <w:topLinePunct w:val="0"/>
        <w:autoSpaceDE/>
        <w:autoSpaceDN/>
        <w:bidi w:val="0"/>
        <w:adjustRightInd/>
        <w:snapToGrid/>
        <w:spacing w:after="0" w:line="700" w:lineRule="exact"/>
        <w:ind w:firstLine="642" w:firstLineChars="200"/>
        <w:jc w:val="left"/>
        <w:textAlignment w:val="auto"/>
        <w:rPr>
          <w:sz w:val="32"/>
          <w:szCs w:val="32"/>
          <w:highlight w:val="none"/>
        </w:rPr>
      </w:pPr>
      <w:r>
        <w:rPr>
          <w:b/>
          <w:bCs/>
          <w:color w:val="3F3F3F"/>
          <w:sz w:val="32"/>
          <w:highlight w:val="none"/>
        </w:rPr>
        <w:t>实施单位（公章）：</w:t>
      </w:r>
      <w:r>
        <w:rPr>
          <w:sz w:val="36"/>
          <w:szCs w:val="36"/>
          <w:highlight w:val="none"/>
        </w:rPr>
        <w:t>各地州市农业农村局</w:t>
      </w:r>
    </w:p>
    <w:p>
      <w:pPr>
        <w:keepNext w:val="0"/>
        <w:keepLines w:val="0"/>
        <w:pageBreakBefore w:val="0"/>
        <w:widowControl w:val="0"/>
        <w:kinsoku/>
        <w:wordWrap/>
        <w:overflowPunct/>
        <w:topLinePunct w:val="0"/>
        <w:autoSpaceDE/>
        <w:autoSpaceDN/>
        <w:bidi w:val="0"/>
        <w:adjustRightInd/>
        <w:snapToGrid/>
        <w:spacing w:after="0" w:line="700" w:lineRule="exact"/>
        <w:ind w:firstLine="642" w:firstLineChars="200"/>
        <w:jc w:val="left"/>
        <w:textAlignment w:val="auto"/>
        <w:rPr>
          <w:kern w:val="0"/>
          <w:sz w:val="36"/>
          <w:szCs w:val="36"/>
          <w:highlight w:val="none"/>
        </w:rPr>
      </w:pPr>
      <w:r>
        <w:rPr>
          <w:b/>
          <w:bCs/>
          <w:color w:val="3F3F3F"/>
          <w:sz w:val="32"/>
          <w:highlight w:val="none"/>
        </w:rPr>
        <w:t>主管部门（公章）：</w:t>
      </w:r>
      <w:r>
        <w:rPr>
          <w:kern w:val="0"/>
          <w:sz w:val="36"/>
          <w:szCs w:val="36"/>
          <w:highlight w:val="none"/>
        </w:rPr>
        <w:t>自治区农业农村厅</w:t>
      </w:r>
    </w:p>
    <w:p>
      <w:pPr>
        <w:keepNext w:val="0"/>
        <w:keepLines w:val="0"/>
        <w:pageBreakBefore w:val="0"/>
        <w:widowControl w:val="0"/>
        <w:kinsoku/>
        <w:wordWrap/>
        <w:overflowPunct/>
        <w:topLinePunct w:val="0"/>
        <w:autoSpaceDE/>
        <w:autoSpaceDN/>
        <w:bidi w:val="0"/>
        <w:adjustRightInd/>
        <w:snapToGrid/>
        <w:spacing w:after="0" w:line="700" w:lineRule="exact"/>
        <w:ind w:firstLine="642" w:firstLineChars="200"/>
        <w:jc w:val="left"/>
        <w:textAlignment w:val="auto"/>
        <w:rPr>
          <w:kern w:val="0"/>
          <w:sz w:val="32"/>
          <w:szCs w:val="32"/>
          <w:highlight w:val="none"/>
        </w:rPr>
      </w:pPr>
      <w:r>
        <w:rPr>
          <w:b/>
          <w:bCs/>
          <w:color w:val="3F3F3F"/>
          <w:sz w:val="32"/>
          <w:highlight w:val="none"/>
        </w:rPr>
        <w:t>项目负责人（签章）：</w:t>
      </w:r>
      <w:r>
        <w:rPr>
          <w:kern w:val="0"/>
          <w:sz w:val="36"/>
          <w:szCs w:val="36"/>
          <w:highlight w:val="none"/>
        </w:rPr>
        <w:t>汤义武</w:t>
      </w:r>
    </w:p>
    <w:p>
      <w:pPr>
        <w:keepNext w:val="0"/>
        <w:keepLines w:val="0"/>
        <w:pageBreakBefore w:val="0"/>
        <w:widowControl w:val="0"/>
        <w:kinsoku/>
        <w:wordWrap/>
        <w:overflowPunct/>
        <w:topLinePunct w:val="0"/>
        <w:autoSpaceDE/>
        <w:autoSpaceDN/>
        <w:bidi w:val="0"/>
        <w:adjustRightInd/>
        <w:snapToGrid/>
        <w:spacing w:after="0" w:line="700" w:lineRule="exact"/>
        <w:ind w:firstLine="642" w:firstLineChars="200"/>
        <w:jc w:val="left"/>
        <w:textAlignment w:val="auto"/>
        <w:rPr>
          <w:kern w:val="0"/>
          <w:sz w:val="36"/>
          <w:szCs w:val="36"/>
          <w:highlight w:val="none"/>
        </w:rPr>
        <w:sectPr>
          <w:pgSz w:w="11906" w:h="16838"/>
          <w:pgMar w:top="1440" w:right="1800" w:bottom="1440" w:left="1800" w:header="851" w:footer="992" w:gutter="0"/>
          <w:cols w:space="720" w:num="1"/>
          <w:docGrid w:type="lines" w:linePitch="312" w:charSpace="0"/>
        </w:sectPr>
      </w:pPr>
      <w:r>
        <w:rPr>
          <w:b/>
          <w:bCs/>
          <w:color w:val="3F3F3F"/>
          <w:sz w:val="32"/>
          <w:highlight w:val="none"/>
        </w:rPr>
        <w:t>填报时间：</w:t>
      </w:r>
      <w:r>
        <w:rPr>
          <w:kern w:val="0"/>
          <w:sz w:val="36"/>
          <w:szCs w:val="36"/>
          <w:highlight w:val="none"/>
        </w:rPr>
        <w:t>202</w:t>
      </w:r>
      <w:r>
        <w:rPr>
          <w:rFonts w:hint="eastAsia"/>
          <w:kern w:val="0"/>
          <w:sz w:val="36"/>
          <w:szCs w:val="36"/>
          <w:highlight w:val="none"/>
        </w:rPr>
        <w:t>5</w:t>
      </w:r>
      <w:r>
        <w:rPr>
          <w:kern w:val="0"/>
          <w:sz w:val="36"/>
          <w:szCs w:val="36"/>
          <w:highlight w:val="none"/>
        </w:rPr>
        <w:t>年</w:t>
      </w:r>
      <w:r>
        <w:rPr>
          <w:kern w:val="0"/>
          <w:sz w:val="36"/>
          <w:szCs w:val="36"/>
          <w:highlight w:val="none"/>
          <w:lang w:val="en"/>
        </w:rPr>
        <w:t>3</w:t>
      </w:r>
      <w:r>
        <w:rPr>
          <w:kern w:val="0"/>
          <w:sz w:val="36"/>
          <w:szCs w:val="36"/>
          <w:highlight w:val="none"/>
        </w:rPr>
        <w:t>月</w:t>
      </w:r>
      <w:r>
        <w:rPr>
          <w:kern w:val="0"/>
          <w:sz w:val="36"/>
          <w:szCs w:val="36"/>
          <w:highlight w:val="none"/>
          <w:lang w:val="en"/>
        </w:rPr>
        <w:t>10</w:t>
      </w:r>
    </w:p>
    <w:p>
      <w:pPr>
        <w:spacing w:line="560" w:lineRule="exact"/>
        <w:jc w:val="center"/>
        <w:rPr>
          <w:rFonts w:hint="eastAsia" w:ascii="方正小标宋_GBK" w:hAnsi="方正小标宋_GBK" w:eastAsia="方正小标宋_GBK" w:cs="方正小标宋_GBK"/>
          <w:snapToGrid w:val="0"/>
          <w:spacing w:val="-5"/>
          <w:kern w:val="0"/>
          <w:sz w:val="44"/>
          <w:szCs w:val="44"/>
          <w:highlight w:val="none"/>
        </w:rPr>
      </w:pPr>
      <w:r>
        <w:rPr>
          <w:rFonts w:hint="eastAsia" w:ascii="方正小标宋_GBK" w:hAnsi="方正小标宋_GBK" w:eastAsia="方正小标宋_GBK" w:cs="方正小标宋_GBK"/>
          <w:snapToGrid w:val="0"/>
          <w:spacing w:val="-5"/>
          <w:kern w:val="0"/>
          <w:sz w:val="44"/>
          <w:szCs w:val="44"/>
          <w:highlight w:val="none"/>
        </w:rPr>
        <w:t>新疆维吾尔自治区粮油生产保障转移支付2024年度绩效自评报告</w:t>
      </w:r>
    </w:p>
    <w:p>
      <w:pPr>
        <w:spacing w:line="560" w:lineRule="exact"/>
        <w:ind w:firstLine="640" w:firstLineChars="200"/>
        <w:rPr>
          <w:bCs/>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bCs/>
          <w:sz w:val="32"/>
          <w:szCs w:val="32"/>
          <w:highlight w:val="none"/>
        </w:rPr>
      </w:pPr>
      <w:r>
        <w:rPr>
          <w:bCs/>
          <w:sz w:val="32"/>
          <w:szCs w:val="32"/>
          <w:highlight w:val="none"/>
        </w:rPr>
        <w:t>贯彻落实党中央全面实施预算绩效管理决策部署，根据财政部</w:t>
      </w:r>
      <w:r>
        <w:rPr>
          <w:rFonts w:hint="eastAsia"/>
          <w:bCs/>
          <w:sz w:val="32"/>
          <w:szCs w:val="32"/>
          <w:highlight w:val="none"/>
        </w:rPr>
        <w:t>《</w:t>
      </w:r>
      <w:r>
        <w:rPr>
          <w:bCs/>
          <w:sz w:val="32"/>
          <w:szCs w:val="32"/>
          <w:highlight w:val="none"/>
        </w:rPr>
        <w:t>关于开展202</w:t>
      </w:r>
      <w:r>
        <w:rPr>
          <w:rFonts w:hint="eastAsia"/>
          <w:bCs/>
          <w:sz w:val="32"/>
          <w:szCs w:val="32"/>
          <w:highlight w:val="none"/>
        </w:rPr>
        <w:t>4</w:t>
      </w:r>
      <w:r>
        <w:rPr>
          <w:bCs/>
          <w:sz w:val="32"/>
          <w:szCs w:val="32"/>
          <w:highlight w:val="none"/>
        </w:rPr>
        <w:t>年度中央对地方转移支付预算执行情况绩效自评工作的通知》（财监〔202</w:t>
      </w:r>
      <w:r>
        <w:rPr>
          <w:rFonts w:hint="eastAsia"/>
          <w:bCs/>
          <w:sz w:val="32"/>
          <w:szCs w:val="32"/>
          <w:highlight w:val="none"/>
        </w:rPr>
        <w:t>5</w:t>
      </w:r>
      <w:r>
        <w:rPr>
          <w:bCs/>
          <w:sz w:val="32"/>
          <w:szCs w:val="32"/>
          <w:highlight w:val="none"/>
        </w:rPr>
        <w:t>〕</w:t>
      </w:r>
      <w:r>
        <w:rPr>
          <w:rFonts w:hint="eastAsia"/>
          <w:bCs/>
          <w:sz w:val="32"/>
          <w:szCs w:val="32"/>
          <w:highlight w:val="none"/>
        </w:rPr>
        <w:t>1</w:t>
      </w:r>
      <w:r>
        <w:rPr>
          <w:bCs/>
          <w:sz w:val="32"/>
          <w:szCs w:val="32"/>
          <w:highlight w:val="none"/>
        </w:rPr>
        <w:t>号），自治区农业农村厅高度重视，严格按规范要求组织开展了202</w:t>
      </w:r>
      <w:r>
        <w:rPr>
          <w:rFonts w:hint="eastAsia"/>
          <w:bCs/>
          <w:sz w:val="32"/>
          <w:szCs w:val="32"/>
          <w:highlight w:val="none"/>
        </w:rPr>
        <w:t>4</w:t>
      </w:r>
      <w:r>
        <w:rPr>
          <w:bCs/>
          <w:sz w:val="32"/>
          <w:szCs w:val="32"/>
          <w:highlight w:val="none"/>
        </w:rPr>
        <w:t>年度新疆粮油生产保障中央补助资金绩效自评工作，现将自评情况报告如下：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eastAsia="黑体"/>
          <w:bCs/>
          <w:sz w:val="32"/>
          <w:szCs w:val="32"/>
          <w:highlight w:val="none"/>
        </w:rPr>
      </w:pPr>
      <w:r>
        <w:rPr>
          <w:rFonts w:eastAsia="黑体"/>
          <w:bCs/>
          <w:sz w:val="32"/>
          <w:szCs w:val="32"/>
          <w:highlight w:val="none"/>
        </w:rPr>
        <w:t>一、绩效目标分解下达情况</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0"/>
        <w:rPr>
          <w:rFonts w:hint="eastAsia" w:eastAsia="楷体"/>
          <w:b/>
          <w:bCs/>
          <w:sz w:val="32"/>
          <w:szCs w:val="32"/>
          <w:highlight w:val="none"/>
          <w:lang w:eastAsia="zh-CN"/>
        </w:rPr>
      </w:pPr>
      <w:r>
        <w:rPr>
          <w:rFonts w:eastAsia="楷体"/>
          <w:b/>
          <w:bCs/>
          <w:sz w:val="32"/>
          <w:szCs w:val="32"/>
          <w:highlight w:val="none"/>
        </w:rPr>
        <w:t>（一）中央下达粮油生产保障专项转移支付预算和绩效目标情况</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下达预算情况</w:t>
      </w:r>
      <w:r>
        <w:rPr>
          <w:rFonts w:hint="eastAsia" w:ascii="仿宋_GB2312" w:hAnsi="仿宋_GB2312" w:eastAsia="仿宋_GB2312" w:cs="仿宋_GB2312"/>
          <w:b/>
          <w:bCs/>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sz w:val="32"/>
          <w:szCs w:val="32"/>
          <w:highlight w:val="none"/>
        </w:rPr>
      </w:pPr>
      <w:r>
        <w:rPr>
          <w:rFonts w:ascii="Times New Roman" w:hAnsi="Times New Roman"/>
          <w:sz w:val="32"/>
          <w:szCs w:val="32"/>
          <w:highlight w:val="none"/>
        </w:rPr>
        <w:t>202</w:t>
      </w:r>
      <w:r>
        <w:rPr>
          <w:rFonts w:hint="eastAsia" w:ascii="Times New Roman" w:hAnsi="Times New Roman"/>
          <w:sz w:val="32"/>
          <w:szCs w:val="32"/>
          <w:highlight w:val="none"/>
        </w:rPr>
        <w:t>4</w:t>
      </w:r>
      <w:r>
        <w:rPr>
          <w:rFonts w:ascii="Times New Roman" w:hAnsi="Times New Roman"/>
          <w:sz w:val="32"/>
          <w:szCs w:val="32"/>
          <w:highlight w:val="none"/>
        </w:rPr>
        <w:t>年度，财政部分批下达我区粮油生产保障资金共计</w:t>
      </w:r>
      <w:r>
        <w:rPr>
          <w:rFonts w:hint="eastAsia" w:ascii="Times New Roman" w:hAnsi="Times New Roman"/>
          <w:sz w:val="32"/>
          <w:szCs w:val="32"/>
          <w:highlight w:val="none"/>
        </w:rPr>
        <w:t>16817</w:t>
      </w:r>
      <w:r>
        <w:rPr>
          <w:rFonts w:ascii="Times New Roman" w:hAnsi="Times New Roman"/>
          <w:sz w:val="32"/>
          <w:szCs w:val="32"/>
          <w:highlight w:val="none"/>
        </w:rPr>
        <w:t>万元，用于</w:t>
      </w:r>
      <w:r>
        <w:rPr>
          <w:rFonts w:hint="eastAsia" w:ascii="Times New Roman" w:hAnsi="Times New Roman"/>
          <w:sz w:val="32"/>
          <w:szCs w:val="32"/>
          <w:highlight w:val="none"/>
        </w:rPr>
        <w:t>粮油生产保障</w:t>
      </w:r>
      <w:r>
        <w:rPr>
          <w:rFonts w:ascii="Times New Roman" w:hAnsi="Times New Roman"/>
          <w:sz w:val="32"/>
          <w:szCs w:val="32"/>
          <w:highlight w:val="none"/>
        </w:rPr>
        <w:t>。详细如下：</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sz w:val="32"/>
          <w:szCs w:val="32"/>
          <w:highlight w:val="none"/>
        </w:rPr>
      </w:pPr>
      <w:r>
        <w:rPr>
          <w:rFonts w:ascii="Times New Roman" w:hAnsi="Times New Roman"/>
          <w:sz w:val="32"/>
          <w:szCs w:val="32"/>
          <w:highlight w:val="none"/>
        </w:rPr>
        <w:t>2023年</w:t>
      </w:r>
      <w:r>
        <w:rPr>
          <w:rFonts w:hint="eastAsia" w:ascii="Times New Roman" w:hAnsi="Times New Roman"/>
          <w:sz w:val="32"/>
          <w:szCs w:val="32"/>
          <w:highlight w:val="none"/>
        </w:rPr>
        <w:t>11</w:t>
      </w:r>
      <w:r>
        <w:rPr>
          <w:rFonts w:ascii="Times New Roman" w:hAnsi="Times New Roman"/>
          <w:sz w:val="32"/>
          <w:szCs w:val="32"/>
          <w:highlight w:val="none"/>
        </w:rPr>
        <w:t>月</w:t>
      </w:r>
      <w:r>
        <w:rPr>
          <w:rFonts w:hint="eastAsia" w:ascii="Times New Roman" w:hAnsi="Times New Roman"/>
          <w:sz w:val="32"/>
          <w:szCs w:val="32"/>
          <w:highlight w:val="none"/>
        </w:rPr>
        <w:t>《</w:t>
      </w:r>
      <w:r>
        <w:rPr>
          <w:rFonts w:ascii="Times New Roman" w:hAnsi="Times New Roman"/>
          <w:sz w:val="32"/>
          <w:szCs w:val="32"/>
          <w:highlight w:val="none"/>
        </w:rPr>
        <w:t>财政部关于提前下达2024年农业相关转移支付资金预算的通知</w:t>
      </w:r>
      <w:r>
        <w:rPr>
          <w:rFonts w:hint="eastAsia" w:ascii="Times New Roman" w:hAnsi="Times New Roman"/>
          <w:sz w:val="32"/>
          <w:szCs w:val="32"/>
          <w:highlight w:val="none"/>
        </w:rPr>
        <w:t>》</w:t>
      </w:r>
      <w:r>
        <w:rPr>
          <w:rFonts w:ascii="Times New Roman" w:hAnsi="Times New Roman"/>
          <w:sz w:val="32"/>
          <w:szCs w:val="32"/>
          <w:highlight w:val="none"/>
        </w:rPr>
        <w:t>（财农〔2023〕87号</w:t>
      </w:r>
      <w:r>
        <w:rPr>
          <w:rFonts w:hint="eastAsia" w:ascii="Times New Roman" w:hAnsi="Times New Roman"/>
          <w:sz w:val="32"/>
          <w:szCs w:val="32"/>
          <w:highlight w:val="none"/>
        </w:rPr>
        <w:t>）提前</w:t>
      </w:r>
      <w:r>
        <w:rPr>
          <w:rFonts w:ascii="Times New Roman" w:hAnsi="Times New Roman"/>
          <w:sz w:val="32"/>
          <w:szCs w:val="32"/>
          <w:highlight w:val="none"/>
        </w:rPr>
        <w:t>下达</w:t>
      </w:r>
      <w:r>
        <w:rPr>
          <w:rFonts w:hint="eastAsia" w:ascii="Times New Roman" w:hAnsi="Times New Roman"/>
          <w:sz w:val="32"/>
          <w:szCs w:val="32"/>
          <w:highlight w:val="none"/>
        </w:rPr>
        <w:t>13855</w:t>
      </w:r>
      <w:r>
        <w:rPr>
          <w:rFonts w:ascii="Times New Roman" w:hAnsi="Times New Roman"/>
          <w:sz w:val="32"/>
          <w:szCs w:val="32"/>
          <w:highlight w:val="none"/>
        </w:rPr>
        <w:t>万元。</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sz w:val="32"/>
          <w:szCs w:val="32"/>
          <w:highlight w:val="none"/>
        </w:rPr>
      </w:pPr>
      <w:r>
        <w:rPr>
          <w:rFonts w:ascii="Times New Roman" w:hAnsi="Times New Roman"/>
          <w:sz w:val="32"/>
          <w:szCs w:val="32"/>
          <w:highlight w:val="none"/>
        </w:rPr>
        <w:t>202</w:t>
      </w:r>
      <w:r>
        <w:rPr>
          <w:rFonts w:hint="eastAsia" w:ascii="Times New Roman" w:hAnsi="Times New Roman"/>
          <w:sz w:val="32"/>
          <w:szCs w:val="32"/>
          <w:highlight w:val="none"/>
        </w:rPr>
        <w:t>4</w:t>
      </w:r>
      <w:r>
        <w:rPr>
          <w:rFonts w:ascii="Times New Roman" w:hAnsi="Times New Roman"/>
          <w:sz w:val="32"/>
          <w:szCs w:val="32"/>
          <w:highlight w:val="none"/>
        </w:rPr>
        <w:t>年</w:t>
      </w:r>
      <w:r>
        <w:rPr>
          <w:rFonts w:hint="eastAsia" w:ascii="Times New Roman" w:hAnsi="Times New Roman"/>
          <w:sz w:val="32"/>
          <w:szCs w:val="32"/>
          <w:highlight w:val="none"/>
        </w:rPr>
        <w:t>4</w:t>
      </w:r>
      <w:r>
        <w:rPr>
          <w:rFonts w:ascii="Times New Roman" w:hAnsi="Times New Roman"/>
          <w:sz w:val="32"/>
          <w:szCs w:val="32"/>
          <w:highlight w:val="none"/>
        </w:rPr>
        <w:t>月</w:t>
      </w:r>
      <w:r>
        <w:rPr>
          <w:rFonts w:hint="eastAsia" w:ascii="Times New Roman" w:hAnsi="Times New Roman"/>
          <w:sz w:val="32"/>
          <w:szCs w:val="32"/>
          <w:highlight w:val="none"/>
        </w:rPr>
        <w:t>《</w:t>
      </w:r>
      <w:r>
        <w:rPr>
          <w:rFonts w:ascii="Times New Roman" w:hAnsi="Times New Roman"/>
          <w:sz w:val="32"/>
          <w:szCs w:val="32"/>
          <w:highlight w:val="none"/>
        </w:rPr>
        <w:t>财政部关于下达2024年粮油生产保障资金预算的通知</w:t>
      </w:r>
      <w:r>
        <w:rPr>
          <w:rFonts w:hint="eastAsia" w:ascii="Times New Roman" w:hAnsi="Times New Roman"/>
          <w:sz w:val="32"/>
          <w:szCs w:val="32"/>
          <w:highlight w:val="none"/>
        </w:rPr>
        <w:t>》</w:t>
      </w:r>
      <w:r>
        <w:rPr>
          <w:rFonts w:ascii="Times New Roman" w:hAnsi="Times New Roman"/>
          <w:sz w:val="32"/>
          <w:szCs w:val="32"/>
          <w:highlight w:val="none"/>
        </w:rPr>
        <w:t>（财农〔2024〕11号</w:t>
      </w:r>
      <w:r>
        <w:rPr>
          <w:rFonts w:hint="eastAsia" w:ascii="Times New Roman" w:hAnsi="Times New Roman"/>
          <w:sz w:val="32"/>
          <w:szCs w:val="32"/>
          <w:highlight w:val="none"/>
        </w:rPr>
        <w:t>）</w:t>
      </w:r>
      <w:r>
        <w:rPr>
          <w:rFonts w:ascii="Times New Roman" w:hAnsi="Times New Roman"/>
          <w:sz w:val="32"/>
          <w:szCs w:val="32"/>
          <w:highlight w:val="none"/>
        </w:rPr>
        <w:t>下达</w:t>
      </w:r>
      <w:r>
        <w:rPr>
          <w:rFonts w:hint="eastAsia" w:ascii="Times New Roman" w:hAnsi="Times New Roman"/>
          <w:sz w:val="32"/>
          <w:szCs w:val="32"/>
          <w:highlight w:val="none"/>
        </w:rPr>
        <w:t>2962</w:t>
      </w:r>
      <w:r>
        <w:rPr>
          <w:rFonts w:ascii="Times New Roman" w:hAnsi="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下达绩效目标情况</w:t>
      </w:r>
      <w:r>
        <w:rPr>
          <w:rFonts w:hint="eastAsia" w:ascii="仿宋_GB2312" w:hAnsi="仿宋_GB2312" w:eastAsia="仿宋_GB2312" w:cs="仿宋_GB2312"/>
          <w:b/>
          <w:bCs/>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宋体"/>
          <w:b/>
          <w:bCs/>
          <w:spacing w:val="-8"/>
          <w:sz w:val="23"/>
          <w:szCs w:val="23"/>
          <w:highlight w:val="none"/>
        </w:rPr>
      </w:pPr>
      <w:r>
        <w:rPr>
          <w:rFonts w:hint="eastAsia" w:ascii="Times New Roman" w:hAnsi="Times New Roman"/>
          <w:sz w:val="32"/>
          <w:szCs w:val="32"/>
          <w:highlight w:val="none"/>
        </w:rPr>
        <w:t>《</w:t>
      </w:r>
      <w:r>
        <w:rPr>
          <w:rFonts w:ascii="Times New Roman" w:hAnsi="Times New Roman"/>
          <w:sz w:val="32"/>
          <w:szCs w:val="32"/>
          <w:highlight w:val="none"/>
        </w:rPr>
        <w:t>财政部关于下达2024年粮油生产保障资金预算的通知</w:t>
      </w:r>
      <w:r>
        <w:rPr>
          <w:rFonts w:hint="eastAsia" w:ascii="Times New Roman" w:hAnsi="Times New Roman"/>
          <w:sz w:val="32"/>
          <w:szCs w:val="32"/>
          <w:highlight w:val="none"/>
        </w:rPr>
        <w:t>》</w:t>
      </w:r>
      <w:r>
        <w:rPr>
          <w:rFonts w:ascii="Times New Roman" w:hAnsi="Times New Roman"/>
          <w:sz w:val="32"/>
          <w:szCs w:val="32"/>
          <w:highlight w:val="none"/>
        </w:rPr>
        <w:t>（财农〔2024〕11号</w:t>
      </w:r>
      <w:r>
        <w:rPr>
          <w:rFonts w:hint="eastAsia" w:ascii="Times New Roman" w:hAnsi="Times New Roman"/>
          <w:sz w:val="32"/>
          <w:szCs w:val="32"/>
          <w:highlight w:val="none"/>
        </w:rPr>
        <w:t>）</w:t>
      </w:r>
      <w:r>
        <w:rPr>
          <w:rFonts w:ascii="Times New Roman" w:hAnsi="Times New Roman"/>
          <w:sz w:val="32"/>
          <w:szCs w:val="32"/>
          <w:highlight w:val="none"/>
        </w:rPr>
        <w:t>随文下达新疆区域绩效目标，情况详见下表</w:t>
      </w:r>
      <w:r>
        <w:rPr>
          <w:rFonts w:ascii="Times New Roman" w:hAnsi="Times New Roman"/>
          <w:color w:val="000000"/>
          <w:highlight w:val="none"/>
        </w:rPr>
        <w:t>：</w:t>
      </w:r>
    </w:p>
    <w:p>
      <w:pPr>
        <w:spacing w:before="107" w:line="209" w:lineRule="auto"/>
        <w:jc w:val="center"/>
        <w:outlineLvl w:val="0"/>
        <w:rPr>
          <w:rFonts w:eastAsia="宋体"/>
          <w:sz w:val="32"/>
          <w:szCs w:val="32"/>
          <w:highlight w:val="none"/>
        </w:rPr>
      </w:pPr>
      <w:r>
        <w:rPr>
          <w:rFonts w:eastAsia="宋体"/>
          <w:b/>
          <w:bCs/>
          <w:spacing w:val="-8"/>
          <w:sz w:val="32"/>
          <w:szCs w:val="32"/>
          <w:highlight w:val="none"/>
        </w:rPr>
        <w:t>粮油生产保障资金区域绩效目标表</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0"/>
        <w:rPr>
          <w:rFonts w:eastAsia="宋体"/>
          <w:sz w:val="22"/>
          <w:szCs w:val="22"/>
          <w:highlight w:val="none"/>
        </w:rPr>
      </w:pPr>
      <w:r>
        <w:rPr>
          <w:rFonts w:eastAsia="宋体"/>
          <w:b/>
          <w:bCs/>
          <w:spacing w:val="2"/>
          <w:sz w:val="22"/>
          <w:szCs w:val="22"/>
          <w:highlight w:val="none"/>
        </w:rPr>
        <w:t>(202</w:t>
      </w:r>
      <w:r>
        <w:rPr>
          <w:rFonts w:hint="eastAsia" w:eastAsia="宋体"/>
          <w:b/>
          <w:bCs/>
          <w:spacing w:val="2"/>
          <w:sz w:val="22"/>
          <w:szCs w:val="22"/>
          <w:highlight w:val="none"/>
        </w:rPr>
        <w:t>4</w:t>
      </w:r>
      <w:r>
        <w:rPr>
          <w:rFonts w:eastAsia="宋体"/>
          <w:b/>
          <w:bCs/>
          <w:spacing w:val="2"/>
          <w:sz w:val="22"/>
          <w:szCs w:val="22"/>
          <w:highlight w:val="none"/>
        </w:rPr>
        <w:t>年度）</w:t>
      </w:r>
    </w:p>
    <w:p>
      <w:pPr>
        <w:spacing w:line="27" w:lineRule="exact"/>
        <w:rPr>
          <w:highlight w:val="none"/>
        </w:rPr>
      </w:pPr>
    </w:p>
    <w:tbl>
      <w:tblPr>
        <w:tblStyle w:val="15"/>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808"/>
        <w:gridCol w:w="1962"/>
        <w:gridCol w:w="3263"/>
        <w:gridCol w:w="2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76"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imes New Roman" w:hAnsi="Times New Roman" w:cs="Times New Roman"/>
                <w:sz w:val="16"/>
                <w:szCs w:val="16"/>
                <w:highlight w:val="none"/>
              </w:rPr>
            </w:pPr>
            <w:r>
              <w:rPr>
                <w:rFonts w:ascii="Times New Roman" w:hAnsi="Times New Roman" w:cs="Times New Roman"/>
                <w:spacing w:val="2"/>
                <w:sz w:val="16"/>
                <w:szCs w:val="16"/>
                <w:highlight w:val="none"/>
              </w:rPr>
              <w:t>资金名称</w:t>
            </w:r>
          </w:p>
        </w:tc>
        <w:tc>
          <w:tcPr>
            <w:tcW w:w="2153" w:type="dxa"/>
          </w:tcPr>
          <w:p>
            <w:pPr>
              <w:pStyle w:val="1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imes New Roman" w:hAnsi="Times New Roman" w:cs="Times New Roman"/>
                <w:sz w:val="16"/>
                <w:szCs w:val="16"/>
                <w:highlight w:val="none"/>
              </w:rPr>
            </w:pPr>
            <w:r>
              <w:rPr>
                <w:rFonts w:ascii="Times New Roman" w:hAnsi="Times New Roman" w:cs="Times New Roman"/>
                <w:spacing w:val="-1"/>
                <w:sz w:val="16"/>
                <w:szCs w:val="16"/>
                <w:highlight w:val="none"/>
              </w:rPr>
              <w:t>粮油生产保障资金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76"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imes New Roman" w:hAnsi="Times New Roman" w:cs="Times New Roman"/>
                <w:sz w:val="16"/>
                <w:szCs w:val="16"/>
                <w:highlight w:val="none"/>
              </w:rPr>
            </w:pPr>
            <w:r>
              <w:rPr>
                <w:rFonts w:ascii="Times New Roman" w:hAnsi="Times New Roman" w:cs="Times New Roman"/>
                <w:spacing w:val="3"/>
                <w:sz w:val="16"/>
                <w:szCs w:val="16"/>
                <w:highlight w:val="none"/>
              </w:rPr>
              <w:t>中央主管部门</w:t>
            </w:r>
          </w:p>
        </w:tc>
        <w:tc>
          <w:tcPr>
            <w:tcW w:w="2153" w:type="dxa"/>
          </w:tcPr>
          <w:p>
            <w:pPr>
              <w:pStyle w:val="14"/>
              <w:keepNext w:val="0"/>
              <w:keepLines w:val="0"/>
              <w:pageBreakBefore w:val="0"/>
              <w:widowControl w:val="0"/>
              <w:kinsoku/>
              <w:wordWrap/>
              <w:overflowPunct/>
              <w:topLinePunct w:val="0"/>
              <w:autoSpaceDE/>
              <w:autoSpaceDN/>
              <w:bidi w:val="0"/>
              <w:adjustRightInd/>
              <w:snapToGrid/>
              <w:spacing w:after="0" w:line="400" w:lineRule="exact"/>
              <w:ind w:left="69"/>
              <w:jc w:val="center"/>
              <w:textAlignment w:val="auto"/>
              <w:rPr>
                <w:rFonts w:ascii="Times New Roman" w:hAnsi="Times New Roman" w:cs="Times New Roman"/>
                <w:sz w:val="16"/>
                <w:szCs w:val="16"/>
                <w:highlight w:val="none"/>
              </w:rPr>
            </w:pPr>
            <w:r>
              <w:rPr>
                <w:rFonts w:ascii="Times New Roman" w:hAnsi="Times New Roman" w:cs="Times New Roman"/>
                <w:spacing w:val="-1"/>
                <w:sz w:val="16"/>
                <w:szCs w:val="16"/>
                <w:highlight w:val="none"/>
              </w:rPr>
              <w:t>财政部、农业农村部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7076"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imes New Roman" w:hAnsi="Times New Roman" w:cs="Times New Roman"/>
                <w:sz w:val="16"/>
                <w:szCs w:val="16"/>
                <w:highlight w:val="none"/>
              </w:rPr>
            </w:pPr>
            <w:r>
              <w:rPr>
                <w:rFonts w:ascii="Times New Roman" w:hAnsi="Times New Roman" w:cs="Times New Roman"/>
                <w:spacing w:val="3"/>
                <w:sz w:val="16"/>
                <w:szCs w:val="16"/>
                <w:highlight w:val="none"/>
              </w:rPr>
              <w:t>省级财政部门</w:t>
            </w:r>
          </w:p>
        </w:tc>
        <w:tc>
          <w:tcPr>
            <w:tcW w:w="2153"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right="147"/>
              <w:jc w:val="center"/>
              <w:textAlignment w:val="auto"/>
              <w:rPr>
                <w:rFonts w:ascii="Times New Roman" w:hAnsi="Times New Roman" w:cs="Times New Roman"/>
                <w:spacing w:val="-1"/>
                <w:sz w:val="16"/>
                <w:szCs w:val="16"/>
                <w:highlight w:val="none"/>
                <w:lang w:eastAsia="zh-CN"/>
              </w:rPr>
            </w:pPr>
            <w:r>
              <w:rPr>
                <w:rFonts w:ascii="Times New Roman" w:hAnsi="Times New Roman" w:cs="Times New Roman"/>
                <w:spacing w:val="-1"/>
                <w:sz w:val="16"/>
                <w:szCs w:val="16"/>
                <w:highlight w:val="none"/>
                <w:lang w:eastAsia="zh-CN"/>
              </w:rPr>
              <w:t>新疆维吾尔自治区</w:t>
            </w:r>
          </w:p>
          <w:p>
            <w:pPr>
              <w:pStyle w:val="14"/>
              <w:keepNext w:val="0"/>
              <w:keepLines w:val="0"/>
              <w:pageBreakBefore w:val="0"/>
              <w:widowControl w:val="0"/>
              <w:kinsoku/>
              <w:wordWrap/>
              <w:overflowPunct/>
              <w:topLinePunct w:val="0"/>
              <w:autoSpaceDE/>
              <w:autoSpaceDN/>
              <w:bidi w:val="0"/>
              <w:adjustRightInd/>
              <w:snapToGrid/>
              <w:spacing w:after="0" w:line="240" w:lineRule="exact"/>
              <w:ind w:right="147"/>
              <w:jc w:val="center"/>
              <w:textAlignment w:val="auto"/>
              <w:rPr>
                <w:rFonts w:ascii="Times New Roman" w:hAnsi="Times New Roman" w:cs="Times New Roman"/>
                <w:sz w:val="16"/>
                <w:szCs w:val="16"/>
                <w:highlight w:val="none"/>
                <w:lang w:eastAsia="zh-CN"/>
              </w:rPr>
            </w:pPr>
            <w:r>
              <w:rPr>
                <w:rFonts w:ascii="Times New Roman" w:hAnsi="Times New Roman" w:cs="Times New Roman"/>
                <w:spacing w:val="-1"/>
                <w:sz w:val="16"/>
                <w:szCs w:val="16"/>
                <w:highlight w:val="none"/>
                <w:lang w:eastAsia="zh-CN"/>
              </w:rPr>
              <w:t>农</w:t>
            </w:r>
            <w:r>
              <w:rPr>
                <w:rFonts w:ascii="Times New Roman" w:hAnsi="Times New Roman" w:cs="Times New Roman"/>
                <w:spacing w:val="-2"/>
                <w:sz w:val="16"/>
                <w:szCs w:val="16"/>
                <w:highlight w:val="none"/>
                <w:lang w:eastAsia="zh-CN"/>
              </w:rPr>
              <w:t>业农村厅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76"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imes New Roman" w:hAnsi="Times New Roman" w:cs="Times New Roman"/>
                <w:sz w:val="16"/>
                <w:szCs w:val="16"/>
                <w:highlight w:val="none"/>
              </w:rPr>
            </w:pPr>
            <w:r>
              <w:rPr>
                <w:rFonts w:ascii="Times New Roman" w:hAnsi="Times New Roman" w:cs="Times New Roman"/>
                <w:spacing w:val="3"/>
                <w:sz w:val="16"/>
                <w:szCs w:val="16"/>
                <w:highlight w:val="none"/>
              </w:rPr>
              <w:t>省级主管部门</w:t>
            </w:r>
          </w:p>
        </w:tc>
        <w:tc>
          <w:tcPr>
            <w:tcW w:w="2153" w:type="dxa"/>
            <w:vAlign w:val="center"/>
          </w:tcPr>
          <w:p>
            <w:pPr>
              <w:pStyle w:val="14"/>
              <w:keepNext w:val="0"/>
              <w:keepLines w:val="0"/>
              <w:pageBreakBefore w:val="0"/>
              <w:widowControl w:val="0"/>
              <w:kinsoku/>
              <w:wordWrap/>
              <w:overflowPunct/>
              <w:topLinePunct w:val="0"/>
              <w:autoSpaceDE/>
              <w:autoSpaceDN/>
              <w:bidi w:val="0"/>
              <w:adjustRightInd/>
              <w:snapToGrid/>
              <w:spacing w:after="0" w:line="400" w:lineRule="exact"/>
              <w:ind w:right="82"/>
              <w:jc w:val="center"/>
              <w:textAlignment w:val="auto"/>
              <w:rPr>
                <w:rFonts w:ascii="Times New Roman" w:hAnsi="Times New Roman" w:cs="Times New Roman"/>
                <w:sz w:val="16"/>
                <w:szCs w:val="16"/>
                <w:highlight w:val="none"/>
                <w:lang w:eastAsia="zh-CN"/>
              </w:rPr>
            </w:pPr>
            <w:r>
              <w:rPr>
                <w:rFonts w:ascii="Times New Roman" w:hAnsi="Times New Roman" w:cs="Times New Roman"/>
                <w:spacing w:val="-1"/>
                <w:sz w:val="16"/>
                <w:szCs w:val="16"/>
                <w:highlight w:val="none"/>
                <w:lang w:eastAsia="zh-CN"/>
              </w:rPr>
              <w:t>新疆维吾尔自治区农</w:t>
            </w:r>
            <w:r>
              <w:rPr>
                <w:rFonts w:ascii="Times New Roman" w:hAnsi="Times New Roman" w:cs="Times New Roman"/>
                <w:spacing w:val="-2"/>
                <w:sz w:val="16"/>
                <w:szCs w:val="16"/>
                <w:highlight w:val="none"/>
                <w:lang w:eastAsia="zh-CN"/>
              </w:rPr>
              <w:t>业农村厅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restart"/>
            <w:tcBorders>
              <w:bottom w:val="nil"/>
            </w:tcBorders>
            <w:vAlign w:val="center"/>
          </w:tcPr>
          <w:p>
            <w:pPr>
              <w:pStyle w:val="14"/>
              <w:keepNext w:val="0"/>
              <w:keepLines w:val="0"/>
              <w:pageBreakBefore w:val="0"/>
              <w:widowControl w:val="0"/>
              <w:kinsoku/>
              <w:wordWrap/>
              <w:overflowPunct/>
              <w:topLinePunct w:val="0"/>
              <w:autoSpaceDE/>
              <w:autoSpaceDN/>
              <w:bidi w:val="0"/>
              <w:adjustRightInd/>
              <w:snapToGrid/>
              <w:spacing w:after="0" w:line="400" w:lineRule="exact"/>
              <w:ind w:right="120"/>
              <w:jc w:val="center"/>
              <w:textAlignment w:val="auto"/>
              <w:rPr>
                <w:rFonts w:ascii="Times New Roman" w:hAnsi="Times New Roman" w:cs="Times New Roman"/>
                <w:sz w:val="16"/>
                <w:szCs w:val="16"/>
                <w:highlight w:val="none"/>
                <w:lang w:eastAsia="zh-CN"/>
              </w:rPr>
            </w:pPr>
            <w:r>
              <w:rPr>
                <w:rFonts w:ascii="Times New Roman" w:hAnsi="Times New Roman" w:cs="Times New Roman"/>
                <w:sz w:val="16"/>
                <w:szCs w:val="16"/>
                <w:highlight w:val="none"/>
                <w:lang w:eastAsia="zh-CN"/>
              </w:rPr>
              <w:t>资金情况</w:t>
            </w:r>
          </w:p>
        </w:tc>
        <w:tc>
          <w:tcPr>
            <w:tcW w:w="6033" w:type="dxa"/>
            <w:gridSpan w:val="3"/>
          </w:tcPr>
          <w:p>
            <w:pPr>
              <w:pStyle w:val="14"/>
              <w:keepNext w:val="0"/>
              <w:keepLines w:val="0"/>
              <w:pageBreakBefore w:val="0"/>
              <w:widowControl w:val="0"/>
              <w:kinsoku/>
              <w:wordWrap/>
              <w:overflowPunct/>
              <w:topLinePunct w:val="0"/>
              <w:autoSpaceDE/>
              <w:autoSpaceDN/>
              <w:bidi w:val="0"/>
              <w:adjustRightInd/>
              <w:snapToGrid/>
              <w:spacing w:after="0" w:line="400" w:lineRule="exact"/>
              <w:ind w:left="2691"/>
              <w:textAlignment w:val="auto"/>
              <w:rPr>
                <w:rFonts w:ascii="Times New Roman" w:hAnsi="Times New Roman" w:cs="Times New Roman"/>
                <w:sz w:val="16"/>
                <w:szCs w:val="16"/>
                <w:highlight w:val="none"/>
              </w:rPr>
            </w:pPr>
            <w:r>
              <w:rPr>
                <w:rFonts w:ascii="Times New Roman" w:hAnsi="Times New Roman" w:cs="Times New Roman"/>
                <w:spacing w:val="5"/>
                <w:sz w:val="16"/>
                <w:szCs w:val="16"/>
                <w:highlight w:val="none"/>
              </w:rPr>
              <w:t>年度金额</w:t>
            </w:r>
            <w:r>
              <w:rPr>
                <w:rFonts w:ascii="Times New Roman" w:hAnsi="Times New Roman" w:cs="Times New Roman"/>
                <w:spacing w:val="5"/>
                <w:sz w:val="16"/>
                <w:szCs w:val="16"/>
                <w:highlight w:val="none"/>
                <w:lang w:eastAsia="zh-CN"/>
              </w:rPr>
              <w:t>（</w:t>
            </w:r>
            <w:r>
              <w:rPr>
                <w:rFonts w:ascii="Times New Roman" w:hAnsi="Times New Roman" w:cs="Times New Roman"/>
                <w:spacing w:val="5"/>
                <w:sz w:val="16"/>
                <w:szCs w:val="16"/>
                <w:highlight w:val="none"/>
              </w:rPr>
              <w:t>万元</w:t>
            </w:r>
            <w:r>
              <w:rPr>
                <w:rFonts w:ascii="Times New Roman" w:hAnsi="Times New Roman" w:cs="Times New Roman"/>
                <w:spacing w:val="5"/>
                <w:sz w:val="16"/>
                <w:szCs w:val="16"/>
                <w:highlight w:val="none"/>
                <w:lang w:eastAsia="zh-CN"/>
              </w:rPr>
              <w:t>）</w:t>
            </w:r>
          </w:p>
        </w:tc>
        <w:tc>
          <w:tcPr>
            <w:tcW w:w="2153" w:type="dxa"/>
          </w:tcPr>
          <w:p>
            <w:pPr>
              <w:pStyle w:val="1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imes New Roman" w:hAnsi="Times New Roman" w:cs="Times New Roman"/>
                <w:sz w:val="16"/>
                <w:szCs w:val="16"/>
                <w:highlight w:val="none"/>
                <w:lang w:eastAsia="zh-CN"/>
              </w:rPr>
            </w:pPr>
            <w:r>
              <w:rPr>
                <w:rFonts w:hint="eastAsia" w:ascii="Times New Roman" w:hAnsi="Times New Roman" w:cs="Times New Roman"/>
                <w:spacing w:val="-4"/>
                <w:sz w:val="16"/>
                <w:szCs w:val="16"/>
                <w:highlight w:val="none"/>
                <w:lang w:eastAsia="zh-CN"/>
              </w:rPr>
              <w:t>16817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sz w:val="16"/>
                <w:szCs w:val="16"/>
                <w:highlight w:val="none"/>
              </w:rPr>
            </w:pPr>
          </w:p>
        </w:tc>
        <w:tc>
          <w:tcPr>
            <w:tcW w:w="6033" w:type="dxa"/>
            <w:gridSpan w:val="3"/>
          </w:tcPr>
          <w:p>
            <w:pPr>
              <w:pStyle w:val="14"/>
              <w:keepNext w:val="0"/>
              <w:keepLines w:val="0"/>
              <w:pageBreakBefore w:val="0"/>
              <w:widowControl w:val="0"/>
              <w:kinsoku/>
              <w:wordWrap/>
              <w:overflowPunct/>
              <w:topLinePunct w:val="0"/>
              <w:autoSpaceDE/>
              <w:autoSpaceDN/>
              <w:bidi w:val="0"/>
              <w:adjustRightInd/>
              <w:snapToGrid/>
              <w:spacing w:after="0" w:line="400" w:lineRule="exact"/>
              <w:ind w:left="2691"/>
              <w:textAlignment w:val="auto"/>
              <w:rPr>
                <w:rFonts w:ascii="Times New Roman" w:hAnsi="Times New Roman" w:cs="Times New Roman"/>
                <w:sz w:val="16"/>
                <w:szCs w:val="16"/>
                <w:highlight w:val="none"/>
              </w:rPr>
            </w:pPr>
            <w:r>
              <w:rPr>
                <w:rFonts w:ascii="Times New Roman" w:hAnsi="Times New Roman" w:cs="Times New Roman"/>
                <w:spacing w:val="-2"/>
                <w:sz w:val="16"/>
                <w:szCs w:val="16"/>
                <w:highlight w:val="none"/>
              </w:rPr>
              <w:t>其中：中央补助</w:t>
            </w:r>
          </w:p>
        </w:tc>
        <w:tc>
          <w:tcPr>
            <w:tcW w:w="2153" w:type="dxa"/>
          </w:tcPr>
          <w:p>
            <w:pPr>
              <w:pStyle w:val="1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imes New Roman" w:hAnsi="Times New Roman" w:cs="Times New Roman"/>
                <w:sz w:val="16"/>
                <w:szCs w:val="16"/>
                <w:highlight w:val="none"/>
                <w:lang w:eastAsia="zh-CN"/>
              </w:rPr>
            </w:pPr>
            <w:r>
              <w:rPr>
                <w:rFonts w:hint="eastAsia" w:ascii="Times New Roman" w:hAnsi="Times New Roman" w:cs="Times New Roman"/>
                <w:spacing w:val="-4"/>
                <w:sz w:val="16"/>
                <w:szCs w:val="16"/>
                <w:highlight w:val="none"/>
                <w:lang w:eastAsia="zh-CN"/>
              </w:rPr>
              <w:t>16817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sz w:val="16"/>
                <w:szCs w:val="16"/>
                <w:highlight w:val="none"/>
              </w:rPr>
            </w:pPr>
          </w:p>
        </w:tc>
        <w:tc>
          <w:tcPr>
            <w:tcW w:w="6033" w:type="dxa"/>
            <w:gridSpan w:val="3"/>
          </w:tcPr>
          <w:p>
            <w:pPr>
              <w:pStyle w:val="14"/>
              <w:keepNext w:val="0"/>
              <w:keepLines w:val="0"/>
              <w:pageBreakBefore w:val="0"/>
              <w:widowControl w:val="0"/>
              <w:kinsoku/>
              <w:wordWrap/>
              <w:overflowPunct/>
              <w:topLinePunct w:val="0"/>
              <w:autoSpaceDE/>
              <w:autoSpaceDN/>
              <w:bidi w:val="0"/>
              <w:adjustRightInd/>
              <w:snapToGrid/>
              <w:spacing w:after="0" w:line="400" w:lineRule="exact"/>
              <w:ind w:left="2980"/>
              <w:textAlignment w:val="auto"/>
              <w:rPr>
                <w:rFonts w:ascii="Times New Roman" w:hAnsi="Times New Roman" w:cs="Times New Roman"/>
                <w:sz w:val="16"/>
                <w:szCs w:val="16"/>
                <w:highlight w:val="none"/>
              </w:rPr>
            </w:pPr>
            <w:r>
              <w:rPr>
                <w:rFonts w:ascii="Times New Roman" w:hAnsi="Times New Roman" w:cs="Times New Roman"/>
                <w:spacing w:val="-2"/>
                <w:sz w:val="16"/>
                <w:szCs w:val="16"/>
                <w:highlight w:val="none"/>
              </w:rPr>
              <w:t>地方资金</w:t>
            </w:r>
          </w:p>
        </w:tc>
        <w:tc>
          <w:tcPr>
            <w:tcW w:w="2153" w:type="dxa"/>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Align w:val="center"/>
          </w:tcPr>
          <w:p>
            <w:pPr>
              <w:pStyle w:val="14"/>
              <w:keepNext w:val="0"/>
              <w:keepLines w:val="0"/>
              <w:pageBreakBefore w:val="0"/>
              <w:widowControl w:val="0"/>
              <w:kinsoku/>
              <w:wordWrap/>
              <w:overflowPunct/>
              <w:topLinePunct w:val="0"/>
              <w:autoSpaceDE/>
              <w:autoSpaceDN/>
              <w:bidi w:val="0"/>
              <w:adjustRightInd/>
              <w:snapToGrid/>
              <w:spacing w:after="0" w:line="400" w:lineRule="exact"/>
              <w:ind w:left="115" w:right="121"/>
              <w:jc w:val="center"/>
              <w:textAlignment w:val="auto"/>
              <w:rPr>
                <w:rFonts w:ascii="Times New Roman" w:hAnsi="Times New Roman" w:cs="Times New Roman"/>
                <w:sz w:val="16"/>
                <w:szCs w:val="16"/>
                <w:highlight w:val="none"/>
              </w:rPr>
            </w:pPr>
            <w:r>
              <w:rPr>
                <w:rFonts w:ascii="Times New Roman" w:hAnsi="Times New Roman" w:cs="Times New Roman"/>
                <w:spacing w:val="-5"/>
                <w:sz w:val="16"/>
                <w:szCs w:val="16"/>
                <w:highlight w:val="none"/>
              </w:rPr>
              <w:t>年度</w:t>
            </w:r>
            <w:r>
              <w:rPr>
                <w:rFonts w:ascii="Times New Roman" w:hAnsi="Times New Roman" w:cs="Times New Roman"/>
                <w:spacing w:val="3"/>
                <w:sz w:val="16"/>
                <w:szCs w:val="16"/>
                <w:highlight w:val="none"/>
              </w:rPr>
              <w:t>目标</w:t>
            </w:r>
          </w:p>
        </w:tc>
        <w:tc>
          <w:tcPr>
            <w:tcW w:w="8186" w:type="dxa"/>
            <w:gridSpan w:val="4"/>
          </w:tcPr>
          <w:p>
            <w:pPr>
              <w:pStyle w:val="14"/>
              <w:keepNext w:val="0"/>
              <w:keepLines w:val="0"/>
              <w:pageBreakBefore w:val="0"/>
              <w:widowControl w:val="0"/>
              <w:kinsoku/>
              <w:wordWrap/>
              <w:overflowPunct/>
              <w:topLinePunct w:val="0"/>
              <w:autoSpaceDE/>
              <w:autoSpaceDN/>
              <w:bidi w:val="0"/>
              <w:adjustRightInd/>
              <w:snapToGrid/>
              <w:spacing w:after="0" w:line="400" w:lineRule="exact"/>
              <w:ind w:left="31"/>
              <w:jc w:val="center"/>
              <w:textAlignment w:val="auto"/>
              <w:rPr>
                <w:rFonts w:ascii="Times New Roman" w:hAnsi="Times New Roman" w:cs="Times New Roman"/>
                <w:sz w:val="16"/>
                <w:szCs w:val="16"/>
                <w:highlight w:val="none"/>
                <w:lang w:eastAsia="zh-CN"/>
              </w:rPr>
            </w:pPr>
            <w:r>
              <w:rPr>
                <w:rFonts w:ascii="Times New Roman" w:hAnsi="Times New Roman" w:cs="Times New Roman"/>
                <w:spacing w:val="-1"/>
                <w:sz w:val="16"/>
                <w:szCs w:val="16"/>
                <w:highlight w:val="none"/>
                <w:lang w:eastAsia="zh-CN"/>
              </w:rPr>
              <w:t>按照相关规划或实施方案，结合地方实际开展粮油生产保障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restart"/>
            <w:tcBorders>
              <w:bottom w:val="nil"/>
            </w:tcBorders>
            <w:vAlign w:val="center"/>
          </w:tcPr>
          <w:p>
            <w:pPr>
              <w:pStyle w:val="14"/>
              <w:spacing w:before="62" w:line="217" w:lineRule="auto"/>
              <w:ind w:left="115" w:right="121"/>
              <w:jc w:val="center"/>
              <w:rPr>
                <w:rFonts w:ascii="Times New Roman" w:hAnsi="Times New Roman" w:cs="Times New Roman"/>
                <w:spacing w:val="-6"/>
                <w:sz w:val="16"/>
                <w:szCs w:val="16"/>
                <w:highlight w:val="none"/>
              </w:rPr>
            </w:pPr>
            <w:r>
              <w:rPr>
                <w:rFonts w:ascii="Times New Roman" w:hAnsi="Times New Roman" w:cs="Times New Roman"/>
                <w:spacing w:val="-6"/>
                <w:sz w:val="16"/>
                <w:szCs w:val="16"/>
                <w:highlight w:val="none"/>
              </w:rPr>
              <w:t>绩</w:t>
            </w:r>
          </w:p>
          <w:p>
            <w:pPr>
              <w:pStyle w:val="14"/>
              <w:spacing w:before="62" w:line="217" w:lineRule="auto"/>
              <w:ind w:left="115" w:right="121"/>
              <w:jc w:val="center"/>
              <w:rPr>
                <w:rFonts w:ascii="Times New Roman" w:hAnsi="Times New Roman" w:cs="Times New Roman"/>
                <w:spacing w:val="-6"/>
                <w:sz w:val="16"/>
                <w:szCs w:val="16"/>
                <w:highlight w:val="none"/>
              </w:rPr>
            </w:pPr>
            <w:r>
              <w:rPr>
                <w:rFonts w:ascii="Times New Roman" w:hAnsi="Times New Roman" w:cs="Times New Roman"/>
                <w:spacing w:val="-6"/>
                <w:sz w:val="16"/>
                <w:szCs w:val="16"/>
                <w:highlight w:val="none"/>
              </w:rPr>
              <w:t>效</w:t>
            </w:r>
          </w:p>
          <w:p>
            <w:pPr>
              <w:pStyle w:val="14"/>
              <w:spacing w:before="62" w:line="217" w:lineRule="auto"/>
              <w:ind w:left="115" w:right="121"/>
              <w:jc w:val="center"/>
              <w:rPr>
                <w:rFonts w:ascii="Times New Roman" w:hAnsi="Times New Roman" w:cs="Times New Roman"/>
                <w:spacing w:val="3"/>
                <w:sz w:val="16"/>
                <w:szCs w:val="16"/>
                <w:highlight w:val="none"/>
              </w:rPr>
            </w:pPr>
            <w:r>
              <w:rPr>
                <w:rFonts w:ascii="Times New Roman" w:hAnsi="Times New Roman" w:cs="Times New Roman"/>
                <w:spacing w:val="3"/>
                <w:sz w:val="16"/>
                <w:szCs w:val="16"/>
                <w:highlight w:val="none"/>
              </w:rPr>
              <w:t>目</w:t>
            </w:r>
          </w:p>
          <w:p>
            <w:pPr>
              <w:pStyle w:val="14"/>
              <w:spacing w:before="62" w:line="217" w:lineRule="auto"/>
              <w:ind w:left="115" w:right="121"/>
              <w:jc w:val="center"/>
              <w:rPr>
                <w:rFonts w:ascii="Times New Roman" w:hAnsi="Times New Roman" w:cs="Times New Roman"/>
                <w:sz w:val="16"/>
                <w:szCs w:val="16"/>
                <w:highlight w:val="none"/>
              </w:rPr>
            </w:pPr>
            <w:r>
              <w:rPr>
                <w:rFonts w:ascii="Times New Roman" w:hAnsi="Times New Roman" w:cs="Times New Roman"/>
                <w:spacing w:val="3"/>
                <w:sz w:val="16"/>
                <w:szCs w:val="16"/>
                <w:highlight w:val="none"/>
              </w:rPr>
              <w:t>标</w:t>
            </w:r>
          </w:p>
        </w:tc>
        <w:tc>
          <w:tcPr>
            <w:tcW w:w="808" w:type="dxa"/>
          </w:tcPr>
          <w:p>
            <w:pPr>
              <w:pStyle w:val="14"/>
              <w:spacing w:before="159" w:line="220" w:lineRule="auto"/>
              <w:ind w:left="163"/>
              <w:rPr>
                <w:rFonts w:ascii="Times New Roman" w:hAnsi="Times New Roman" w:cs="Times New Roman"/>
                <w:sz w:val="16"/>
                <w:szCs w:val="16"/>
                <w:highlight w:val="none"/>
              </w:rPr>
            </w:pPr>
            <w:r>
              <w:rPr>
                <w:rFonts w:ascii="Times New Roman" w:hAnsi="Times New Roman" w:cs="Times New Roman"/>
                <w:b/>
                <w:bCs/>
                <w:spacing w:val="-5"/>
                <w:sz w:val="16"/>
                <w:szCs w:val="16"/>
                <w:highlight w:val="none"/>
              </w:rPr>
              <w:t>一级指标</w:t>
            </w:r>
          </w:p>
        </w:tc>
        <w:tc>
          <w:tcPr>
            <w:tcW w:w="1962" w:type="dxa"/>
          </w:tcPr>
          <w:p>
            <w:pPr>
              <w:pStyle w:val="14"/>
              <w:spacing w:before="159" w:line="220" w:lineRule="auto"/>
              <w:ind w:left="565"/>
              <w:rPr>
                <w:rFonts w:ascii="Times New Roman" w:hAnsi="Times New Roman" w:cs="Times New Roman"/>
                <w:sz w:val="16"/>
                <w:szCs w:val="16"/>
                <w:highlight w:val="none"/>
              </w:rPr>
            </w:pPr>
            <w:r>
              <w:rPr>
                <w:rFonts w:ascii="Times New Roman" w:hAnsi="Times New Roman" w:cs="Times New Roman"/>
                <w:b/>
                <w:bCs/>
                <w:spacing w:val="-4"/>
                <w:sz w:val="16"/>
                <w:szCs w:val="16"/>
                <w:highlight w:val="none"/>
              </w:rPr>
              <w:t>二级指标</w:t>
            </w:r>
          </w:p>
        </w:tc>
        <w:tc>
          <w:tcPr>
            <w:tcW w:w="3263" w:type="dxa"/>
          </w:tcPr>
          <w:p>
            <w:pPr>
              <w:pStyle w:val="14"/>
              <w:spacing w:before="159" w:line="220" w:lineRule="auto"/>
              <w:jc w:val="center"/>
              <w:rPr>
                <w:rFonts w:ascii="Times New Roman" w:hAnsi="Times New Roman" w:cs="Times New Roman"/>
                <w:sz w:val="16"/>
                <w:szCs w:val="16"/>
                <w:highlight w:val="none"/>
              </w:rPr>
            </w:pPr>
            <w:r>
              <w:rPr>
                <w:rFonts w:ascii="Times New Roman" w:hAnsi="Times New Roman" w:cs="Times New Roman"/>
                <w:b/>
                <w:bCs/>
                <w:spacing w:val="-4"/>
                <w:sz w:val="16"/>
                <w:szCs w:val="16"/>
                <w:highlight w:val="none"/>
              </w:rPr>
              <w:t>三级指标</w:t>
            </w:r>
          </w:p>
        </w:tc>
        <w:tc>
          <w:tcPr>
            <w:tcW w:w="2153" w:type="dxa"/>
          </w:tcPr>
          <w:p>
            <w:pPr>
              <w:pStyle w:val="14"/>
              <w:spacing w:before="159" w:line="219" w:lineRule="auto"/>
              <w:ind w:left="641"/>
              <w:rPr>
                <w:rFonts w:ascii="Times New Roman" w:hAnsi="Times New Roman" w:cs="Times New Roman"/>
                <w:sz w:val="16"/>
                <w:szCs w:val="16"/>
                <w:highlight w:val="none"/>
              </w:rPr>
            </w:pPr>
            <w:r>
              <w:rPr>
                <w:rFonts w:ascii="Times New Roman" w:hAnsi="Times New Roman" w:cs="Times New Roman"/>
                <w:b/>
                <w:bCs/>
                <w:spacing w:val="-5"/>
                <w:sz w:val="16"/>
                <w:szCs w:val="16"/>
                <w:highlight w:val="none"/>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restart"/>
            <w:tcBorders>
              <w:bottom w:val="nil"/>
            </w:tcBorders>
            <w:vAlign w:val="center"/>
          </w:tcPr>
          <w:p>
            <w:pPr>
              <w:pStyle w:val="14"/>
              <w:spacing w:before="62" w:line="219" w:lineRule="auto"/>
              <w:jc w:val="center"/>
              <w:rPr>
                <w:rFonts w:ascii="Times New Roman" w:hAnsi="Times New Roman" w:cs="Times New Roman"/>
                <w:sz w:val="16"/>
                <w:szCs w:val="16"/>
                <w:highlight w:val="none"/>
              </w:rPr>
            </w:pPr>
            <w:r>
              <w:rPr>
                <w:rFonts w:ascii="Times New Roman" w:hAnsi="Times New Roman" w:cs="Times New Roman"/>
                <w:spacing w:val="-2"/>
                <w:sz w:val="16"/>
                <w:szCs w:val="16"/>
                <w:highlight w:val="none"/>
              </w:rPr>
              <w:t>产出指标</w:t>
            </w:r>
          </w:p>
        </w:tc>
        <w:tc>
          <w:tcPr>
            <w:tcW w:w="1962" w:type="dxa"/>
            <w:vMerge w:val="restart"/>
            <w:tcBorders>
              <w:bottom w:val="nil"/>
            </w:tcBorders>
            <w:vAlign w:val="center"/>
          </w:tcPr>
          <w:p>
            <w:pPr>
              <w:pStyle w:val="14"/>
              <w:spacing w:before="62" w:line="219" w:lineRule="auto"/>
              <w:jc w:val="center"/>
              <w:rPr>
                <w:rFonts w:ascii="Times New Roman" w:hAnsi="Times New Roman" w:cs="Times New Roman"/>
                <w:sz w:val="16"/>
                <w:szCs w:val="16"/>
                <w:highlight w:val="none"/>
              </w:rPr>
            </w:pPr>
            <w:r>
              <w:rPr>
                <w:rFonts w:ascii="Times New Roman" w:hAnsi="Times New Roman" w:cs="Times New Roman"/>
                <w:spacing w:val="-2"/>
                <w:sz w:val="16"/>
                <w:szCs w:val="16"/>
                <w:highlight w:val="none"/>
              </w:rPr>
              <w:t>数量指标</w:t>
            </w:r>
          </w:p>
        </w:tc>
        <w:tc>
          <w:tcPr>
            <w:tcW w:w="3263" w:type="dxa"/>
          </w:tcPr>
          <w:p>
            <w:pPr>
              <w:pStyle w:val="14"/>
              <w:spacing w:before="162" w:line="219" w:lineRule="auto"/>
              <w:ind w:left="35"/>
              <w:rPr>
                <w:rFonts w:ascii="Times New Roman" w:hAnsi="Times New Roman" w:cs="Times New Roman"/>
                <w:sz w:val="16"/>
                <w:szCs w:val="16"/>
                <w:highlight w:val="none"/>
                <w:lang w:eastAsia="zh-CN"/>
              </w:rPr>
            </w:pPr>
            <w:r>
              <w:rPr>
                <w:rFonts w:ascii="Times New Roman" w:hAnsi="Times New Roman" w:cs="Times New Roman"/>
                <w:spacing w:val="3"/>
                <w:sz w:val="16"/>
                <w:szCs w:val="16"/>
                <w:highlight w:val="none"/>
                <w:lang w:eastAsia="zh-CN"/>
              </w:rPr>
              <w:t>集中育秧设施建设数量（个）</w:t>
            </w:r>
          </w:p>
        </w:tc>
        <w:tc>
          <w:tcPr>
            <w:tcW w:w="2153" w:type="dxa"/>
            <w:vAlign w:val="center"/>
          </w:tcPr>
          <w:p>
            <w:pPr>
              <w:jc w:val="center"/>
              <w:rPr>
                <w:sz w:val="16"/>
                <w:szCs w:val="16"/>
                <w:highlight w:val="none"/>
              </w:rPr>
            </w:pPr>
            <w:r>
              <w:rPr>
                <w:rFonts w:eastAsia="宋体"/>
                <w:spacing w:val="-1"/>
                <w:position w:val="-1"/>
                <w:sz w:val="9"/>
                <w:szCs w:val="9"/>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continue"/>
            <w:tcBorders>
              <w:top w:val="nil"/>
              <w:bottom w:val="nil"/>
            </w:tcBorders>
          </w:tcPr>
          <w:p>
            <w:pPr>
              <w:rPr>
                <w:sz w:val="16"/>
                <w:szCs w:val="16"/>
                <w:highlight w:val="none"/>
              </w:rPr>
            </w:pPr>
          </w:p>
        </w:tc>
        <w:tc>
          <w:tcPr>
            <w:tcW w:w="1962" w:type="dxa"/>
            <w:vMerge w:val="continue"/>
            <w:tcBorders>
              <w:top w:val="nil"/>
              <w:bottom w:val="nil"/>
            </w:tcBorders>
          </w:tcPr>
          <w:p>
            <w:pPr>
              <w:jc w:val="center"/>
              <w:rPr>
                <w:sz w:val="16"/>
                <w:szCs w:val="16"/>
                <w:highlight w:val="none"/>
              </w:rPr>
            </w:pPr>
          </w:p>
        </w:tc>
        <w:tc>
          <w:tcPr>
            <w:tcW w:w="3263" w:type="dxa"/>
          </w:tcPr>
          <w:p>
            <w:pPr>
              <w:pStyle w:val="14"/>
              <w:spacing w:before="162" w:line="219" w:lineRule="auto"/>
              <w:ind w:left="35"/>
              <w:rPr>
                <w:rFonts w:ascii="Times New Roman" w:hAnsi="Times New Roman" w:cs="Times New Roman"/>
                <w:sz w:val="16"/>
                <w:szCs w:val="16"/>
                <w:highlight w:val="none"/>
                <w:lang w:eastAsia="zh-CN"/>
              </w:rPr>
            </w:pPr>
            <w:r>
              <w:rPr>
                <w:rFonts w:ascii="Times New Roman" w:hAnsi="Times New Roman" w:cs="Times New Roman"/>
                <w:spacing w:val="2"/>
                <w:sz w:val="16"/>
                <w:szCs w:val="16"/>
                <w:highlight w:val="none"/>
                <w:lang w:eastAsia="zh-CN"/>
              </w:rPr>
              <w:t>集中育秧设施服务水稻大田面积（万亩次）</w:t>
            </w:r>
          </w:p>
        </w:tc>
        <w:tc>
          <w:tcPr>
            <w:tcW w:w="2153" w:type="dxa"/>
            <w:vAlign w:val="center"/>
          </w:tcPr>
          <w:p>
            <w:pPr>
              <w:spacing w:before="250" w:line="3" w:lineRule="exact"/>
              <w:jc w:val="center"/>
              <w:rPr>
                <w:rFonts w:eastAsia="宋体"/>
                <w:sz w:val="16"/>
                <w:szCs w:val="16"/>
                <w:highlight w:val="none"/>
              </w:rPr>
            </w:pPr>
            <w:r>
              <w:rPr>
                <w:rFonts w:eastAsia="宋体"/>
                <w:spacing w:val="-1"/>
                <w:position w:val="-1"/>
                <w:sz w:val="9"/>
                <w:szCs w:val="9"/>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continue"/>
            <w:tcBorders>
              <w:top w:val="nil"/>
              <w:bottom w:val="nil"/>
            </w:tcBorders>
          </w:tcPr>
          <w:p>
            <w:pPr>
              <w:rPr>
                <w:sz w:val="16"/>
                <w:szCs w:val="16"/>
                <w:highlight w:val="none"/>
              </w:rPr>
            </w:pPr>
          </w:p>
        </w:tc>
        <w:tc>
          <w:tcPr>
            <w:tcW w:w="1962" w:type="dxa"/>
            <w:vMerge w:val="continue"/>
            <w:tcBorders>
              <w:top w:val="nil"/>
              <w:bottom w:val="nil"/>
            </w:tcBorders>
          </w:tcPr>
          <w:p>
            <w:pPr>
              <w:jc w:val="center"/>
              <w:rPr>
                <w:sz w:val="16"/>
                <w:szCs w:val="16"/>
                <w:highlight w:val="none"/>
              </w:rPr>
            </w:pPr>
          </w:p>
        </w:tc>
        <w:tc>
          <w:tcPr>
            <w:tcW w:w="3263" w:type="dxa"/>
          </w:tcPr>
          <w:p>
            <w:pPr>
              <w:pStyle w:val="14"/>
              <w:spacing w:before="154" w:line="219" w:lineRule="auto"/>
              <w:ind w:left="35"/>
              <w:rPr>
                <w:rFonts w:ascii="Times New Roman" w:hAnsi="Times New Roman" w:cs="Times New Roman"/>
                <w:sz w:val="16"/>
                <w:szCs w:val="16"/>
                <w:highlight w:val="none"/>
                <w:lang w:eastAsia="zh-CN"/>
              </w:rPr>
            </w:pPr>
            <w:r>
              <w:rPr>
                <w:rFonts w:ascii="Times New Roman" w:hAnsi="Times New Roman" w:cs="Times New Roman"/>
                <w:spacing w:val="3"/>
                <w:sz w:val="16"/>
                <w:szCs w:val="16"/>
                <w:highlight w:val="none"/>
                <w:lang w:eastAsia="zh-CN"/>
              </w:rPr>
              <w:t>扩种油菜任务面积（万亩）</w:t>
            </w:r>
          </w:p>
        </w:tc>
        <w:tc>
          <w:tcPr>
            <w:tcW w:w="2153" w:type="dxa"/>
            <w:vAlign w:val="center"/>
          </w:tcPr>
          <w:p>
            <w:pPr>
              <w:jc w:val="center"/>
              <w:rPr>
                <w:sz w:val="16"/>
                <w:szCs w:val="16"/>
                <w:highlight w:val="none"/>
              </w:rPr>
            </w:pPr>
            <w:r>
              <w:rPr>
                <w:rFonts w:eastAsia="宋体"/>
                <w:spacing w:val="-1"/>
                <w:position w:val="-1"/>
                <w:sz w:val="9"/>
                <w:szCs w:val="9"/>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continue"/>
            <w:tcBorders>
              <w:top w:val="nil"/>
              <w:bottom w:val="nil"/>
            </w:tcBorders>
          </w:tcPr>
          <w:p>
            <w:pPr>
              <w:rPr>
                <w:sz w:val="16"/>
                <w:szCs w:val="16"/>
                <w:highlight w:val="none"/>
              </w:rPr>
            </w:pPr>
          </w:p>
        </w:tc>
        <w:tc>
          <w:tcPr>
            <w:tcW w:w="1962" w:type="dxa"/>
            <w:vMerge w:val="continue"/>
            <w:tcBorders>
              <w:top w:val="nil"/>
              <w:bottom w:val="nil"/>
            </w:tcBorders>
          </w:tcPr>
          <w:p>
            <w:pPr>
              <w:jc w:val="center"/>
              <w:rPr>
                <w:sz w:val="16"/>
                <w:szCs w:val="16"/>
                <w:highlight w:val="none"/>
              </w:rPr>
            </w:pPr>
          </w:p>
        </w:tc>
        <w:tc>
          <w:tcPr>
            <w:tcW w:w="3263" w:type="dxa"/>
          </w:tcPr>
          <w:p>
            <w:pPr>
              <w:pStyle w:val="14"/>
              <w:spacing w:before="154" w:line="219" w:lineRule="auto"/>
              <w:ind w:left="35"/>
              <w:rPr>
                <w:rFonts w:ascii="Times New Roman" w:hAnsi="Times New Roman" w:cs="Times New Roman"/>
                <w:sz w:val="16"/>
                <w:szCs w:val="16"/>
                <w:highlight w:val="none"/>
                <w:lang w:eastAsia="zh-CN"/>
              </w:rPr>
            </w:pPr>
            <w:r>
              <w:rPr>
                <w:rFonts w:ascii="Times New Roman" w:hAnsi="Times New Roman" w:cs="Times New Roman"/>
                <w:spacing w:val="2"/>
                <w:sz w:val="16"/>
                <w:szCs w:val="16"/>
                <w:highlight w:val="none"/>
                <w:lang w:eastAsia="zh-CN"/>
              </w:rPr>
              <w:t>大豆玉米带状复合种植任务面积（万亩）</w:t>
            </w:r>
          </w:p>
        </w:tc>
        <w:tc>
          <w:tcPr>
            <w:tcW w:w="2153" w:type="dxa"/>
            <w:vAlign w:val="center"/>
          </w:tcPr>
          <w:p>
            <w:pPr>
              <w:jc w:val="center"/>
              <w:rPr>
                <w:sz w:val="16"/>
                <w:szCs w:val="16"/>
                <w:highlight w:val="none"/>
              </w:rPr>
            </w:pPr>
            <w:r>
              <w:rPr>
                <w:rFonts w:eastAsia="宋体"/>
                <w:spacing w:val="-1"/>
                <w:position w:val="-1"/>
                <w:sz w:val="9"/>
                <w:szCs w:val="9"/>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continue"/>
            <w:tcBorders>
              <w:top w:val="nil"/>
              <w:bottom w:val="nil"/>
            </w:tcBorders>
          </w:tcPr>
          <w:p>
            <w:pPr>
              <w:rPr>
                <w:sz w:val="16"/>
                <w:szCs w:val="16"/>
                <w:highlight w:val="none"/>
              </w:rPr>
            </w:pPr>
          </w:p>
        </w:tc>
        <w:tc>
          <w:tcPr>
            <w:tcW w:w="1962" w:type="dxa"/>
            <w:vMerge w:val="continue"/>
            <w:tcBorders>
              <w:top w:val="nil"/>
              <w:bottom w:val="nil"/>
            </w:tcBorders>
          </w:tcPr>
          <w:p>
            <w:pPr>
              <w:jc w:val="center"/>
              <w:rPr>
                <w:sz w:val="16"/>
                <w:szCs w:val="16"/>
                <w:highlight w:val="none"/>
              </w:rPr>
            </w:pPr>
          </w:p>
        </w:tc>
        <w:tc>
          <w:tcPr>
            <w:tcW w:w="3263" w:type="dxa"/>
          </w:tcPr>
          <w:p>
            <w:pPr>
              <w:pStyle w:val="14"/>
              <w:spacing w:before="153" w:line="219" w:lineRule="auto"/>
              <w:ind w:left="35"/>
              <w:rPr>
                <w:rFonts w:ascii="Times New Roman" w:hAnsi="Times New Roman" w:cs="Times New Roman"/>
                <w:sz w:val="16"/>
                <w:szCs w:val="16"/>
                <w:highlight w:val="none"/>
                <w:lang w:eastAsia="zh-CN"/>
              </w:rPr>
            </w:pPr>
            <w:r>
              <w:rPr>
                <w:rFonts w:ascii="Times New Roman" w:hAnsi="Times New Roman" w:cs="Times New Roman"/>
                <w:spacing w:val="-1"/>
                <w:sz w:val="16"/>
                <w:szCs w:val="16"/>
                <w:highlight w:val="none"/>
                <w:lang w:eastAsia="zh-CN"/>
              </w:rPr>
              <w:t>重点作物绿色高产</w:t>
            </w:r>
            <w:r>
              <w:rPr>
                <w:rFonts w:hint="eastAsia" w:ascii="Times New Roman" w:hAnsi="Times New Roman" w:cs="Times New Roman"/>
                <w:spacing w:val="-1"/>
                <w:sz w:val="16"/>
                <w:szCs w:val="16"/>
                <w:highlight w:val="none"/>
                <w:lang w:eastAsia="zh-CN"/>
              </w:rPr>
              <w:t>高效行动推进县数量（个）</w:t>
            </w:r>
          </w:p>
        </w:tc>
        <w:tc>
          <w:tcPr>
            <w:tcW w:w="2153" w:type="dxa"/>
            <w:vAlign w:val="center"/>
          </w:tcPr>
          <w:p>
            <w:pPr>
              <w:pStyle w:val="14"/>
              <w:spacing w:before="155" w:line="219" w:lineRule="auto"/>
              <w:jc w:val="center"/>
              <w:rPr>
                <w:rFonts w:ascii="Times New Roman" w:hAnsi="Times New Roman" w:cs="Times New Roman"/>
                <w:sz w:val="16"/>
                <w:szCs w:val="16"/>
                <w:highlight w:val="none"/>
                <w:lang w:eastAsia="zh-CN"/>
              </w:rPr>
            </w:pPr>
            <w:r>
              <w:rPr>
                <w:rFonts w:hint="eastAsia" w:ascii="Times New Roman" w:hAnsi="Times New Roman" w:cs="Times New Roman"/>
                <w:sz w:val="16"/>
                <w:szCs w:val="16"/>
                <w:highlight w:val="none"/>
                <w:lang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continue"/>
            <w:tcBorders>
              <w:top w:val="nil"/>
              <w:bottom w:val="nil"/>
            </w:tcBorders>
          </w:tcPr>
          <w:p>
            <w:pPr>
              <w:rPr>
                <w:sz w:val="16"/>
                <w:szCs w:val="16"/>
                <w:highlight w:val="none"/>
              </w:rPr>
            </w:pPr>
          </w:p>
        </w:tc>
        <w:tc>
          <w:tcPr>
            <w:tcW w:w="1962" w:type="dxa"/>
            <w:vMerge w:val="continue"/>
            <w:tcBorders>
              <w:top w:val="nil"/>
            </w:tcBorders>
          </w:tcPr>
          <w:p>
            <w:pPr>
              <w:jc w:val="center"/>
              <w:rPr>
                <w:sz w:val="16"/>
                <w:szCs w:val="16"/>
                <w:highlight w:val="none"/>
              </w:rPr>
            </w:pPr>
          </w:p>
        </w:tc>
        <w:tc>
          <w:tcPr>
            <w:tcW w:w="3263"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sz w:val="16"/>
                <w:szCs w:val="16"/>
                <w:highlight w:val="none"/>
                <w:lang w:eastAsia="zh-CN"/>
              </w:rPr>
            </w:pPr>
            <w:r>
              <w:rPr>
                <w:rFonts w:hint="eastAsia" w:ascii="Times New Roman" w:hAnsi="Times New Roman" w:cs="Times New Roman"/>
                <w:spacing w:val="-1"/>
                <w:sz w:val="16"/>
                <w:szCs w:val="16"/>
                <w:highlight w:val="none"/>
                <w:lang w:eastAsia="zh-CN"/>
              </w:rPr>
              <w:t>大豆玉米小麦油菜单产提升整建制推进县数量（个）</w:t>
            </w:r>
          </w:p>
        </w:tc>
        <w:tc>
          <w:tcPr>
            <w:tcW w:w="2153" w:type="dxa"/>
            <w:vAlign w:val="center"/>
          </w:tcPr>
          <w:p>
            <w:pPr>
              <w:pStyle w:val="14"/>
              <w:spacing w:before="165" w:line="221" w:lineRule="auto"/>
              <w:jc w:val="center"/>
              <w:rPr>
                <w:rFonts w:hint="default" w:ascii="Times New Roman" w:hAnsi="Times New Roman" w:cs="Times New Roman"/>
                <w:sz w:val="16"/>
                <w:szCs w:val="16"/>
                <w:highlight w:val="none"/>
                <w:lang w:val="en-US" w:eastAsia="zh-CN"/>
              </w:rPr>
            </w:pPr>
            <w:r>
              <w:rPr>
                <w:rFonts w:hint="eastAsia" w:ascii="Times New Roman" w:hAnsi="Times New Roman" w:cs="Times New Roman"/>
                <w:spacing w:val="7"/>
                <w:sz w:val="16"/>
                <w:szCs w:val="16"/>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continue"/>
            <w:tcBorders>
              <w:top w:val="nil"/>
              <w:bottom w:val="nil"/>
            </w:tcBorders>
          </w:tcPr>
          <w:p>
            <w:pPr>
              <w:rPr>
                <w:sz w:val="16"/>
                <w:szCs w:val="16"/>
                <w:highlight w:val="none"/>
              </w:rPr>
            </w:pPr>
          </w:p>
        </w:tc>
        <w:tc>
          <w:tcPr>
            <w:tcW w:w="1962" w:type="dxa"/>
          </w:tcPr>
          <w:p>
            <w:pPr>
              <w:pStyle w:val="14"/>
              <w:spacing w:before="155" w:line="220" w:lineRule="auto"/>
              <w:jc w:val="center"/>
              <w:rPr>
                <w:rFonts w:ascii="Times New Roman" w:hAnsi="Times New Roman" w:cs="Times New Roman"/>
                <w:sz w:val="16"/>
                <w:szCs w:val="16"/>
                <w:highlight w:val="none"/>
              </w:rPr>
            </w:pPr>
            <w:r>
              <w:rPr>
                <w:rFonts w:ascii="Times New Roman" w:hAnsi="Times New Roman" w:cs="Times New Roman"/>
                <w:spacing w:val="1"/>
                <w:sz w:val="16"/>
                <w:szCs w:val="16"/>
                <w:highlight w:val="none"/>
              </w:rPr>
              <w:t>时效指标</w:t>
            </w:r>
          </w:p>
        </w:tc>
        <w:tc>
          <w:tcPr>
            <w:tcW w:w="3263" w:type="dxa"/>
          </w:tcPr>
          <w:p>
            <w:pPr>
              <w:pStyle w:val="14"/>
              <w:spacing w:before="153" w:line="219" w:lineRule="auto"/>
              <w:ind w:left="35"/>
              <w:rPr>
                <w:rFonts w:ascii="Times New Roman" w:hAnsi="Times New Roman" w:cs="Times New Roman"/>
                <w:sz w:val="16"/>
                <w:szCs w:val="16"/>
                <w:highlight w:val="none"/>
                <w:lang w:eastAsia="zh-CN"/>
              </w:rPr>
            </w:pPr>
            <w:r>
              <w:rPr>
                <w:rFonts w:ascii="Times New Roman" w:hAnsi="Times New Roman" w:cs="Times New Roman"/>
                <w:sz w:val="16"/>
                <w:szCs w:val="16"/>
                <w:highlight w:val="none"/>
                <w:lang w:eastAsia="zh-CN"/>
              </w:rPr>
              <w:t>小麦“一喷三防”措施落实完成时限</w:t>
            </w:r>
          </w:p>
        </w:tc>
        <w:tc>
          <w:tcPr>
            <w:tcW w:w="2153" w:type="dxa"/>
            <w:vAlign w:val="center"/>
          </w:tcPr>
          <w:p>
            <w:pPr>
              <w:pStyle w:val="14"/>
              <w:spacing w:before="155" w:line="219" w:lineRule="auto"/>
              <w:jc w:val="center"/>
              <w:rPr>
                <w:rFonts w:ascii="Times New Roman" w:hAnsi="Times New Roman" w:cs="Times New Roman"/>
                <w:sz w:val="16"/>
                <w:szCs w:val="16"/>
                <w:highlight w:val="none"/>
                <w:lang w:eastAsia="zh-CN"/>
              </w:rPr>
            </w:pPr>
            <w:r>
              <w:rPr>
                <w:rFonts w:ascii="Times New Roman" w:hAnsi="Times New Roman" w:cs="Times New Roman"/>
                <w:sz w:val="16"/>
                <w:szCs w:val="16"/>
                <w:highlight w:val="none"/>
                <w:lang w:eastAsia="zh-CN"/>
              </w:rPr>
              <w:t>7月3</w:t>
            </w:r>
            <w:r>
              <w:rPr>
                <w:rFonts w:hint="eastAsia" w:ascii="Times New Roman" w:hAnsi="Times New Roman" w:cs="Times New Roman"/>
                <w:sz w:val="16"/>
                <w:szCs w:val="16"/>
                <w:highlight w:val="none"/>
                <w:lang w:eastAsia="zh-CN"/>
              </w:rPr>
              <w:t>1</w:t>
            </w:r>
            <w:r>
              <w:rPr>
                <w:rFonts w:ascii="Times New Roman" w:hAnsi="Times New Roman" w:cs="Times New Roman"/>
                <w:sz w:val="16"/>
                <w:szCs w:val="16"/>
                <w:highlight w:val="none"/>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continue"/>
            <w:tcBorders>
              <w:top w:val="nil"/>
            </w:tcBorders>
          </w:tcPr>
          <w:p>
            <w:pPr>
              <w:rPr>
                <w:sz w:val="16"/>
                <w:szCs w:val="16"/>
                <w:highlight w:val="none"/>
              </w:rPr>
            </w:pPr>
          </w:p>
        </w:tc>
        <w:tc>
          <w:tcPr>
            <w:tcW w:w="1962" w:type="dxa"/>
          </w:tcPr>
          <w:p>
            <w:pPr>
              <w:pStyle w:val="14"/>
              <w:spacing w:before="163" w:line="219" w:lineRule="auto"/>
              <w:jc w:val="center"/>
              <w:rPr>
                <w:rFonts w:ascii="Times New Roman" w:hAnsi="Times New Roman" w:cs="Times New Roman"/>
                <w:sz w:val="16"/>
                <w:szCs w:val="16"/>
                <w:highlight w:val="none"/>
              </w:rPr>
            </w:pPr>
            <w:r>
              <w:rPr>
                <w:rFonts w:ascii="Times New Roman" w:hAnsi="Times New Roman" w:cs="Times New Roman"/>
                <w:spacing w:val="-2"/>
                <w:sz w:val="16"/>
                <w:szCs w:val="16"/>
                <w:highlight w:val="none"/>
              </w:rPr>
              <w:t>成本指标</w:t>
            </w:r>
          </w:p>
        </w:tc>
        <w:tc>
          <w:tcPr>
            <w:tcW w:w="3263" w:type="dxa"/>
            <w:vAlign w:val="center"/>
          </w:tcPr>
          <w:p>
            <w:pPr>
              <w:pStyle w:val="14"/>
              <w:spacing w:before="163" w:line="219" w:lineRule="auto"/>
              <w:rPr>
                <w:rFonts w:ascii="Times New Roman" w:hAnsi="Times New Roman" w:cs="Times New Roman"/>
                <w:sz w:val="16"/>
                <w:szCs w:val="16"/>
                <w:highlight w:val="none"/>
                <w:lang w:eastAsia="zh-CN"/>
              </w:rPr>
            </w:pPr>
            <w:r>
              <w:rPr>
                <w:rFonts w:ascii="Times New Roman" w:hAnsi="Times New Roman" w:cs="Times New Roman"/>
                <w:spacing w:val="-1"/>
                <w:sz w:val="16"/>
                <w:szCs w:val="16"/>
                <w:highlight w:val="none"/>
                <w:lang w:eastAsia="zh-CN"/>
              </w:rPr>
              <w:t>重点作物绿色高产高效项目区节本增效水平</w:t>
            </w:r>
          </w:p>
        </w:tc>
        <w:tc>
          <w:tcPr>
            <w:tcW w:w="2153" w:type="dxa"/>
            <w:vAlign w:val="center"/>
          </w:tcPr>
          <w:p>
            <w:pPr>
              <w:pStyle w:val="14"/>
              <w:spacing w:before="165" w:line="221" w:lineRule="auto"/>
              <w:jc w:val="center"/>
              <w:rPr>
                <w:rFonts w:ascii="Times New Roman" w:hAnsi="Times New Roman" w:cs="Times New Roman"/>
                <w:sz w:val="16"/>
                <w:szCs w:val="16"/>
                <w:highlight w:val="none"/>
                <w:lang w:eastAsia="zh-CN"/>
              </w:rPr>
            </w:pPr>
            <w:r>
              <w:rPr>
                <w:rFonts w:hint="eastAsia" w:ascii="Times New Roman" w:hAnsi="Times New Roman" w:cs="Times New Roman"/>
                <w:spacing w:val="-6"/>
                <w:sz w:val="16"/>
                <w:szCs w:val="16"/>
                <w:highlight w:val="none"/>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restart"/>
            <w:tcBorders>
              <w:bottom w:val="nil"/>
            </w:tcBorders>
            <w:vAlign w:val="center"/>
          </w:tcPr>
          <w:p>
            <w:pPr>
              <w:pStyle w:val="14"/>
              <w:spacing w:before="62" w:line="220" w:lineRule="auto"/>
              <w:jc w:val="center"/>
              <w:rPr>
                <w:rFonts w:ascii="Times New Roman" w:hAnsi="Times New Roman" w:cs="Times New Roman"/>
                <w:sz w:val="16"/>
                <w:szCs w:val="16"/>
                <w:highlight w:val="none"/>
              </w:rPr>
            </w:pPr>
            <w:r>
              <w:rPr>
                <w:rFonts w:ascii="Times New Roman" w:hAnsi="Times New Roman" w:cs="Times New Roman"/>
                <w:spacing w:val="-3"/>
                <w:sz w:val="16"/>
                <w:szCs w:val="16"/>
                <w:highlight w:val="none"/>
              </w:rPr>
              <w:t>效益指标</w:t>
            </w:r>
          </w:p>
        </w:tc>
        <w:tc>
          <w:tcPr>
            <w:tcW w:w="1962" w:type="dxa"/>
            <w:vMerge w:val="restart"/>
          </w:tcPr>
          <w:p>
            <w:pPr>
              <w:pStyle w:val="14"/>
              <w:spacing w:before="164" w:line="600" w:lineRule="auto"/>
              <w:ind w:firstLine="468" w:firstLineChars="300"/>
              <w:rPr>
                <w:rFonts w:ascii="Times New Roman" w:hAnsi="Times New Roman" w:cs="Times New Roman"/>
                <w:sz w:val="16"/>
                <w:szCs w:val="16"/>
                <w:highlight w:val="none"/>
              </w:rPr>
            </w:pPr>
            <w:r>
              <w:rPr>
                <w:rFonts w:ascii="Times New Roman" w:hAnsi="Times New Roman" w:cs="Times New Roman"/>
                <w:spacing w:val="-2"/>
                <w:sz w:val="16"/>
                <w:szCs w:val="16"/>
                <w:highlight w:val="none"/>
              </w:rPr>
              <w:t>社会效益指标</w:t>
            </w:r>
          </w:p>
        </w:tc>
        <w:tc>
          <w:tcPr>
            <w:tcW w:w="3263" w:type="dxa"/>
          </w:tcPr>
          <w:p>
            <w:pPr>
              <w:pStyle w:val="14"/>
              <w:spacing w:before="164" w:line="219" w:lineRule="auto"/>
              <w:ind w:left="35"/>
              <w:rPr>
                <w:rFonts w:ascii="Times New Roman" w:hAnsi="Times New Roman" w:cs="Times New Roman"/>
                <w:sz w:val="16"/>
                <w:szCs w:val="16"/>
                <w:highlight w:val="none"/>
                <w:lang w:eastAsia="zh-CN"/>
              </w:rPr>
            </w:pPr>
            <w:r>
              <w:rPr>
                <w:rFonts w:hint="eastAsia" w:ascii="Times New Roman" w:hAnsi="Times New Roman" w:cs="Times New Roman"/>
                <w:sz w:val="16"/>
                <w:szCs w:val="16"/>
                <w:highlight w:val="none"/>
                <w:lang w:eastAsia="zh-CN"/>
              </w:rPr>
              <w:t>集成推广绿色高质高效模式（套）</w:t>
            </w:r>
          </w:p>
        </w:tc>
        <w:tc>
          <w:tcPr>
            <w:tcW w:w="2153" w:type="dxa"/>
            <w:vAlign w:val="center"/>
          </w:tcPr>
          <w:p>
            <w:pPr>
              <w:pStyle w:val="14"/>
              <w:spacing w:before="165" w:line="220" w:lineRule="auto"/>
              <w:jc w:val="center"/>
              <w:rPr>
                <w:rFonts w:ascii="Times New Roman" w:hAnsi="Times New Roman" w:cs="Times New Roman"/>
                <w:sz w:val="16"/>
                <w:szCs w:val="16"/>
                <w:highlight w:val="none"/>
                <w:lang w:eastAsia="zh-CN"/>
              </w:rPr>
            </w:pPr>
            <w:r>
              <w:rPr>
                <w:rFonts w:hint="eastAsia" w:ascii="Times New Roman" w:hAnsi="Times New Roman" w:cs="Times New Roman"/>
                <w:sz w:val="16"/>
                <w:szCs w:val="16"/>
                <w:highlight w:val="none"/>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continue"/>
            <w:tcBorders>
              <w:top w:val="nil"/>
              <w:bottom w:val="nil"/>
            </w:tcBorders>
          </w:tcPr>
          <w:p>
            <w:pPr>
              <w:rPr>
                <w:sz w:val="16"/>
                <w:szCs w:val="16"/>
                <w:highlight w:val="none"/>
              </w:rPr>
            </w:pPr>
          </w:p>
        </w:tc>
        <w:tc>
          <w:tcPr>
            <w:tcW w:w="1962" w:type="dxa"/>
            <w:vMerge w:val="continue"/>
          </w:tcPr>
          <w:p>
            <w:pPr>
              <w:pStyle w:val="14"/>
              <w:spacing w:before="164" w:line="219" w:lineRule="auto"/>
              <w:jc w:val="center"/>
              <w:rPr>
                <w:rFonts w:ascii="Times New Roman" w:hAnsi="Times New Roman" w:cs="Times New Roman"/>
                <w:sz w:val="16"/>
                <w:szCs w:val="16"/>
                <w:highlight w:val="none"/>
              </w:rPr>
            </w:pPr>
          </w:p>
        </w:tc>
        <w:tc>
          <w:tcPr>
            <w:tcW w:w="3263" w:type="dxa"/>
          </w:tcPr>
          <w:p>
            <w:pPr>
              <w:pStyle w:val="14"/>
              <w:spacing w:before="165" w:line="219" w:lineRule="auto"/>
              <w:ind w:left="35"/>
              <w:rPr>
                <w:rFonts w:ascii="Times New Roman" w:hAnsi="Times New Roman" w:cs="Times New Roman"/>
                <w:sz w:val="16"/>
                <w:szCs w:val="16"/>
                <w:highlight w:val="none"/>
                <w:lang w:eastAsia="zh-CN"/>
              </w:rPr>
            </w:pPr>
            <w:r>
              <w:rPr>
                <w:rFonts w:hint="eastAsia" w:ascii="Times New Roman" w:hAnsi="Times New Roman" w:cs="Times New Roman"/>
                <w:spacing w:val="2"/>
                <w:sz w:val="16"/>
                <w:szCs w:val="16"/>
                <w:highlight w:val="none"/>
                <w:lang w:eastAsia="zh-CN"/>
              </w:rPr>
              <w:t>资金使用重大违规违纪问题</w:t>
            </w:r>
          </w:p>
        </w:tc>
        <w:tc>
          <w:tcPr>
            <w:tcW w:w="2153" w:type="dxa"/>
            <w:vAlign w:val="center"/>
          </w:tcPr>
          <w:p>
            <w:pPr>
              <w:pStyle w:val="14"/>
              <w:spacing w:before="214" w:line="183" w:lineRule="auto"/>
              <w:jc w:val="center"/>
              <w:rPr>
                <w:rFonts w:ascii="Times New Roman" w:hAnsi="Times New Roman" w:cs="Times New Roman"/>
                <w:sz w:val="16"/>
                <w:szCs w:val="16"/>
                <w:highlight w:val="none"/>
                <w:lang w:eastAsia="zh-CN"/>
              </w:rPr>
            </w:pPr>
            <w:r>
              <w:rPr>
                <w:rFonts w:hint="eastAsia" w:ascii="Times New Roman" w:hAnsi="Times New Roman" w:cs="Times New Roman"/>
                <w:sz w:val="16"/>
                <w:szCs w:val="16"/>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bottom w:val="nil"/>
            </w:tcBorders>
          </w:tcPr>
          <w:p>
            <w:pPr>
              <w:rPr>
                <w:sz w:val="16"/>
                <w:szCs w:val="16"/>
                <w:highlight w:val="none"/>
              </w:rPr>
            </w:pPr>
          </w:p>
        </w:tc>
        <w:tc>
          <w:tcPr>
            <w:tcW w:w="808" w:type="dxa"/>
            <w:vMerge w:val="continue"/>
            <w:tcBorders>
              <w:top w:val="nil"/>
            </w:tcBorders>
          </w:tcPr>
          <w:p>
            <w:pPr>
              <w:rPr>
                <w:sz w:val="16"/>
                <w:szCs w:val="16"/>
                <w:highlight w:val="none"/>
              </w:rPr>
            </w:pPr>
          </w:p>
        </w:tc>
        <w:tc>
          <w:tcPr>
            <w:tcW w:w="1962" w:type="dxa"/>
          </w:tcPr>
          <w:p>
            <w:pPr>
              <w:pStyle w:val="14"/>
              <w:spacing w:before="237" w:line="220" w:lineRule="auto"/>
              <w:jc w:val="center"/>
              <w:rPr>
                <w:rFonts w:ascii="Times New Roman" w:hAnsi="Times New Roman" w:cs="Times New Roman"/>
                <w:sz w:val="16"/>
                <w:szCs w:val="16"/>
                <w:highlight w:val="none"/>
              </w:rPr>
            </w:pPr>
            <w:r>
              <w:rPr>
                <w:rFonts w:ascii="Times New Roman" w:hAnsi="Times New Roman" w:cs="Times New Roman"/>
                <w:spacing w:val="-2"/>
                <w:sz w:val="16"/>
                <w:szCs w:val="16"/>
                <w:highlight w:val="none"/>
              </w:rPr>
              <w:t>生态效益指标</w:t>
            </w:r>
          </w:p>
        </w:tc>
        <w:tc>
          <w:tcPr>
            <w:tcW w:w="3263"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right="57"/>
              <w:jc w:val="both"/>
              <w:textAlignment w:val="auto"/>
              <w:rPr>
                <w:rFonts w:ascii="Times New Roman" w:hAnsi="Times New Roman" w:cs="Times New Roman"/>
                <w:sz w:val="16"/>
                <w:szCs w:val="16"/>
                <w:highlight w:val="none"/>
                <w:lang w:eastAsia="zh-CN"/>
              </w:rPr>
            </w:pPr>
            <w:r>
              <w:rPr>
                <w:rFonts w:ascii="Times New Roman" w:hAnsi="Times New Roman" w:cs="Times New Roman"/>
                <w:sz w:val="16"/>
                <w:szCs w:val="16"/>
                <w:highlight w:val="none"/>
                <w:lang w:eastAsia="zh-CN"/>
              </w:rPr>
              <w:t>重点作物绿色高产高效项目区病虫害危害损</w:t>
            </w:r>
            <w:r>
              <w:rPr>
                <w:rFonts w:ascii="Times New Roman" w:hAnsi="Times New Roman" w:cs="Times New Roman"/>
                <w:spacing w:val="4"/>
                <w:sz w:val="16"/>
                <w:szCs w:val="16"/>
                <w:highlight w:val="none"/>
                <w:lang w:eastAsia="zh-CN"/>
              </w:rPr>
              <w:t>失率</w:t>
            </w:r>
          </w:p>
        </w:tc>
        <w:tc>
          <w:tcPr>
            <w:tcW w:w="2153" w:type="dxa"/>
            <w:vAlign w:val="center"/>
          </w:tcPr>
          <w:p>
            <w:pPr>
              <w:pStyle w:val="14"/>
              <w:spacing w:before="253" w:line="236" w:lineRule="auto"/>
              <w:jc w:val="center"/>
              <w:rPr>
                <w:rFonts w:hint="default" w:ascii="Times New Roman" w:hAnsi="Times New Roman" w:eastAsia="宋体" w:cs="Times New Roman"/>
                <w:sz w:val="16"/>
                <w:szCs w:val="16"/>
                <w:highlight w:val="none"/>
                <w:lang w:val="en-US" w:eastAsia="zh-CN"/>
              </w:rPr>
            </w:pPr>
            <w:r>
              <w:rPr>
                <w:rFonts w:hint="eastAsia" w:ascii="Times New Roman" w:hAnsi="Times New Roman" w:cs="Times New Roman"/>
                <w:sz w:val="16"/>
                <w:szCs w:val="16"/>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43" w:type="dxa"/>
            <w:vMerge w:val="continue"/>
            <w:tcBorders>
              <w:top w:val="nil"/>
            </w:tcBorders>
          </w:tcPr>
          <w:p>
            <w:pPr>
              <w:rPr>
                <w:sz w:val="16"/>
                <w:szCs w:val="16"/>
                <w:highlight w:val="none"/>
              </w:rPr>
            </w:pPr>
          </w:p>
        </w:tc>
        <w:tc>
          <w:tcPr>
            <w:tcW w:w="808"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left="62"/>
              <w:jc w:val="center"/>
              <w:textAlignment w:val="auto"/>
              <w:rPr>
                <w:rFonts w:ascii="Times New Roman" w:hAnsi="Times New Roman" w:cs="Times New Roman"/>
                <w:spacing w:val="-2"/>
                <w:sz w:val="16"/>
                <w:szCs w:val="16"/>
                <w:highlight w:val="none"/>
              </w:rPr>
            </w:pPr>
            <w:r>
              <w:rPr>
                <w:rFonts w:ascii="Times New Roman" w:hAnsi="Times New Roman" w:cs="Times New Roman"/>
                <w:spacing w:val="-2"/>
                <w:sz w:val="16"/>
                <w:szCs w:val="16"/>
                <w:highlight w:val="none"/>
              </w:rPr>
              <w:t>满意度</w:t>
            </w:r>
          </w:p>
          <w:p>
            <w:pPr>
              <w:pStyle w:val="14"/>
              <w:keepNext w:val="0"/>
              <w:keepLines w:val="0"/>
              <w:pageBreakBefore w:val="0"/>
              <w:widowControl w:val="0"/>
              <w:kinsoku/>
              <w:wordWrap/>
              <w:overflowPunct/>
              <w:topLinePunct w:val="0"/>
              <w:autoSpaceDE/>
              <w:autoSpaceDN/>
              <w:bidi w:val="0"/>
              <w:adjustRightInd/>
              <w:snapToGrid/>
              <w:spacing w:after="0" w:line="240" w:lineRule="exact"/>
              <w:ind w:left="62"/>
              <w:jc w:val="center"/>
              <w:textAlignment w:val="auto"/>
              <w:rPr>
                <w:rFonts w:ascii="Times New Roman" w:hAnsi="Times New Roman" w:cs="Times New Roman"/>
                <w:sz w:val="16"/>
                <w:szCs w:val="16"/>
                <w:highlight w:val="none"/>
              </w:rPr>
            </w:pPr>
            <w:r>
              <w:rPr>
                <w:rFonts w:ascii="Times New Roman" w:hAnsi="Times New Roman" w:cs="Times New Roman"/>
                <w:spacing w:val="-2"/>
                <w:sz w:val="16"/>
                <w:szCs w:val="16"/>
                <w:highlight w:val="none"/>
              </w:rPr>
              <w:t>指标</w:t>
            </w:r>
          </w:p>
        </w:tc>
        <w:tc>
          <w:tcPr>
            <w:tcW w:w="1962" w:type="dxa"/>
          </w:tcPr>
          <w:p>
            <w:pPr>
              <w:pStyle w:val="14"/>
              <w:spacing w:before="157" w:line="219" w:lineRule="auto"/>
              <w:jc w:val="center"/>
              <w:rPr>
                <w:rFonts w:ascii="Times New Roman" w:hAnsi="Times New Roman" w:cs="Times New Roman"/>
                <w:sz w:val="16"/>
                <w:szCs w:val="16"/>
                <w:highlight w:val="none"/>
              </w:rPr>
            </w:pPr>
            <w:r>
              <w:rPr>
                <w:rFonts w:ascii="Times New Roman" w:hAnsi="Times New Roman" w:cs="Times New Roman"/>
                <w:spacing w:val="-1"/>
                <w:sz w:val="16"/>
                <w:szCs w:val="16"/>
                <w:highlight w:val="none"/>
              </w:rPr>
              <w:t>服务对象满意度指标</w:t>
            </w:r>
          </w:p>
        </w:tc>
        <w:tc>
          <w:tcPr>
            <w:tcW w:w="3263" w:type="dxa"/>
            <w:vAlign w:val="center"/>
          </w:tcPr>
          <w:p>
            <w:pPr>
              <w:pStyle w:val="14"/>
              <w:spacing w:before="157" w:line="219" w:lineRule="auto"/>
              <w:ind w:left="35"/>
              <w:rPr>
                <w:rFonts w:ascii="Times New Roman" w:hAnsi="Times New Roman" w:cs="Times New Roman"/>
                <w:sz w:val="16"/>
                <w:szCs w:val="16"/>
                <w:highlight w:val="none"/>
              </w:rPr>
            </w:pPr>
            <w:r>
              <w:rPr>
                <w:rFonts w:ascii="Times New Roman" w:hAnsi="Times New Roman" w:cs="Times New Roman"/>
                <w:spacing w:val="1"/>
                <w:sz w:val="16"/>
                <w:szCs w:val="16"/>
                <w:highlight w:val="none"/>
              </w:rPr>
              <w:t>指导服务对象满意度</w:t>
            </w:r>
          </w:p>
        </w:tc>
        <w:tc>
          <w:tcPr>
            <w:tcW w:w="2153" w:type="dxa"/>
            <w:vAlign w:val="center"/>
          </w:tcPr>
          <w:p>
            <w:pPr>
              <w:pStyle w:val="14"/>
              <w:spacing w:before="176" w:line="237" w:lineRule="auto"/>
              <w:jc w:val="center"/>
              <w:rPr>
                <w:rFonts w:ascii="Times New Roman" w:hAnsi="Times New Roman" w:cs="Times New Roman"/>
                <w:sz w:val="16"/>
                <w:szCs w:val="16"/>
                <w:highlight w:val="none"/>
              </w:rPr>
            </w:pPr>
            <w:r>
              <w:rPr>
                <w:rFonts w:ascii="Times New Roman" w:hAnsi="Times New Roman" w:cs="Times New Roman"/>
                <w:spacing w:val="-6"/>
                <w:sz w:val="16"/>
                <w:szCs w:val="16"/>
                <w:highlight w:val="none"/>
              </w:rPr>
              <w:t>≥</w:t>
            </w:r>
            <w:r>
              <w:rPr>
                <w:rFonts w:hint="eastAsia" w:ascii="Times New Roman" w:hAnsi="Times New Roman" w:cs="Times New Roman"/>
                <w:spacing w:val="-6"/>
                <w:sz w:val="16"/>
                <w:szCs w:val="16"/>
                <w:highlight w:val="none"/>
                <w:lang w:eastAsia="zh-CN"/>
              </w:rPr>
              <w:t>90</w:t>
            </w:r>
            <w:r>
              <w:rPr>
                <w:rFonts w:ascii="Times New Roman" w:hAnsi="Times New Roman" w:cs="Times New Roman"/>
                <w:spacing w:val="-6"/>
                <w:sz w:val="16"/>
                <w:szCs w:val="16"/>
                <w:highlight w:val="none"/>
              </w:rPr>
              <w:t>%</w:t>
            </w:r>
          </w:p>
        </w:tc>
      </w:tr>
    </w:tbl>
    <w:p>
      <w:pPr>
        <w:rPr>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eastAsia" w:ascii="Times New Roman" w:hAnsi="Times New Roman" w:eastAsia="楷体"/>
          <w:b/>
          <w:bCs/>
          <w:sz w:val="32"/>
          <w:szCs w:val="32"/>
          <w:highlight w:val="none"/>
          <w:lang w:eastAsia="zh-CN"/>
        </w:rPr>
      </w:pPr>
      <w:r>
        <w:rPr>
          <w:rFonts w:ascii="Times New Roman" w:hAnsi="Times New Roman" w:eastAsia="楷体"/>
          <w:b/>
          <w:bCs/>
          <w:sz w:val="32"/>
          <w:szCs w:val="36"/>
          <w:highlight w:val="none"/>
        </w:rPr>
        <w:t>（二）</w:t>
      </w:r>
      <w:r>
        <w:rPr>
          <w:rFonts w:ascii="Times New Roman" w:hAnsi="Times New Roman" w:eastAsia="楷体"/>
          <w:b/>
          <w:bCs/>
          <w:sz w:val="32"/>
          <w:szCs w:val="32"/>
          <w:highlight w:val="none"/>
        </w:rPr>
        <w:t>自治区</w:t>
      </w:r>
      <w:r>
        <w:rPr>
          <w:rFonts w:ascii="Times New Roman" w:hAnsi="Times New Roman" w:eastAsia="楷体"/>
          <w:b/>
          <w:bCs/>
          <w:sz w:val="32"/>
          <w:szCs w:val="36"/>
          <w:highlight w:val="none"/>
        </w:rPr>
        <w:t>分解下达预算和</w:t>
      </w:r>
      <w:r>
        <w:rPr>
          <w:rFonts w:ascii="Times New Roman" w:hAnsi="Times New Roman" w:eastAsia="楷体"/>
          <w:b/>
          <w:bCs/>
          <w:sz w:val="32"/>
          <w:szCs w:val="32"/>
          <w:highlight w:val="none"/>
        </w:rPr>
        <w:t>绩效目标情况</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1.自治区分解下达预算情况</w:t>
      </w:r>
      <w:r>
        <w:rPr>
          <w:rFonts w:hint="eastAsia" w:ascii="仿宋_GB2312" w:hAnsi="仿宋_GB2312" w:eastAsia="仿宋_GB2312" w:cs="仿宋_GB2312"/>
          <w:b/>
          <w:bCs/>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Times New Roman" w:hAnsi="Times New Roman"/>
          <w:sz w:val="32"/>
          <w:szCs w:val="32"/>
          <w:highlight w:val="none"/>
        </w:rPr>
      </w:pPr>
      <w:r>
        <w:rPr>
          <w:rFonts w:hint="eastAsia" w:ascii="Times New Roman" w:hAnsi="Times New Roman"/>
          <w:sz w:val="32"/>
          <w:szCs w:val="32"/>
          <w:highlight w:val="none"/>
        </w:rPr>
        <w:t>2023年12月12日，自治区财政厅下发《关于提前下达2024年中央粮油生产保障资金预算的通知》（新财农〔2023〕94号）下达资金13855万元。</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Times New Roman" w:hAnsi="Times New Roman"/>
          <w:sz w:val="32"/>
          <w:szCs w:val="32"/>
          <w:highlight w:val="none"/>
        </w:rPr>
      </w:pPr>
      <w:r>
        <w:rPr>
          <w:rFonts w:ascii="Times New Roman" w:hAnsi="Times New Roman"/>
          <w:sz w:val="32"/>
          <w:szCs w:val="32"/>
          <w:highlight w:val="none"/>
        </w:rPr>
        <w:t>202</w:t>
      </w:r>
      <w:r>
        <w:rPr>
          <w:rFonts w:hint="eastAsia" w:ascii="Times New Roman" w:hAnsi="Times New Roman"/>
          <w:sz w:val="32"/>
          <w:szCs w:val="32"/>
          <w:highlight w:val="none"/>
        </w:rPr>
        <w:t>4</w:t>
      </w:r>
      <w:r>
        <w:rPr>
          <w:rFonts w:ascii="Times New Roman" w:hAnsi="Times New Roman"/>
          <w:sz w:val="32"/>
          <w:szCs w:val="32"/>
          <w:highlight w:val="none"/>
        </w:rPr>
        <w:t>年</w:t>
      </w:r>
      <w:r>
        <w:rPr>
          <w:rFonts w:hint="eastAsia" w:ascii="Times New Roman" w:hAnsi="Times New Roman"/>
          <w:sz w:val="32"/>
          <w:szCs w:val="32"/>
          <w:highlight w:val="none"/>
        </w:rPr>
        <w:t>5</w:t>
      </w:r>
      <w:r>
        <w:rPr>
          <w:rFonts w:ascii="Times New Roman" w:hAnsi="Times New Roman"/>
          <w:sz w:val="32"/>
          <w:szCs w:val="32"/>
          <w:highlight w:val="none"/>
        </w:rPr>
        <w:t>月</w:t>
      </w:r>
      <w:r>
        <w:rPr>
          <w:rFonts w:hint="eastAsia" w:ascii="Times New Roman" w:hAnsi="Times New Roman"/>
          <w:sz w:val="32"/>
          <w:szCs w:val="32"/>
          <w:highlight w:val="none"/>
        </w:rPr>
        <w:t>15</w:t>
      </w:r>
      <w:r>
        <w:rPr>
          <w:rFonts w:ascii="Times New Roman" w:hAnsi="Times New Roman"/>
          <w:sz w:val="32"/>
          <w:szCs w:val="32"/>
          <w:highlight w:val="none"/>
        </w:rPr>
        <w:t>日，自治区财政厅下发</w:t>
      </w:r>
      <w:bookmarkStart w:id="0" w:name="OLE_LINK2"/>
      <w:r>
        <w:rPr>
          <w:rFonts w:ascii="Times New Roman" w:hAnsi="Times New Roman"/>
          <w:sz w:val="32"/>
          <w:szCs w:val="32"/>
          <w:highlight w:val="none"/>
        </w:rPr>
        <w:t>《关于下达2024年中央粮油生产保障资金预算的通知</w:t>
      </w:r>
      <w:r>
        <w:rPr>
          <w:rFonts w:hint="eastAsia" w:ascii="Times New Roman" w:hAnsi="Times New Roman"/>
          <w:sz w:val="32"/>
          <w:szCs w:val="32"/>
          <w:highlight w:val="none"/>
        </w:rPr>
        <w:t>》</w:t>
      </w:r>
      <w:r>
        <w:rPr>
          <w:rFonts w:ascii="Times New Roman" w:hAnsi="Times New Roman"/>
          <w:sz w:val="32"/>
          <w:szCs w:val="32"/>
          <w:highlight w:val="none"/>
        </w:rPr>
        <w:t>（新财农〔2024〕26号</w:t>
      </w:r>
      <w:r>
        <w:rPr>
          <w:rFonts w:hint="eastAsia" w:ascii="Times New Roman" w:hAnsi="Times New Roman"/>
          <w:sz w:val="32"/>
          <w:szCs w:val="32"/>
          <w:highlight w:val="none"/>
        </w:rPr>
        <w:t>）</w:t>
      </w:r>
      <w:bookmarkEnd w:id="0"/>
      <w:r>
        <w:rPr>
          <w:rFonts w:ascii="Times New Roman" w:hAnsi="Times New Roman"/>
          <w:sz w:val="32"/>
          <w:szCs w:val="32"/>
          <w:highlight w:val="none"/>
        </w:rPr>
        <w:t>下达资金</w:t>
      </w:r>
      <w:r>
        <w:rPr>
          <w:rFonts w:hint="eastAsia" w:ascii="Times New Roman" w:hAnsi="Times New Roman"/>
          <w:sz w:val="32"/>
          <w:szCs w:val="32"/>
          <w:highlight w:val="none"/>
        </w:rPr>
        <w:t>2962</w:t>
      </w:r>
      <w:r>
        <w:rPr>
          <w:rFonts w:ascii="Times New Roman" w:hAnsi="Times New Roman"/>
          <w:sz w:val="32"/>
          <w:szCs w:val="32"/>
          <w:highlight w:val="none"/>
        </w:rPr>
        <w:t>万元</w:t>
      </w:r>
      <w:r>
        <w:rPr>
          <w:rFonts w:hint="eastAsia" w:ascii="Times New Roman" w:hAnsi="Times New Roman"/>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Times New Roman" w:hAnsi="Times New Roman"/>
          <w:sz w:val="32"/>
          <w:szCs w:val="32"/>
          <w:highlight w:val="none"/>
        </w:rPr>
      </w:pPr>
      <w:r>
        <w:rPr>
          <w:rFonts w:hint="eastAsia" w:ascii="Times New Roman" w:hAnsi="Times New Roman"/>
          <w:sz w:val="32"/>
          <w:szCs w:val="32"/>
          <w:highlight w:val="none"/>
        </w:rPr>
        <w:t>根据新财农随文下达2024年粮油生产保障资金合计16817万元。资金分解情况详见下表：</w:t>
      </w:r>
    </w:p>
    <w:p>
      <w:pPr>
        <w:rPr>
          <w:rFonts w:hint="eastAsia" w:ascii="Times New Roman" w:hAnsi="Times New Roman"/>
          <w:sz w:val="32"/>
          <w:szCs w:val="32"/>
          <w:highlight w:val="none"/>
        </w:rPr>
      </w:pPr>
      <w:r>
        <w:rPr>
          <w:rFonts w:hint="eastAsia" w:ascii="Times New Roman" w:hAnsi="Times New Roman"/>
          <w:sz w:val="32"/>
          <w:szCs w:val="32"/>
          <w:highlight w:val="none"/>
        </w:rPr>
        <w:br w:type="page"/>
      </w:r>
    </w:p>
    <w:p>
      <w:pPr>
        <w:pStyle w:val="16"/>
        <w:ind w:firstLine="642" w:firstLineChars="200"/>
        <w:jc w:val="center"/>
        <w:rPr>
          <w:rFonts w:ascii="Times New Roman" w:hAnsi="Times New Roman"/>
          <w:b/>
          <w:bCs/>
          <w:sz w:val="32"/>
          <w:szCs w:val="32"/>
          <w:highlight w:val="none"/>
        </w:rPr>
      </w:pPr>
      <w:r>
        <w:rPr>
          <w:rFonts w:ascii="Times New Roman" w:hAnsi="Times New Roman"/>
          <w:b/>
          <w:bCs/>
          <w:sz w:val="32"/>
          <w:szCs w:val="32"/>
          <w:highlight w:val="none"/>
        </w:rPr>
        <w:t>202</w:t>
      </w:r>
      <w:r>
        <w:rPr>
          <w:rFonts w:hint="eastAsia" w:ascii="Times New Roman" w:hAnsi="Times New Roman"/>
          <w:b/>
          <w:bCs/>
          <w:sz w:val="32"/>
          <w:szCs w:val="32"/>
          <w:highlight w:val="none"/>
        </w:rPr>
        <w:t>4</w:t>
      </w:r>
      <w:r>
        <w:rPr>
          <w:rFonts w:ascii="Times New Roman" w:hAnsi="Times New Roman"/>
          <w:b/>
          <w:bCs/>
          <w:sz w:val="32"/>
          <w:szCs w:val="32"/>
          <w:highlight w:val="none"/>
        </w:rPr>
        <w:t>年中央粮油生产保障资金分配建议表</w:t>
      </w:r>
    </w:p>
    <w:p>
      <w:pPr>
        <w:pStyle w:val="16"/>
        <w:ind w:firstLine="441" w:firstLineChars="200"/>
        <w:jc w:val="right"/>
        <w:rPr>
          <w:rFonts w:ascii="Times New Roman" w:hAnsi="Times New Roman"/>
          <w:b/>
          <w:bCs/>
          <w:sz w:val="22"/>
          <w:highlight w:val="none"/>
        </w:rPr>
      </w:pPr>
      <w:r>
        <w:rPr>
          <w:rFonts w:ascii="Times New Roman" w:hAnsi="Times New Roman"/>
          <w:b/>
          <w:bCs/>
          <w:sz w:val="22"/>
          <w:highlight w:val="none"/>
        </w:rPr>
        <w:t xml:space="preserve">  单位：万元</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1781"/>
        <w:gridCol w:w="1757"/>
        <w:gridCol w:w="2943"/>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地州/单位</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17"/>
                <w:rFonts w:hint="eastAsia" w:ascii="宋体" w:hAnsi="宋体" w:eastAsia="宋体" w:cs="宋体"/>
                <w:b/>
                <w:bCs/>
                <w:color w:val="auto"/>
                <w:sz w:val="20"/>
                <w:szCs w:val="20"/>
                <w:highlight w:val="none"/>
                <w:lang w:val="en-US" w:eastAsia="zh-CN" w:bidi="ar"/>
              </w:rPr>
              <w:t>小麦“一喷三防”</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17"/>
                <w:rFonts w:hint="eastAsia" w:ascii="宋体" w:hAnsi="宋体" w:eastAsia="宋体" w:cs="宋体"/>
                <w:b/>
                <w:bCs/>
                <w:color w:val="auto"/>
                <w:sz w:val="20"/>
                <w:szCs w:val="20"/>
                <w:highlight w:val="none"/>
                <w:lang w:val="en-US" w:eastAsia="zh-CN" w:bidi="ar"/>
              </w:rPr>
              <w:t>粮油等重点作物绿色高产高效</w:t>
            </w:r>
          </w:p>
        </w:tc>
        <w:tc>
          <w:tcPr>
            <w:tcW w:w="6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分配金额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1</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乌鲁木齐市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15.08</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2</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伊犁州</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955.31</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2210.9</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3</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塔城地区</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502.8</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732.4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4</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阿勒泰地区</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150.84</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249.25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5</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克拉玛依市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0</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6</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博州</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60.34</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1012.4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7</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昌吉州</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804.47</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1369.25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8</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哈密市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100.56</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9</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吐鲁番市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0</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10</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巴州</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276.54</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11</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阿克苏地区</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1256.98</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1432.4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12</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zh-CN" w:bidi="ar-SA"/>
              </w:rPr>
            </w:pPr>
            <w:r>
              <w:rPr>
                <w:rFonts w:hint="eastAsia" w:ascii="宋体" w:hAnsi="宋体" w:eastAsia="宋体" w:cs="宋体"/>
                <w:color w:val="auto"/>
                <w:spacing w:val="3"/>
                <w:kern w:val="2"/>
                <w:sz w:val="20"/>
                <w:szCs w:val="20"/>
                <w:highlight w:val="none"/>
                <w:lang w:val="en-US" w:eastAsia="zh-CN" w:bidi="ar-SA"/>
              </w:rPr>
              <w:t>克州</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201.12</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13</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zh-CN" w:bidi="ar-SA"/>
              </w:rPr>
            </w:pPr>
            <w:r>
              <w:rPr>
                <w:rFonts w:hint="eastAsia" w:ascii="宋体" w:hAnsi="宋体" w:eastAsia="宋体" w:cs="宋体"/>
                <w:color w:val="auto"/>
                <w:spacing w:val="3"/>
                <w:kern w:val="2"/>
                <w:sz w:val="20"/>
                <w:szCs w:val="20"/>
                <w:highlight w:val="none"/>
                <w:lang w:val="en-US" w:eastAsia="zh-CN" w:bidi="ar-SA"/>
              </w:rPr>
              <w:t>喀什地区</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1759.77</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1712.4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3472.17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14</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pacing w:val="3"/>
                <w:kern w:val="2"/>
                <w:sz w:val="20"/>
                <w:szCs w:val="20"/>
                <w:highlight w:val="none"/>
                <w:lang w:val="en-US" w:eastAsia="en-US" w:bidi="ar-SA"/>
              </w:rPr>
            </w:pPr>
            <w:r>
              <w:rPr>
                <w:rFonts w:hint="eastAsia" w:ascii="宋体" w:hAnsi="宋体" w:eastAsia="宋体" w:cs="宋体"/>
                <w:color w:val="auto"/>
                <w:spacing w:val="3"/>
                <w:kern w:val="2"/>
                <w:sz w:val="20"/>
                <w:szCs w:val="20"/>
                <w:highlight w:val="none"/>
                <w:lang w:val="en-US" w:eastAsia="zh-CN" w:bidi="ar-SA"/>
              </w:rPr>
              <w:t>和田地区</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754.19</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6838</w:t>
            </w:r>
          </w:p>
        </w:tc>
        <w:tc>
          <w:tcPr>
            <w:tcW w:w="1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9979</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16817</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2.自治区分解下达绩效目标情况如下</w:t>
      </w:r>
      <w:r>
        <w:rPr>
          <w:rFonts w:hint="eastAsia" w:ascii="仿宋_GB2312" w:hAnsi="仿宋_GB2312" w:cs="仿宋_GB2312"/>
          <w:b/>
          <w:bCs/>
          <w:sz w:val="32"/>
          <w:szCs w:val="32"/>
          <w:highlight w:val="none"/>
          <w:lang w:eastAsia="zh-CN"/>
        </w:rPr>
        <w:t>：</w:t>
      </w:r>
    </w:p>
    <w:p>
      <w:pPr>
        <w:pStyle w:val="16"/>
        <w:spacing w:line="560" w:lineRule="exact"/>
        <w:ind w:firstLine="640" w:firstLineChars="200"/>
        <w:jc w:val="left"/>
        <w:rPr>
          <w:rFonts w:ascii="Times New Roman" w:hAnsi="Times New Roman" w:eastAsia="仿宋_GB2312"/>
          <w:sz w:val="32"/>
          <w:szCs w:val="32"/>
          <w:highlight w:val="none"/>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eastAsia="仿宋_GB2312"/>
          <w:sz w:val="32"/>
          <w:szCs w:val="32"/>
          <w:highlight w:val="none"/>
        </w:rPr>
        <w:t>根据自治区财政厅下达的资金文件确定的绩效目标，结合脱贫县涉农资金整合情况，对县（市）资金的分配主要根据任务的特点进行合理的安排，根据</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关于下达2024年中央粮油生产保障资金预算的通知</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（新财农〔2024〕26号</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，绩效目标详见下表：</w:t>
      </w:r>
    </w:p>
    <w:p>
      <w:pPr>
        <w:pStyle w:val="16"/>
        <w:spacing w:line="560" w:lineRule="exact"/>
        <w:ind w:firstLine="441" w:firstLineChars="200"/>
        <w:jc w:val="center"/>
        <w:rPr>
          <w:rFonts w:ascii="Times New Roman" w:hAnsi="Times New Roman" w:eastAsia="仿宋_GB2312"/>
          <w:b/>
          <w:bCs/>
          <w:sz w:val="22"/>
          <w:highlight w:val="none"/>
        </w:rPr>
      </w:pPr>
      <w:r>
        <w:rPr>
          <w:rFonts w:ascii="Times New Roman" w:hAnsi="Times New Roman" w:eastAsia="仿宋_GB2312"/>
          <w:b/>
          <w:bCs/>
          <w:sz w:val="22"/>
          <w:highlight w:val="none"/>
        </w:rPr>
        <w:t>202</w:t>
      </w:r>
      <w:r>
        <w:rPr>
          <w:rFonts w:hint="eastAsia" w:ascii="Times New Roman" w:hAnsi="Times New Roman" w:eastAsia="仿宋_GB2312"/>
          <w:b/>
          <w:bCs/>
          <w:sz w:val="22"/>
          <w:highlight w:val="none"/>
        </w:rPr>
        <w:t>4</w:t>
      </w:r>
      <w:r>
        <w:rPr>
          <w:rFonts w:ascii="Times New Roman" w:hAnsi="Times New Roman" w:eastAsia="仿宋_GB2312"/>
          <w:b/>
          <w:bCs/>
          <w:sz w:val="22"/>
          <w:highlight w:val="none"/>
        </w:rPr>
        <w:t>年中央粮油生产保障资金</w:t>
      </w:r>
      <w:r>
        <w:rPr>
          <w:rFonts w:hint="eastAsia" w:ascii="Times New Roman" w:hAnsi="Times New Roman" w:eastAsia="仿宋_GB2312"/>
          <w:b/>
          <w:bCs/>
          <w:sz w:val="22"/>
          <w:highlight w:val="none"/>
          <w:lang w:val="en-US" w:eastAsia="zh-CN"/>
        </w:rPr>
        <w:t>项目</w:t>
      </w:r>
      <w:r>
        <w:rPr>
          <w:rFonts w:ascii="Times New Roman" w:hAnsi="Times New Roman" w:eastAsia="仿宋_GB2312"/>
          <w:b/>
          <w:bCs/>
          <w:sz w:val="22"/>
          <w:highlight w:val="none"/>
        </w:rPr>
        <w:t>绩效目标表</w:t>
      </w:r>
    </w:p>
    <w:tbl>
      <w:tblPr>
        <w:tblStyle w:val="12"/>
        <w:tblW w:w="0" w:type="auto"/>
        <w:tblInd w:w="0" w:type="dxa"/>
        <w:tblLayout w:type="autofit"/>
        <w:tblCellMar>
          <w:top w:w="0" w:type="dxa"/>
          <w:left w:w="108" w:type="dxa"/>
          <w:bottom w:w="0" w:type="dxa"/>
          <w:right w:w="108" w:type="dxa"/>
        </w:tblCellMar>
      </w:tblPr>
      <w:tblGrid>
        <w:gridCol w:w="800"/>
        <w:gridCol w:w="720"/>
        <w:gridCol w:w="759"/>
        <w:gridCol w:w="1678"/>
        <w:gridCol w:w="613"/>
        <w:gridCol w:w="760"/>
        <w:gridCol w:w="642"/>
        <w:gridCol w:w="659"/>
        <w:gridCol w:w="625"/>
        <w:gridCol w:w="665"/>
        <w:gridCol w:w="548"/>
        <w:gridCol w:w="659"/>
        <w:gridCol w:w="659"/>
        <w:gridCol w:w="625"/>
        <w:gridCol w:w="495"/>
        <w:gridCol w:w="659"/>
        <w:gridCol w:w="699"/>
        <w:gridCol w:w="625"/>
        <w:gridCol w:w="659"/>
        <w:gridCol w:w="625"/>
      </w:tblGrid>
      <w:tr>
        <w:tblPrEx>
          <w:tblCellMar>
            <w:top w:w="0" w:type="dxa"/>
            <w:left w:w="108" w:type="dxa"/>
            <w:bottom w:w="0" w:type="dxa"/>
            <w:right w:w="108" w:type="dxa"/>
          </w:tblCellMar>
        </w:tblPrEx>
        <w:trPr>
          <w:trHeight w:val="46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b/>
                <w:bCs/>
                <w:color w:val="000000"/>
                <w:kern w:val="0"/>
                <w:sz w:val="12"/>
                <w:szCs w:val="12"/>
                <w:highlight w:val="none"/>
                <w:lang w:bidi="ar"/>
              </w:rPr>
            </w:pPr>
            <w:r>
              <w:rPr>
                <w:rFonts w:hint="eastAsia" w:eastAsia="黑体"/>
                <w:b/>
                <w:bCs/>
                <w:color w:val="000000"/>
                <w:kern w:val="0"/>
                <w:sz w:val="12"/>
                <w:szCs w:val="12"/>
                <w:highlight w:val="none"/>
                <w:lang w:bidi="ar"/>
              </w:rPr>
              <w:t>资金名称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b/>
                <w:bCs/>
                <w:color w:val="000000"/>
                <w:kern w:val="0"/>
                <w:sz w:val="12"/>
                <w:szCs w:val="12"/>
                <w:highlight w:val="none"/>
                <w:lang w:bidi="ar"/>
              </w:rPr>
            </w:pPr>
            <w:r>
              <w:rPr>
                <w:rFonts w:hint="eastAsia" w:eastAsia="黑体"/>
                <w:b/>
                <w:bCs/>
                <w:color w:val="000000"/>
                <w:kern w:val="0"/>
                <w:sz w:val="12"/>
                <w:szCs w:val="12"/>
                <w:highlight w:val="none"/>
                <w:lang w:bidi="ar"/>
              </w:rPr>
              <w:t>中央粮油生产保障资金（全年总表）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黑体"/>
                <w:b/>
                <w:bCs/>
                <w:color w:val="000000"/>
                <w:kern w:val="0"/>
                <w:sz w:val="12"/>
                <w:szCs w:val="12"/>
                <w:highlight w:val="none"/>
                <w:lang w:bidi="ar"/>
              </w:rPr>
            </w:pPr>
            <w:r>
              <w:rPr>
                <w:rFonts w:hint="eastAsia" w:eastAsia="黑体"/>
                <w:b/>
                <w:bCs/>
                <w:color w:val="000000"/>
                <w:kern w:val="0"/>
                <w:sz w:val="12"/>
                <w:szCs w:val="12"/>
                <w:highlight w:val="none"/>
                <w:lang w:bidi="ar"/>
              </w:rPr>
              <w:t>全区总绩效目标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b/>
                <w:bCs/>
                <w:color w:val="000000"/>
                <w:kern w:val="0"/>
                <w:sz w:val="12"/>
                <w:szCs w:val="12"/>
                <w:highlight w:val="none"/>
                <w:lang w:bidi="ar"/>
              </w:rPr>
            </w:pP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b/>
                <w:bCs/>
                <w:color w:val="000000"/>
                <w:kern w:val="0"/>
                <w:sz w:val="12"/>
                <w:szCs w:val="12"/>
                <w:highlight w:val="none"/>
                <w:lang w:bidi="ar"/>
              </w:rPr>
            </w:pPr>
            <w:r>
              <w:rPr>
                <w:rFonts w:hint="eastAsia" w:eastAsia="黑体"/>
                <w:b/>
                <w:bCs/>
                <w:color w:val="000000"/>
                <w:kern w:val="0"/>
                <w:sz w:val="12"/>
                <w:szCs w:val="12"/>
                <w:highlight w:val="none"/>
                <w:lang w:bidi="ar"/>
              </w:rPr>
              <w:t>分区域绩效目标</w:t>
            </w:r>
          </w:p>
        </w:tc>
      </w:tr>
      <w:tr>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中央主管部门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财政部、农业农村部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乌鲁木齐市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伊犁州直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塔城地区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阿勒泰地区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克拉玛依市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博州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昌吉州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哈密市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吐鲁番市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巴州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阿克苏地区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克州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喀什地区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和田地区</w:t>
            </w:r>
          </w:p>
        </w:tc>
      </w:tr>
      <w:tr>
        <w:tblPrEx>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省级财政部门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新疆维吾尔自治区财政厅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各地州市财政局、农业农村局</w:t>
            </w:r>
          </w:p>
        </w:tc>
      </w:tr>
      <w:tr>
        <w:tblPrEx>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省级主管部门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新疆维吾尔自治区农业农村厅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r>
      <w:tr>
        <w:tblPrEx>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资金情况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年度金额：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16817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16817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15.08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3166.21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1235.2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400.09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1072.74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2173.72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100.56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1116.54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2689.38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621.12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3472.17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754.19</w:t>
            </w:r>
          </w:p>
        </w:tc>
      </w:tr>
      <w:tr>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其中：中央补助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16817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16817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15.08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3166.21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1235.2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400.09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1072.74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2173.72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100.56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1116.54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2689.38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621.12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3472.17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754.19</w:t>
            </w:r>
          </w:p>
        </w:tc>
      </w:tr>
      <w:tr>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地方资金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r>
      <w:tr>
        <w:tblPrEx>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1。实施小麦“一喷三防”；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r>
      <w:tr>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2.实施粮油等重点作物绿色高产高效行动。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r>
      <w:tr>
        <w:tblPrEx>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14</w:t>
            </w: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小麦“一喷三防”补助面积（万亩）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≥150</w:t>
            </w: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重点作物绿色高产高效创建县数量（个）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大豆玉米小麦油菜单产提升整建制推进县数量（个）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小麦“一喷三防”措施落实完成时限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7月31日</w:t>
            </w: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重点作物绿色高产高效项目区节本增效水平（%）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集成推广绿色高质高效模式（套）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资金使用重大违规违纪问题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无</w:t>
            </w: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重点作物绿色高产高效项目区病虫害危害损失率（%）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&lt;5%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r>
      <w:tr>
        <w:tblPrEx>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小麦“一喷三防”服务群众满意度（%）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kern w:val="0"/>
                <w:sz w:val="12"/>
                <w:szCs w:val="12"/>
                <w:highlight w:val="none"/>
                <w:lang w:bidi="ar"/>
              </w:rPr>
            </w:pPr>
            <w:r>
              <w:rPr>
                <w:rFonts w:eastAsia="黑体"/>
                <w:color w:val="000000"/>
                <w:kern w:val="0"/>
                <w:sz w:val="12"/>
                <w:szCs w:val="12"/>
                <w:highlight w:val="none"/>
                <w:lang w:bidi="ar"/>
              </w:rPr>
              <w:t>≥90%</w:t>
            </w:r>
          </w:p>
        </w:tc>
      </w:tr>
    </w:tbl>
    <w:p>
      <w:pPr>
        <w:pStyle w:val="16"/>
        <w:spacing w:line="560" w:lineRule="exact"/>
        <w:jc w:val="both"/>
        <w:rPr>
          <w:rFonts w:ascii="Times New Roman" w:hAnsi="Times New Roman" w:eastAsia="仿宋_GB2312"/>
          <w:b/>
          <w:bCs/>
          <w:sz w:val="22"/>
          <w:highlight w:val="none"/>
        </w:rPr>
        <w:sectPr>
          <w:pgSz w:w="16838" w:h="11906" w:orient="landscape"/>
          <w:pgMar w:top="1800" w:right="1440" w:bottom="1800" w:left="1440" w:header="851" w:footer="992" w:gutter="0"/>
          <w:pgNumType w:fmt="decimal"/>
          <w:cols w:space="425" w:num="1"/>
          <w:docGrid w:type="lines" w:linePitch="312" w:charSpace="0"/>
        </w:sectPr>
      </w:pPr>
    </w:p>
    <w:p>
      <w:pPr>
        <w:spacing w:line="560" w:lineRule="exact"/>
        <w:ind w:firstLine="640" w:firstLineChars="200"/>
        <w:rPr>
          <w:rFonts w:eastAsia="黑体"/>
          <w:bCs/>
          <w:sz w:val="32"/>
          <w:szCs w:val="32"/>
          <w:highlight w:val="none"/>
        </w:rPr>
      </w:pPr>
      <w:r>
        <w:rPr>
          <w:rFonts w:eastAsia="黑体"/>
          <w:bCs/>
          <w:sz w:val="32"/>
          <w:szCs w:val="32"/>
          <w:highlight w:val="none"/>
        </w:rPr>
        <w:t>二、绩效目标完成情况分析</w:t>
      </w:r>
    </w:p>
    <w:p>
      <w:pPr>
        <w:pStyle w:val="11"/>
        <w:spacing w:after="0" w:line="560" w:lineRule="exact"/>
        <w:ind w:left="0" w:leftChars="0" w:firstLine="643"/>
        <w:rPr>
          <w:rFonts w:hint="eastAsia" w:ascii="Times New Roman" w:hAnsi="Times New Roman" w:eastAsia="楷体"/>
          <w:b/>
          <w:bCs/>
          <w:sz w:val="32"/>
          <w:szCs w:val="32"/>
          <w:highlight w:val="none"/>
          <w:lang w:eastAsia="zh-CN"/>
        </w:rPr>
      </w:pPr>
      <w:r>
        <w:rPr>
          <w:rFonts w:ascii="Times New Roman" w:hAnsi="Times New Roman" w:eastAsia="楷体"/>
          <w:b/>
          <w:bCs/>
          <w:sz w:val="32"/>
          <w:szCs w:val="32"/>
          <w:highlight w:val="none"/>
        </w:rPr>
        <w:t>（一）资金投入情况分析</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1.项目资金到位情况分析</w:t>
      </w:r>
      <w:r>
        <w:rPr>
          <w:rFonts w:hint="eastAsia" w:ascii="仿宋_GB2312" w:hAnsi="仿宋_GB2312" w:eastAsia="仿宋_GB2312" w:cs="仿宋_GB2312"/>
          <w:b/>
          <w:bCs/>
          <w:sz w:val="32"/>
          <w:szCs w:val="32"/>
          <w:highlight w:val="none"/>
          <w:lang w:eastAsia="zh-CN"/>
        </w:rPr>
        <w:t>。</w:t>
      </w:r>
    </w:p>
    <w:p>
      <w:pPr>
        <w:pStyle w:val="11"/>
        <w:spacing w:after="0" w:line="560" w:lineRule="exact"/>
        <w:ind w:left="0" w:leftChars="0" w:firstLine="640"/>
        <w:rPr>
          <w:rFonts w:hint="eastAsia" w:ascii="Times New Roman" w:hAnsi="Times New Roman"/>
          <w:sz w:val="32"/>
          <w:szCs w:val="32"/>
          <w:highlight w:val="none"/>
        </w:rPr>
      </w:pPr>
      <w:r>
        <w:rPr>
          <w:rFonts w:ascii="Times New Roman" w:hAnsi="Times New Roman"/>
          <w:sz w:val="32"/>
          <w:szCs w:val="32"/>
          <w:highlight w:val="none"/>
        </w:rPr>
        <w:t>202</w:t>
      </w:r>
      <w:r>
        <w:rPr>
          <w:rFonts w:hint="eastAsia" w:ascii="Times New Roman" w:hAnsi="Times New Roman"/>
          <w:sz w:val="32"/>
          <w:szCs w:val="32"/>
          <w:highlight w:val="none"/>
        </w:rPr>
        <w:t>4</w:t>
      </w:r>
      <w:r>
        <w:rPr>
          <w:rFonts w:ascii="Times New Roman" w:hAnsi="Times New Roman"/>
          <w:sz w:val="32"/>
          <w:szCs w:val="32"/>
          <w:highlight w:val="none"/>
        </w:rPr>
        <w:t>年度中央下达新疆粮油生产保障资金</w:t>
      </w:r>
      <w:r>
        <w:rPr>
          <w:rFonts w:hint="eastAsia" w:ascii="Times New Roman" w:hAnsi="Times New Roman"/>
          <w:sz w:val="32"/>
          <w:szCs w:val="32"/>
          <w:highlight w:val="none"/>
        </w:rPr>
        <w:t>16817</w:t>
      </w:r>
      <w:r>
        <w:rPr>
          <w:rFonts w:ascii="Times New Roman" w:hAnsi="Times New Roman"/>
          <w:sz w:val="32"/>
          <w:szCs w:val="32"/>
          <w:highlight w:val="none"/>
        </w:rPr>
        <w:t>万元，资金到位</w:t>
      </w:r>
      <w:r>
        <w:rPr>
          <w:rFonts w:hint="eastAsia" w:ascii="Times New Roman" w:hAnsi="Times New Roman"/>
          <w:sz w:val="32"/>
          <w:szCs w:val="32"/>
          <w:highlight w:val="none"/>
        </w:rPr>
        <w:t>16817</w:t>
      </w:r>
      <w:r>
        <w:rPr>
          <w:rFonts w:ascii="Times New Roman" w:hAnsi="Times New Roman"/>
          <w:sz w:val="32"/>
          <w:szCs w:val="32"/>
          <w:highlight w:val="none"/>
        </w:rPr>
        <w:t>万元，到位率</w:t>
      </w:r>
      <w:r>
        <w:rPr>
          <w:rFonts w:hint="eastAsia" w:ascii="Times New Roman" w:hAnsi="Times New Roman"/>
          <w:sz w:val="32"/>
          <w:szCs w:val="32"/>
          <w:highlight w:val="none"/>
        </w:rPr>
        <w:t>100</w:t>
      </w:r>
      <w:r>
        <w:rPr>
          <w:rFonts w:ascii="Times New Roman" w:hAnsi="Times New Roman"/>
          <w:sz w:val="32"/>
          <w:szCs w:val="32"/>
          <w:highlight w:val="none"/>
        </w:rPr>
        <w:t>%</w:t>
      </w:r>
      <w:r>
        <w:rPr>
          <w:rFonts w:hint="eastAsia" w:ascii="Times New Roman" w:hAnsi="Times New Roman"/>
          <w:sz w:val="32"/>
          <w:szCs w:val="32"/>
          <w:highlight w:val="none"/>
        </w:rPr>
        <w:t>。</w:t>
      </w:r>
    </w:p>
    <w:p>
      <w:pPr>
        <w:pStyle w:val="11"/>
        <w:spacing w:after="0" w:line="560" w:lineRule="exact"/>
        <w:ind w:left="0" w:leftChars="0" w:firstLine="640"/>
        <w:rPr>
          <w:rFonts w:ascii="Times New Roman" w:hAnsi="Times New Roman"/>
          <w:sz w:val="32"/>
          <w:szCs w:val="32"/>
          <w:highlight w:val="none"/>
        </w:rPr>
      </w:pPr>
      <w:r>
        <w:rPr>
          <w:rFonts w:hint="eastAsia" w:ascii="Times New Roman" w:hAnsi="Times New Roman"/>
          <w:sz w:val="32"/>
          <w:szCs w:val="32"/>
          <w:highlight w:val="none"/>
          <w:lang w:eastAsia="zh-CN"/>
        </w:rPr>
        <w:t>其中，</w:t>
      </w:r>
      <w:r>
        <w:rPr>
          <w:rFonts w:ascii="Times New Roman" w:hAnsi="Times New Roman"/>
          <w:sz w:val="32"/>
          <w:szCs w:val="32"/>
          <w:highlight w:val="none"/>
        </w:rPr>
        <w:t>2023年</w:t>
      </w:r>
      <w:r>
        <w:rPr>
          <w:rFonts w:hint="eastAsia" w:ascii="Times New Roman" w:hAnsi="Times New Roman"/>
          <w:sz w:val="32"/>
          <w:szCs w:val="32"/>
          <w:highlight w:val="none"/>
        </w:rPr>
        <w:t>11</w:t>
      </w:r>
      <w:r>
        <w:rPr>
          <w:rFonts w:ascii="Times New Roman" w:hAnsi="Times New Roman"/>
          <w:sz w:val="32"/>
          <w:szCs w:val="32"/>
          <w:highlight w:val="none"/>
        </w:rPr>
        <w:t>月</w:t>
      </w:r>
      <w:r>
        <w:rPr>
          <w:rFonts w:hint="eastAsia" w:ascii="Times New Roman" w:hAnsi="Times New Roman"/>
          <w:sz w:val="32"/>
          <w:szCs w:val="32"/>
          <w:highlight w:val="none"/>
        </w:rPr>
        <w:t>《</w:t>
      </w:r>
      <w:r>
        <w:rPr>
          <w:rFonts w:ascii="Times New Roman" w:hAnsi="Times New Roman"/>
          <w:sz w:val="32"/>
          <w:szCs w:val="32"/>
          <w:highlight w:val="none"/>
        </w:rPr>
        <w:t>财政部关于提前下达2024年农业相关转移支付资金预算的通知</w:t>
      </w:r>
      <w:r>
        <w:rPr>
          <w:rFonts w:hint="eastAsia" w:ascii="Times New Roman" w:hAnsi="Times New Roman"/>
          <w:sz w:val="32"/>
          <w:szCs w:val="32"/>
          <w:highlight w:val="none"/>
        </w:rPr>
        <w:t>》</w:t>
      </w:r>
      <w:r>
        <w:rPr>
          <w:rFonts w:ascii="Times New Roman" w:hAnsi="Times New Roman"/>
          <w:sz w:val="32"/>
          <w:szCs w:val="32"/>
          <w:highlight w:val="none"/>
        </w:rPr>
        <w:t>（财农〔2023〕87号</w:t>
      </w:r>
      <w:r>
        <w:rPr>
          <w:rFonts w:hint="eastAsia" w:ascii="Times New Roman" w:hAnsi="Times New Roman"/>
          <w:sz w:val="32"/>
          <w:szCs w:val="32"/>
          <w:highlight w:val="none"/>
        </w:rPr>
        <w:t>）提前</w:t>
      </w:r>
      <w:r>
        <w:rPr>
          <w:rFonts w:ascii="Times New Roman" w:hAnsi="Times New Roman"/>
          <w:sz w:val="32"/>
          <w:szCs w:val="32"/>
          <w:highlight w:val="none"/>
        </w:rPr>
        <w:t>下达</w:t>
      </w:r>
      <w:r>
        <w:rPr>
          <w:rFonts w:hint="eastAsia" w:ascii="Times New Roman" w:hAnsi="Times New Roman"/>
          <w:sz w:val="32"/>
          <w:szCs w:val="32"/>
          <w:highlight w:val="none"/>
        </w:rPr>
        <w:t>13855</w:t>
      </w:r>
      <w:r>
        <w:rPr>
          <w:rFonts w:ascii="Times New Roman" w:hAnsi="Times New Roman"/>
          <w:sz w:val="32"/>
          <w:szCs w:val="32"/>
          <w:highlight w:val="none"/>
        </w:rPr>
        <w:t>万元。</w:t>
      </w:r>
    </w:p>
    <w:p>
      <w:pPr>
        <w:pStyle w:val="11"/>
        <w:spacing w:after="0" w:line="560" w:lineRule="exact"/>
        <w:ind w:left="0" w:leftChars="0" w:firstLine="640"/>
        <w:rPr>
          <w:rFonts w:hint="default" w:ascii="Times New Roman" w:hAnsi="Times New Roman" w:eastAsia="仿宋_GB2312"/>
          <w:sz w:val="32"/>
          <w:szCs w:val="32"/>
          <w:highlight w:val="none"/>
          <w:lang w:val="en-US" w:eastAsia="zh-CN"/>
        </w:rPr>
      </w:pPr>
      <w:r>
        <w:rPr>
          <w:rFonts w:ascii="Times New Roman" w:hAnsi="Times New Roman"/>
          <w:sz w:val="32"/>
          <w:szCs w:val="32"/>
          <w:highlight w:val="none"/>
        </w:rPr>
        <w:t>202</w:t>
      </w:r>
      <w:r>
        <w:rPr>
          <w:rFonts w:hint="eastAsia" w:ascii="Times New Roman" w:hAnsi="Times New Roman"/>
          <w:sz w:val="32"/>
          <w:szCs w:val="32"/>
          <w:highlight w:val="none"/>
        </w:rPr>
        <w:t>4</w:t>
      </w:r>
      <w:r>
        <w:rPr>
          <w:rFonts w:ascii="Times New Roman" w:hAnsi="Times New Roman"/>
          <w:sz w:val="32"/>
          <w:szCs w:val="32"/>
          <w:highlight w:val="none"/>
        </w:rPr>
        <w:t>年</w:t>
      </w:r>
      <w:r>
        <w:rPr>
          <w:rFonts w:hint="eastAsia" w:ascii="Times New Roman" w:hAnsi="Times New Roman"/>
          <w:sz w:val="32"/>
          <w:szCs w:val="32"/>
          <w:highlight w:val="none"/>
        </w:rPr>
        <w:t>4</w:t>
      </w:r>
      <w:r>
        <w:rPr>
          <w:rFonts w:ascii="Times New Roman" w:hAnsi="Times New Roman"/>
          <w:sz w:val="32"/>
          <w:szCs w:val="32"/>
          <w:highlight w:val="none"/>
        </w:rPr>
        <w:t>月</w:t>
      </w:r>
      <w:r>
        <w:rPr>
          <w:rFonts w:hint="eastAsia" w:ascii="Times New Roman" w:hAnsi="Times New Roman"/>
          <w:sz w:val="32"/>
          <w:szCs w:val="32"/>
          <w:highlight w:val="none"/>
        </w:rPr>
        <w:t>《</w:t>
      </w:r>
      <w:r>
        <w:rPr>
          <w:rFonts w:ascii="Times New Roman" w:hAnsi="Times New Roman"/>
          <w:sz w:val="32"/>
          <w:szCs w:val="32"/>
          <w:highlight w:val="none"/>
        </w:rPr>
        <w:t>财政部关于下达2024年粮油生产保障资金预算的通知</w:t>
      </w:r>
      <w:r>
        <w:rPr>
          <w:rFonts w:hint="eastAsia" w:ascii="Times New Roman" w:hAnsi="Times New Roman"/>
          <w:sz w:val="32"/>
          <w:szCs w:val="32"/>
          <w:highlight w:val="none"/>
        </w:rPr>
        <w:t>》</w:t>
      </w:r>
      <w:r>
        <w:rPr>
          <w:rFonts w:ascii="Times New Roman" w:hAnsi="Times New Roman"/>
          <w:sz w:val="32"/>
          <w:szCs w:val="32"/>
          <w:highlight w:val="none"/>
        </w:rPr>
        <w:t>（财农〔2024〕11号</w:t>
      </w:r>
      <w:r>
        <w:rPr>
          <w:rFonts w:hint="eastAsia" w:ascii="Times New Roman" w:hAnsi="Times New Roman"/>
          <w:sz w:val="32"/>
          <w:szCs w:val="32"/>
          <w:highlight w:val="none"/>
        </w:rPr>
        <w:t>）</w:t>
      </w:r>
      <w:r>
        <w:rPr>
          <w:rFonts w:ascii="Times New Roman" w:hAnsi="Times New Roman"/>
          <w:sz w:val="32"/>
          <w:szCs w:val="32"/>
          <w:highlight w:val="none"/>
        </w:rPr>
        <w:t>下达</w:t>
      </w:r>
      <w:r>
        <w:rPr>
          <w:rFonts w:hint="eastAsia" w:ascii="Times New Roman" w:hAnsi="Times New Roman"/>
          <w:sz w:val="32"/>
          <w:szCs w:val="32"/>
          <w:highlight w:val="none"/>
        </w:rPr>
        <w:t>2962</w:t>
      </w:r>
      <w:r>
        <w:rPr>
          <w:rFonts w:ascii="Times New Roman" w:hAnsi="Times New Roman"/>
          <w:sz w:val="32"/>
          <w:szCs w:val="32"/>
          <w:highlight w:val="none"/>
        </w:rPr>
        <w:t>万元</w:t>
      </w:r>
      <w:r>
        <w:rPr>
          <w:rFonts w:hint="eastAsia" w:ascii="Times New Roman" w:hAnsi="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2.项目资金执行情况分析</w:t>
      </w:r>
      <w:r>
        <w:rPr>
          <w:rFonts w:hint="eastAsia" w:ascii="仿宋_GB2312" w:hAnsi="仿宋_GB2312" w:eastAsia="仿宋_GB2312" w:cs="仿宋_GB2312"/>
          <w:b/>
          <w:bCs/>
          <w:sz w:val="32"/>
          <w:szCs w:val="32"/>
          <w:highlight w:val="none"/>
          <w:lang w:eastAsia="zh-CN"/>
        </w:rPr>
        <w:t>。</w:t>
      </w:r>
    </w:p>
    <w:p>
      <w:pPr>
        <w:pStyle w:val="11"/>
        <w:adjustRightInd w:val="0"/>
        <w:spacing w:after="0" w:line="560" w:lineRule="exact"/>
        <w:ind w:left="0" w:leftChars="0" w:firstLine="640"/>
        <w:rPr>
          <w:rFonts w:ascii="Times New Roman" w:hAnsi="Times New Roman"/>
          <w:sz w:val="32"/>
          <w:szCs w:val="32"/>
          <w:highlight w:val="none"/>
        </w:rPr>
      </w:pPr>
      <w:r>
        <w:rPr>
          <w:rFonts w:ascii="Times New Roman" w:hAnsi="Times New Roman"/>
          <w:sz w:val="32"/>
          <w:szCs w:val="32"/>
          <w:highlight w:val="none"/>
        </w:rPr>
        <w:t>202</w:t>
      </w:r>
      <w:r>
        <w:rPr>
          <w:rFonts w:hint="eastAsia" w:ascii="Times New Roman" w:hAnsi="Times New Roman"/>
          <w:sz w:val="32"/>
          <w:szCs w:val="32"/>
          <w:highlight w:val="none"/>
        </w:rPr>
        <w:t>4</w:t>
      </w:r>
      <w:r>
        <w:rPr>
          <w:rFonts w:ascii="Times New Roman" w:hAnsi="Times New Roman"/>
          <w:sz w:val="32"/>
          <w:szCs w:val="32"/>
          <w:highlight w:val="none"/>
        </w:rPr>
        <w:t>年度下达粮油生产保障项目资金</w:t>
      </w:r>
      <w:r>
        <w:rPr>
          <w:rFonts w:hint="eastAsia" w:ascii="Times New Roman" w:hAnsi="Times New Roman"/>
          <w:sz w:val="32"/>
          <w:szCs w:val="32"/>
          <w:highlight w:val="none"/>
        </w:rPr>
        <w:t>16817</w:t>
      </w:r>
      <w:r>
        <w:rPr>
          <w:rFonts w:ascii="Times New Roman" w:hAnsi="Times New Roman"/>
          <w:sz w:val="32"/>
          <w:szCs w:val="32"/>
          <w:highlight w:val="none"/>
        </w:rPr>
        <w:t>万元</w:t>
      </w:r>
      <w:r>
        <w:rPr>
          <w:rFonts w:hint="eastAsia" w:ascii="Times New Roman" w:hAnsi="Times New Roman"/>
          <w:sz w:val="32"/>
          <w:szCs w:val="32"/>
          <w:highlight w:val="none"/>
        </w:rPr>
        <w:t>，</w:t>
      </w:r>
      <w:r>
        <w:rPr>
          <w:rFonts w:ascii="Times New Roman" w:hAnsi="Times New Roman"/>
          <w:sz w:val="32"/>
          <w:szCs w:val="32"/>
          <w:highlight w:val="none"/>
        </w:rPr>
        <w:t>截至202</w:t>
      </w:r>
      <w:r>
        <w:rPr>
          <w:rFonts w:hint="eastAsia" w:ascii="Times New Roman" w:hAnsi="Times New Roman"/>
          <w:sz w:val="32"/>
          <w:szCs w:val="32"/>
          <w:highlight w:val="none"/>
        </w:rPr>
        <w:t>4</w:t>
      </w:r>
      <w:r>
        <w:rPr>
          <w:rFonts w:ascii="Times New Roman" w:hAnsi="Times New Roman"/>
          <w:sz w:val="32"/>
          <w:szCs w:val="32"/>
          <w:highlight w:val="none"/>
        </w:rPr>
        <w:t>年12月31日，</w:t>
      </w:r>
      <w:r>
        <w:rPr>
          <w:rFonts w:hint="eastAsia" w:ascii="Times New Roman" w:hAnsi="Times New Roman"/>
          <w:sz w:val="32"/>
          <w:szCs w:val="32"/>
          <w:highlight w:val="none"/>
        </w:rPr>
        <w:t>资金执行14987.14</w:t>
      </w:r>
      <w:r>
        <w:rPr>
          <w:rFonts w:ascii="Times New Roman" w:hAnsi="Times New Roman"/>
          <w:sz w:val="32"/>
          <w:szCs w:val="32"/>
          <w:highlight w:val="none"/>
        </w:rPr>
        <w:t>万元</w:t>
      </w:r>
      <w:r>
        <w:rPr>
          <w:rFonts w:hint="eastAsia" w:ascii="Times New Roman" w:hAnsi="Times New Roman"/>
          <w:sz w:val="32"/>
          <w:szCs w:val="32"/>
          <w:highlight w:val="none"/>
        </w:rPr>
        <w:t>，资金执行率8</w:t>
      </w:r>
      <w:r>
        <w:rPr>
          <w:rFonts w:hint="eastAsia" w:ascii="Times New Roman" w:hAnsi="Times New Roman"/>
          <w:sz w:val="32"/>
          <w:szCs w:val="32"/>
          <w:highlight w:val="none"/>
          <w:lang w:val="en-US" w:eastAsia="zh-CN"/>
        </w:rPr>
        <w:t>9</w:t>
      </w:r>
      <w:r>
        <w:rPr>
          <w:rFonts w:hint="eastAsia" w:ascii="Times New Roman" w:hAnsi="Times New Roman"/>
          <w:sz w:val="32"/>
          <w:szCs w:val="32"/>
          <w:highlight w:val="none"/>
        </w:rPr>
        <w:t>.</w:t>
      </w:r>
      <w:r>
        <w:rPr>
          <w:rFonts w:hint="eastAsia" w:ascii="Times New Roman" w:hAnsi="Times New Roman"/>
          <w:sz w:val="32"/>
          <w:szCs w:val="32"/>
          <w:highlight w:val="none"/>
          <w:lang w:val="en-US" w:eastAsia="zh-CN"/>
        </w:rPr>
        <w:t>12</w:t>
      </w:r>
      <w:r>
        <w:rPr>
          <w:rFonts w:hint="eastAsia" w:ascii="Times New Roman" w:hAnsi="Times New Roman"/>
          <w:sz w:val="32"/>
          <w:szCs w:val="32"/>
          <w:highlight w:val="none"/>
        </w:rPr>
        <w:t>%。</w:t>
      </w:r>
      <w:r>
        <w:rPr>
          <w:rFonts w:ascii="Times New Roman" w:hAnsi="Times New Roman"/>
          <w:sz w:val="32"/>
          <w:szCs w:val="32"/>
          <w:highlight w:val="none"/>
        </w:rPr>
        <w:t>各地州资金执行情况详见下表：</w:t>
      </w:r>
    </w:p>
    <w:p>
      <w:pPr>
        <w:rPr>
          <w:rFonts w:ascii="Times New Roman" w:hAnsi="Times New Roman"/>
          <w:sz w:val="32"/>
          <w:szCs w:val="32"/>
          <w:highlight w:val="none"/>
        </w:rPr>
      </w:pPr>
      <w:r>
        <w:rPr>
          <w:rFonts w:ascii="Times New Roman" w:hAnsi="Times New Roman"/>
          <w:sz w:val="32"/>
          <w:szCs w:val="32"/>
          <w:highlight w:val="none"/>
        </w:rPr>
        <w:br w:type="page"/>
      </w:r>
    </w:p>
    <w:p>
      <w:pPr>
        <w:pStyle w:val="16"/>
        <w:spacing w:line="560" w:lineRule="exact"/>
        <w:ind w:firstLine="642" w:firstLineChars="200"/>
        <w:jc w:val="center"/>
        <w:rPr>
          <w:rFonts w:ascii="Times New Roman" w:hAnsi="Times New Roman"/>
          <w:b/>
          <w:bCs/>
          <w:sz w:val="32"/>
          <w:szCs w:val="32"/>
          <w:highlight w:val="none"/>
        </w:rPr>
      </w:pPr>
      <w:r>
        <w:rPr>
          <w:rFonts w:ascii="Times New Roman" w:hAnsi="Times New Roman"/>
          <w:b/>
          <w:bCs/>
          <w:sz w:val="32"/>
          <w:szCs w:val="32"/>
          <w:highlight w:val="none"/>
        </w:rPr>
        <w:t>202</w:t>
      </w:r>
      <w:r>
        <w:rPr>
          <w:rFonts w:hint="eastAsia" w:ascii="Times New Roman" w:hAnsi="Times New Roman"/>
          <w:b/>
          <w:bCs/>
          <w:sz w:val="32"/>
          <w:szCs w:val="32"/>
          <w:highlight w:val="none"/>
        </w:rPr>
        <w:t>4</w:t>
      </w:r>
      <w:r>
        <w:rPr>
          <w:rFonts w:ascii="Times New Roman" w:hAnsi="Times New Roman"/>
          <w:b/>
          <w:bCs/>
          <w:sz w:val="32"/>
          <w:szCs w:val="32"/>
          <w:highlight w:val="none"/>
        </w:rPr>
        <w:t>年粮油生产保障各地州资金执行情况表</w:t>
      </w:r>
    </w:p>
    <w:p>
      <w:pPr>
        <w:pStyle w:val="11"/>
        <w:adjustRightInd w:val="0"/>
        <w:spacing w:after="0" w:line="560" w:lineRule="exact"/>
        <w:ind w:left="0" w:leftChars="0" w:firstLine="360"/>
        <w:jc w:val="right"/>
        <w:rPr>
          <w:rFonts w:ascii="Times New Roman" w:hAnsi="Times New Roman"/>
          <w:b/>
          <w:bCs/>
          <w:sz w:val="18"/>
          <w:szCs w:val="16"/>
          <w:highlight w:val="none"/>
        </w:rPr>
      </w:pPr>
      <w:r>
        <w:rPr>
          <w:rFonts w:ascii="Times New Roman" w:hAnsi="Times New Roman"/>
          <w:b/>
          <w:bCs/>
          <w:sz w:val="18"/>
          <w:szCs w:val="16"/>
          <w:highlight w:val="none"/>
        </w:rPr>
        <w:t xml:space="preserve"> </w:t>
      </w:r>
      <w:r>
        <w:rPr>
          <w:rFonts w:ascii="Times New Roman" w:hAnsi="Times New Roman"/>
          <w:b/>
          <w:bCs/>
          <w:sz w:val="22"/>
          <w:szCs w:val="22"/>
          <w:highlight w:val="none"/>
        </w:rPr>
        <w:t>单位：万元</w:t>
      </w:r>
    </w:p>
    <w:tbl>
      <w:tblPr>
        <w:tblStyle w:val="12"/>
        <w:tblW w:w="84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4"/>
        <w:gridCol w:w="1872"/>
        <w:gridCol w:w="1872"/>
        <w:gridCol w:w="1522"/>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序号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地州/单位</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lang w:val="en-US"/>
              </w:rPr>
            </w:pPr>
            <w:r>
              <w:rPr>
                <w:rFonts w:hint="default" w:ascii="Times New Roman" w:hAnsi="Times New Roman" w:eastAsia="宋体" w:cs="Times New Roman"/>
                <w:b/>
                <w:bCs/>
                <w:i w:val="0"/>
                <w:iCs w:val="0"/>
                <w:color w:val="auto"/>
                <w:kern w:val="0"/>
                <w:sz w:val="20"/>
                <w:szCs w:val="20"/>
                <w:highlight w:val="none"/>
                <w:u w:val="none"/>
                <w:lang w:val="en-US" w:eastAsia="zh-CN" w:bidi="ar"/>
              </w:rPr>
              <w:t>分配金额（万元）</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执行金额（万元）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伊犁州直</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3166.21</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2977.18</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塔城地区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1235.2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944.39</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76.46%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阿勒泰地区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400.09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350.7</w:t>
            </w:r>
            <w:r>
              <w:rPr>
                <w:rFonts w:hint="eastAsia" w:eastAsia="宋体" w:cs="Times New Roman"/>
                <w:i w:val="0"/>
                <w:iCs w:val="0"/>
                <w:color w:val="auto"/>
                <w:kern w:val="0"/>
                <w:sz w:val="20"/>
                <w:szCs w:val="20"/>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昌吉州</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2173.72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2172.88</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乌鲁木齐市</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15.08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15.08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博州</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1072.74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974.98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哈密市</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100.56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100.56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巴州</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1116.54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746.54</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阿克苏地区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2689.38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2112.55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78.55%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克州</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621.12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535.52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86.22%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11</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喀什地区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3472.17</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3353.39</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和田地区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754.19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703.32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93.26%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合计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16817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14987.1</w:t>
            </w:r>
            <w:r>
              <w:rPr>
                <w:rFonts w:hint="eastAsia" w:eastAsia="宋体" w:cs="Times New Roman"/>
                <w:i w:val="0"/>
                <w:iCs w:val="0"/>
                <w:color w:val="auto"/>
                <w:kern w:val="0"/>
                <w:sz w:val="20"/>
                <w:szCs w:val="20"/>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89.12%</w:t>
            </w:r>
          </w:p>
        </w:tc>
      </w:tr>
    </w:tbl>
    <w:p>
      <w:pPr>
        <w:pStyle w:val="16"/>
        <w:spacing w:line="560" w:lineRule="exact"/>
        <w:ind w:firstLine="481" w:firstLineChars="200"/>
        <w:rPr>
          <w:rFonts w:ascii="Times New Roman" w:hAnsi="Times New Roman"/>
          <w:b/>
          <w:bCs/>
          <w:sz w:val="24"/>
          <w:highlight w:val="none"/>
        </w:rPr>
      </w:pPr>
    </w:p>
    <w:p>
      <w:pPr>
        <w:keepNext w:val="0"/>
        <w:keepLines w:val="0"/>
        <w:pageBreakBefore w:val="0"/>
        <w:widowControl w:val="0"/>
        <w:kinsoku/>
        <w:wordWrap/>
        <w:topLinePunct w:val="0"/>
        <w:autoSpaceDE/>
        <w:autoSpaceDN/>
        <w:bidi w:val="0"/>
        <w:adjustRightInd/>
        <w:snapToGrid/>
        <w:spacing w:after="0" w:line="560" w:lineRule="exact"/>
        <w:ind w:firstLine="642" w:firstLineChars="200"/>
        <w:textAlignment w:val="auto"/>
        <w:rPr>
          <w:rFonts w:hint="eastAsia" w:eastAsia="仿宋_GB2312"/>
          <w:b/>
          <w:bCs/>
          <w:sz w:val="32"/>
          <w:szCs w:val="32"/>
          <w:highlight w:val="none"/>
          <w:lang w:eastAsia="zh-CN"/>
        </w:rPr>
      </w:pPr>
      <w:r>
        <w:rPr>
          <w:b/>
          <w:bCs/>
          <w:sz w:val="32"/>
          <w:szCs w:val="32"/>
          <w:highlight w:val="none"/>
        </w:rPr>
        <w:t>（二）项目资金管理情况分析</w:t>
      </w:r>
      <w:r>
        <w:rPr>
          <w:rFonts w:hint="eastAsia"/>
          <w:b/>
          <w:bCs/>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eastAsia" w:eastAsia="仿宋_GB2312"/>
          <w:b/>
          <w:bCs/>
          <w:sz w:val="32"/>
          <w:szCs w:val="32"/>
          <w:highlight w:val="none"/>
          <w:lang w:eastAsia="zh-CN"/>
        </w:rPr>
      </w:pPr>
      <w:r>
        <w:rPr>
          <w:rFonts w:hint="eastAsia"/>
          <w:sz w:val="32"/>
          <w:szCs w:val="32"/>
          <w:highlight w:val="none"/>
          <w:shd w:val="clear" w:color="auto" w:fill="FFFFFF"/>
        </w:rPr>
        <w:t>按照</w:t>
      </w:r>
      <w:r>
        <w:rPr>
          <w:rFonts w:hint="eastAsia"/>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lang w:val="en-US" w:eastAsia="zh-CN"/>
        </w:rPr>
        <w:t>粮油生产保障资金管理办法</w:t>
      </w:r>
      <w:r>
        <w:rPr>
          <w:rFonts w:hint="default" w:ascii="Times New Roman" w:hAnsi="Times New Roman" w:eastAsia="仿宋_GB2312" w:cs="Times New Roman"/>
          <w:color w:val="auto"/>
          <w:sz w:val="32"/>
          <w:szCs w:val="32"/>
          <w:highlight w:val="none"/>
        </w:rPr>
        <w:t>》（财农〔20</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中央对地方专项转移支付绩效目标管理暂行办法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财预</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163</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《中共中央国务院关于全面实施预算绩效管理的意见》、《关于印发&lt;自治区本级部门预算绩效目标管理办法&gt;的通知》（新财预〔2017〕21号</w:t>
      </w:r>
      <w:r>
        <w:rPr>
          <w:rFonts w:hint="default" w:ascii="Times New Roman" w:hAnsi="Times New Roman"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、《关于印发&lt;新疆维吾尔自治区农业相关转移支付资金绩效管理办法实施细则&gt;的通知》（新财规〔2020〕15号）</w:t>
      </w:r>
      <w:r>
        <w:rPr>
          <w:rFonts w:hint="eastAsia"/>
          <w:sz w:val="32"/>
          <w:szCs w:val="32"/>
          <w:highlight w:val="none"/>
          <w:shd w:val="clear" w:color="auto" w:fill="FFFFFF"/>
        </w:rPr>
        <w:t>要求，本项目资金的整体管理水平，做到了专款专用、及时拨付、规范支付，保障中央粮油生产保障资金支付需求，</w:t>
      </w:r>
      <w:r>
        <w:rPr>
          <w:rFonts w:hint="eastAsia"/>
          <w:sz w:val="32"/>
          <w:szCs w:val="32"/>
          <w:highlight w:val="none"/>
          <w:shd w:val="clear" w:color="auto" w:fill="FFFFFF"/>
          <w:lang w:eastAsia="zh-CN"/>
        </w:rPr>
        <w:t>保障</w:t>
      </w:r>
      <w:r>
        <w:rPr>
          <w:rFonts w:hint="eastAsia"/>
          <w:sz w:val="32"/>
          <w:szCs w:val="32"/>
          <w:highlight w:val="none"/>
          <w:shd w:val="clear" w:color="auto" w:fill="FFFFFF"/>
        </w:rPr>
        <w:t>中央粮油生产保障提升资金项目顺利实施</w:t>
      </w:r>
      <w:r>
        <w:rPr>
          <w:rFonts w:hint="eastAsia"/>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1.资金分配科学性</w:t>
      </w:r>
      <w:r>
        <w:rPr>
          <w:rFonts w:hint="eastAsia" w:ascii="仿宋_GB2312" w:hAnsi="仿宋_GB2312" w:eastAsia="仿宋_GB2312" w:cs="仿宋_GB2312"/>
          <w:b/>
          <w:bCs/>
          <w:sz w:val="32"/>
          <w:szCs w:val="32"/>
          <w:highlight w:val="none"/>
          <w:lang w:val="en-US" w:eastAsia="zh-CN"/>
        </w:rPr>
        <w:t>。</w:t>
      </w:r>
    </w:p>
    <w:p>
      <w:pPr>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sz w:val="32"/>
          <w:szCs w:val="32"/>
          <w:highlight w:val="none"/>
        </w:rPr>
      </w:pPr>
      <w:r>
        <w:rPr>
          <w:sz w:val="32"/>
          <w:szCs w:val="32"/>
          <w:highlight w:val="none"/>
        </w:rPr>
        <w:t>根据</w:t>
      </w:r>
      <w:r>
        <w:rPr>
          <w:rFonts w:hint="eastAsia"/>
          <w:sz w:val="32"/>
          <w:szCs w:val="32"/>
          <w:highlight w:val="none"/>
        </w:rPr>
        <w:t>《</w:t>
      </w:r>
      <w:r>
        <w:rPr>
          <w:sz w:val="32"/>
          <w:szCs w:val="32"/>
          <w:highlight w:val="none"/>
        </w:rPr>
        <w:t>财政部关于提前下达2024年农业相关转移支付资金预算的通知</w:t>
      </w:r>
      <w:r>
        <w:rPr>
          <w:rFonts w:hint="eastAsia"/>
          <w:sz w:val="32"/>
          <w:szCs w:val="32"/>
          <w:highlight w:val="none"/>
        </w:rPr>
        <w:t>》</w:t>
      </w:r>
      <w:r>
        <w:rPr>
          <w:sz w:val="32"/>
          <w:szCs w:val="32"/>
          <w:highlight w:val="none"/>
        </w:rPr>
        <w:t>（财农〔2023〕87号</w:t>
      </w:r>
      <w:r>
        <w:rPr>
          <w:rFonts w:hint="eastAsia"/>
          <w:sz w:val="32"/>
          <w:szCs w:val="32"/>
          <w:highlight w:val="none"/>
        </w:rPr>
        <w:t>）</w:t>
      </w:r>
      <w:r>
        <w:rPr>
          <w:rStyle w:val="22"/>
          <w:rFonts w:ascii="Times New Roman" w:hAnsi="Times New Roman"/>
          <w:sz w:val="32"/>
          <w:szCs w:val="32"/>
          <w:highlight w:val="none"/>
        </w:rPr>
        <w:t>和</w:t>
      </w:r>
      <w:r>
        <w:rPr>
          <w:rFonts w:hint="eastAsia"/>
          <w:sz w:val="32"/>
          <w:szCs w:val="32"/>
          <w:highlight w:val="none"/>
        </w:rPr>
        <w:t>《</w:t>
      </w:r>
      <w:r>
        <w:rPr>
          <w:sz w:val="32"/>
          <w:szCs w:val="32"/>
          <w:highlight w:val="none"/>
        </w:rPr>
        <w:t>财政部关于下达2024年粮油生产保障资金预算的通知</w:t>
      </w:r>
      <w:r>
        <w:rPr>
          <w:rFonts w:hint="eastAsia"/>
          <w:sz w:val="32"/>
          <w:szCs w:val="32"/>
          <w:highlight w:val="none"/>
        </w:rPr>
        <w:t>》</w:t>
      </w:r>
      <w:r>
        <w:rPr>
          <w:sz w:val="32"/>
          <w:szCs w:val="32"/>
          <w:highlight w:val="none"/>
        </w:rPr>
        <w:t>（财农〔2024〕11号</w:t>
      </w:r>
      <w:r>
        <w:rPr>
          <w:rFonts w:hint="eastAsia"/>
          <w:sz w:val="32"/>
          <w:szCs w:val="32"/>
          <w:highlight w:val="none"/>
        </w:rPr>
        <w:t>）</w:t>
      </w:r>
      <w:r>
        <w:rPr>
          <w:rStyle w:val="22"/>
          <w:rFonts w:ascii="Times New Roman" w:hAnsi="Times New Roman"/>
          <w:sz w:val="32"/>
          <w:szCs w:val="32"/>
          <w:highlight w:val="none"/>
        </w:rPr>
        <w:t>要求，参考202</w:t>
      </w:r>
      <w:r>
        <w:rPr>
          <w:rStyle w:val="22"/>
          <w:rFonts w:hint="eastAsia"/>
          <w:sz w:val="32"/>
          <w:szCs w:val="32"/>
          <w:highlight w:val="none"/>
        </w:rPr>
        <w:t>3</w:t>
      </w:r>
      <w:r>
        <w:rPr>
          <w:rStyle w:val="22"/>
          <w:rFonts w:ascii="Times New Roman" w:hAnsi="Times New Roman"/>
          <w:sz w:val="32"/>
          <w:szCs w:val="32"/>
          <w:highlight w:val="none"/>
        </w:rPr>
        <w:t>年</w:t>
      </w:r>
      <w:r>
        <w:rPr>
          <w:sz w:val="32"/>
          <w:szCs w:val="32"/>
          <w:highlight w:val="none"/>
        </w:rPr>
        <w:t>小麦“一喷三防”补助政策和实施方式，统筹考虑资金总量和各地冬春小麦实际种植面积（不含山旱地），对补助资金按比例进行核定分配。</w:t>
      </w:r>
    </w:p>
    <w:p>
      <w:pPr>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sz w:val="32"/>
          <w:szCs w:val="32"/>
          <w:highlight w:val="none"/>
        </w:rPr>
      </w:pPr>
      <w:r>
        <w:rPr>
          <w:sz w:val="32"/>
          <w:szCs w:val="32"/>
          <w:highlight w:val="none"/>
        </w:rPr>
        <w:t>根据各地州报送玉米、大豆实际种植面积，对补助资金按比例进行分配核定，实现玉米、大豆种植应补尽补。重点支持家庭农场、农民专业合作社、社会化服务组织等新型农业经营主体，采取统防统治方式推进统一喷施作业，提高防治效率，确保“一喷多促”措施尽快有效落实到田。</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2.资金下达及时性</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sz w:val="32"/>
          <w:szCs w:val="32"/>
          <w:highlight w:val="none"/>
        </w:rPr>
      </w:pPr>
      <w:r>
        <w:rPr>
          <w:sz w:val="32"/>
          <w:szCs w:val="32"/>
          <w:highlight w:val="none"/>
          <w:shd w:val="clear" w:color="auto" w:fill="FFFFFF"/>
        </w:rPr>
        <w:t>202</w:t>
      </w:r>
      <w:r>
        <w:rPr>
          <w:rFonts w:hint="eastAsia"/>
          <w:sz w:val="32"/>
          <w:szCs w:val="32"/>
          <w:highlight w:val="none"/>
          <w:shd w:val="clear" w:color="auto" w:fill="FFFFFF"/>
        </w:rPr>
        <w:t>4</w:t>
      </w:r>
      <w:r>
        <w:rPr>
          <w:sz w:val="32"/>
          <w:szCs w:val="32"/>
          <w:highlight w:val="none"/>
          <w:shd w:val="clear" w:color="auto" w:fill="FFFFFF"/>
        </w:rPr>
        <w:t>年4月</w:t>
      </w:r>
      <w:r>
        <w:rPr>
          <w:rFonts w:hint="eastAsia"/>
          <w:sz w:val="32"/>
          <w:szCs w:val="32"/>
          <w:highlight w:val="none"/>
        </w:rPr>
        <w:t>《</w:t>
      </w:r>
      <w:r>
        <w:rPr>
          <w:sz w:val="32"/>
          <w:szCs w:val="32"/>
          <w:highlight w:val="none"/>
        </w:rPr>
        <w:t>财政部关于下达2024年粮油生产保障资金预算的通知</w:t>
      </w:r>
      <w:r>
        <w:rPr>
          <w:rFonts w:hint="eastAsia"/>
          <w:sz w:val="32"/>
          <w:szCs w:val="32"/>
          <w:highlight w:val="none"/>
        </w:rPr>
        <w:t>》</w:t>
      </w:r>
      <w:r>
        <w:rPr>
          <w:sz w:val="32"/>
          <w:szCs w:val="32"/>
          <w:highlight w:val="none"/>
        </w:rPr>
        <w:t>（财农〔2024〕11号</w:t>
      </w:r>
      <w:r>
        <w:rPr>
          <w:rFonts w:hint="eastAsia"/>
          <w:sz w:val="32"/>
          <w:szCs w:val="32"/>
          <w:highlight w:val="none"/>
        </w:rPr>
        <w:t>）</w:t>
      </w:r>
      <w:r>
        <w:rPr>
          <w:sz w:val="32"/>
          <w:szCs w:val="32"/>
          <w:highlight w:val="none"/>
          <w:shd w:val="clear" w:color="auto" w:fill="FFFFFF"/>
        </w:rPr>
        <w:t>下达</w:t>
      </w:r>
      <w:r>
        <w:rPr>
          <w:rFonts w:hint="eastAsia"/>
          <w:sz w:val="32"/>
          <w:szCs w:val="32"/>
          <w:highlight w:val="none"/>
          <w:shd w:val="clear" w:color="auto" w:fill="FFFFFF"/>
        </w:rPr>
        <w:t>资金合计16817万元</w:t>
      </w:r>
      <w:r>
        <w:rPr>
          <w:sz w:val="32"/>
          <w:szCs w:val="32"/>
          <w:highlight w:val="none"/>
          <w:shd w:val="clear" w:color="auto" w:fill="FFFFFF"/>
        </w:rPr>
        <w:t>，</w:t>
      </w:r>
      <w:r>
        <w:rPr>
          <w:rFonts w:hint="eastAsia"/>
          <w:sz w:val="32"/>
          <w:szCs w:val="32"/>
          <w:highlight w:val="none"/>
          <w:shd w:val="clear" w:color="auto" w:fill="FFFFFF"/>
        </w:rPr>
        <w:t>财政部</w:t>
      </w:r>
      <w:r>
        <w:rPr>
          <w:sz w:val="32"/>
          <w:szCs w:val="32"/>
          <w:highlight w:val="none"/>
          <w:shd w:val="clear" w:color="auto" w:fill="FFFFFF"/>
        </w:rPr>
        <w:t>下达我区粮油生产保障资金</w:t>
      </w:r>
      <w:r>
        <w:rPr>
          <w:rFonts w:hint="eastAsia"/>
          <w:sz w:val="32"/>
          <w:szCs w:val="32"/>
          <w:highlight w:val="none"/>
          <w:shd w:val="clear" w:color="auto" w:fill="FFFFFF"/>
        </w:rPr>
        <w:t>，</w:t>
      </w:r>
      <w:r>
        <w:rPr>
          <w:sz w:val="32"/>
          <w:szCs w:val="32"/>
          <w:highlight w:val="none"/>
          <w:shd w:val="clear" w:color="auto" w:fill="FFFFFF"/>
        </w:rPr>
        <w:t>根据财政部、农业部有关要求，农业农村厅收到资金文件后，在规定时限内（30日内），</w:t>
      </w:r>
      <w:r>
        <w:rPr>
          <w:rFonts w:hint="eastAsia"/>
          <w:sz w:val="32"/>
          <w:szCs w:val="32"/>
          <w:highlight w:val="none"/>
          <w:shd w:val="clear" w:color="auto" w:fill="FFFFFF"/>
        </w:rPr>
        <w:t>2024年5月自治区财政厅发文</w:t>
      </w:r>
      <w:r>
        <w:rPr>
          <w:sz w:val="32"/>
          <w:szCs w:val="32"/>
          <w:highlight w:val="none"/>
        </w:rPr>
        <w:t>《关于下达2024年中央粮油生产保障资金预算的通知</w:t>
      </w:r>
      <w:r>
        <w:rPr>
          <w:rFonts w:hint="eastAsia"/>
          <w:sz w:val="32"/>
          <w:szCs w:val="32"/>
          <w:highlight w:val="none"/>
        </w:rPr>
        <w:t>》</w:t>
      </w:r>
      <w:r>
        <w:rPr>
          <w:sz w:val="32"/>
          <w:szCs w:val="32"/>
          <w:highlight w:val="none"/>
        </w:rPr>
        <w:t>（新财农〔2024〕26号</w:t>
      </w:r>
      <w:r>
        <w:rPr>
          <w:rFonts w:hint="eastAsia"/>
          <w:sz w:val="32"/>
          <w:szCs w:val="32"/>
          <w:highlight w:val="none"/>
        </w:rPr>
        <w:t>）下达资金合计16817万元。</w:t>
      </w:r>
      <w:r>
        <w:rPr>
          <w:sz w:val="32"/>
          <w:szCs w:val="32"/>
          <w:highlight w:val="none"/>
          <w:shd w:val="clear" w:color="auto" w:fill="FFFFFF"/>
        </w:rPr>
        <w:t>按管理办法规定提出具体资金分配方案，经厅党组审议同意后，正式行文报财政厅申请下达资金，</w:t>
      </w:r>
      <w:r>
        <w:rPr>
          <w:sz w:val="32"/>
          <w:szCs w:val="32"/>
          <w:highlight w:val="none"/>
        </w:rPr>
        <w:t>综上专项资金及时拨付至各地县市，</w:t>
      </w:r>
      <w:r>
        <w:rPr>
          <w:kern w:val="0"/>
          <w:sz w:val="32"/>
          <w:szCs w:val="32"/>
          <w:highlight w:val="none"/>
          <w:lang w:bidi="ar"/>
        </w:rPr>
        <w:t>资金分解下达及时</w:t>
      </w:r>
      <w:r>
        <w:rPr>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3.资金拨付合规性</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sz w:val="32"/>
          <w:szCs w:val="32"/>
          <w:highlight w:val="none"/>
        </w:rPr>
      </w:pPr>
      <w:r>
        <w:rPr>
          <w:rFonts w:hint="eastAsia"/>
          <w:sz w:val="32"/>
          <w:szCs w:val="32"/>
          <w:highlight w:val="none"/>
          <w:lang w:val="en-US" w:eastAsia="zh-CN"/>
        </w:rPr>
        <w:t>根据</w:t>
      </w:r>
      <w:r>
        <w:rPr>
          <w:color w:val="000000"/>
          <w:sz w:val="32"/>
          <w:szCs w:val="32"/>
          <w:highlight w:val="none"/>
        </w:rPr>
        <w:t>《粮油生产保障资金管理办法》（财农〔202</w:t>
      </w:r>
      <w:r>
        <w:rPr>
          <w:rFonts w:hint="eastAsia"/>
          <w:color w:val="000000"/>
          <w:sz w:val="32"/>
          <w:szCs w:val="32"/>
          <w:highlight w:val="none"/>
        </w:rPr>
        <w:t>3</w:t>
      </w:r>
      <w:r>
        <w:rPr>
          <w:color w:val="000000"/>
          <w:sz w:val="32"/>
          <w:szCs w:val="32"/>
          <w:highlight w:val="none"/>
        </w:rPr>
        <w:t>〕11号）</w:t>
      </w:r>
      <w:r>
        <w:rPr>
          <w:rFonts w:hint="eastAsia"/>
          <w:sz w:val="32"/>
          <w:szCs w:val="32"/>
          <w:highlight w:val="none"/>
        </w:rPr>
        <w:t>要求加强粮油生产保障资金的管理，确保资金使用合规，保障粮食安全</w:t>
      </w:r>
      <w:r>
        <w:rPr>
          <w:rFonts w:hint="eastAsia"/>
          <w:sz w:val="32"/>
          <w:szCs w:val="32"/>
          <w:highlight w:val="none"/>
          <w:lang w:eastAsia="zh-CN"/>
        </w:rPr>
        <w:t>。资金必须用于粮油生产保障，不得挪用。资金分配和使用需公开，接受监督。资金使用过程需接受审计和财政部门的监督，确保合规。</w:t>
      </w:r>
      <w:r>
        <w:rPr>
          <w:sz w:val="32"/>
          <w:szCs w:val="32"/>
          <w:highlight w:val="none"/>
        </w:rPr>
        <w:t>为确保粮油生产保障资金发挥使用效益，自治区农业农村厅统筹考虑资金总量和各地冬春小麦实际种植面积（不含山旱地），对补助资金按比例进行核定分配，并予以拨付资金</w:t>
      </w:r>
      <w:r>
        <w:rPr>
          <w:rFonts w:hint="eastAsia"/>
          <w:sz w:val="32"/>
          <w:szCs w:val="32"/>
          <w:highlight w:val="none"/>
        </w:rPr>
        <w:t>，</w:t>
      </w:r>
      <w:r>
        <w:rPr>
          <w:sz w:val="32"/>
          <w:szCs w:val="32"/>
          <w:highlight w:val="none"/>
        </w:rPr>
        <w:t>资金拨付合规</w:t>
      </w:r>
      <w:r>
        <w:rPr>
          <w:rFonts w:hint="eastAsia"/>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4.资金使用规范性</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sz w:val="32"/>
          <w:szCs w:val="32"/>
          <w:highlight w:val="none"/>
        </w:rPr>
      </w:pPr>
      <w:r>
        <w:rPr>
          <w:kern w:val="0"/>
          <w:sz w:val="32"/>
          <w:szCs w:val="32"/>
          <w:highlight w:val="none"/>
        </w:rPr>
        <w:t>严格</w:t>
      </w:r>
      <w:r>
        <w:rPr>
          <w:color w:val="000000"/>
          <w:sz w:val="32"/>
          <w:szCs w:val="32"/>
          <w:highlight w:val="none"/>
        </w:rPr>
        <w:t>按照财政部《粮油生产保障资金管理办法》（财农〔202</w:t>
      </w:r>
      <w:r>
        <w:rPr>
          <w:rFonts w:hint="eastAsia"/>
          <w:color w:val="000000"/>
          <w:sz w:val="32"/>
          <w:szCs w:val="32"/>
          <w:highlight w:val="none"/>
        </w:rPr>
        <w:t>3</w:t>
      </w:r>
      <w:r>
        <w:rPr>
          <w:color w:val="000000"/>
          <w:sz w:val="32"/>
          <w:szCs w:val="32"/>
          <w:highlight w:val="none"/>
        </w:rPr>
        <w:t>〕11号）</w:t>
      </w:r>
      <w:r>
        <w:rPr>
          <w:sz w:val="32"/>
          <w:szCs w:val="32"/>
          <w:highlight w:val="none"/>
          <w:lang w:bidi="ar"/>
        </w:rPr>
        <w:t>，</w:t>
      </w:r>
      <w:r>
        <w:rPr>
          <w:bCs/>
          <w:sz w:val="32"/>
          <w:szCs w:val="32"/>
          <w:highlight w:val="none"/>
        </w:rPr>
        <w:t>采取物化补助方式，</w:t>
      </w:r>
      <w:r>
        <w:rPr>
          <w:kern w:val="0"/>
          <w:sz w:val="32"/>
          <w:szCs w:val="32"/>
          <w:highlight w:val="none"/>
        </w:rPr>
        <w:t>对项目区内自愿实施小麦“一喷三防”的农民和</w:t>
      </w:r>
      <w:r>
        <w:rPr>
          <w:bCs/>
          <w:kern w:val="0"/>
          <w:sz w:val="32"/>
          <w:szCs w:val="32"/>
          <w:highlight w:val="none"/>
        </w:rPr>
        <w:t>家庭农场、农民专业合作社等小麦实际种植者，</w:t>
      </w:r>
      <w:r>
        <w:rPr>
          <w:kern w:val="0"/>
          <w:sz w:val="32"/>
          <w:szCs w:val="32"/>
          <w:highlight w:val="none"/>
        </w:rPr>
        <w:t>在小麦生长期喷施杀虫剂、杀菌剂、除草剂、植物生长调节剂、叶面肥等“一喷三防”等措施给予补助，以防小麦病虫害、防干热风、防早衰，促进小麦稳产增产。</w:t>
      </w:r>
      <w:r>
        <w:rPr>
          <w:sz w:val="32"/>
          <w:szCs w:val="32"/>
          <w:highlight w:val="none"/>
        </w:rPr>
        <w:t>资金使用符合资金使用范围要求，</w:t>
      </w:r>
      <w:r>
        <w:rPr>
          <w:kern w:val="0"/>
          <w:sz w:val="32"/>
          <w:szCs w:val="32"/>
          <w:highlight w:val="none"/>
          <w:lang w:bidi="ar"/>
        </w:rPr>
        <w:t>在中央巡视、各级审计和财政监督中未发现问题</w:t>
      </w:r>
      <w:r>
        <w:rPr>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5.资金执行准确性</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sz w:val="32"/>
          <w:szCs w:val="32"/>
          <w:highlight w:val="none"/>
          <w:lang w:bidi="ar"/>
        </w:rPr>
      </w:pPr>
      <w:r>
        <w:rPr>
          <w:kern w:val="0"/>
          <w:sz w:val="32"/>
          <w:szCs w:val="32"/>
          <w:highlight w:val="none"/>
        </w:rPr>
        <w:t>严格</w:t>
      </w:r>
      <w:r>
        <w:rPr>
          <w:color w:val="000000"/>
          <w:sz w:val="32"/>
          <w:szCs w:val="32"/>
          <w:highlight w:val="none"/>
        </w:rPr>
        <w:t>按照财政部《粮油生产保障资金管理办法》（财农〔2023〕11号）</w:t>
      </w:r>
      <w:r>
        <w:rPr>
          <w:sz w:val="32"/>
          <w:szCs w:val="32"/>
          <w:highlight w:val="none"/>
          <w:lang w:bidi="ar"/>
        </w:rPr>
        <w:t>，</w:t>
      </w:r>
      <w:r>
        <w:rPr>
          <w:bCs/>
          <w:sz w:val="32"/>
          <w:szCs w:val="32"/>
          <w:highlight w:val="none"/>
        </w:rPr>
        <w:t>采取物化补助方式，</w:t>
      </w:r>
      <w:r>
        <w:rPr>
          <w:kern w:val="0"/>
          <w:sz w:val="32"/>
          <w:szCs w:val="32"/>
          <w:highlight w:val="none"/>
        </w:rPr>
        <w:t>对项目区内自愿实施小麦“一喷三防”的农民和</w:t>
      </w:r>
      <w:r>
        <w:rPr>
          <w:bCs/>
          <w:kern w:val="0"/>
          <w:sz w:val="32"/>
          <w:szCs w:val="32"/>
          <w:highlight w:val="none"/>
        </w:rPr>
        <w:t>家庭农场、农民专业合作社等小麦实际种植者，</w:t>
      </w:r>
      <w:r>
        <w:rPr>
          <w:kern w:val="0"/>
          <w:sz w:val="32"/>
          <w:szCs w:val="32"/>
          <w:highlight w:val="none"/>
        </w:rPr>
        <w:t>在小麦生长期喷施杀虫剂、杀菌剂、除草剂、植物生长调节剂、叶面肥等“一喷三防”等措施给予补助，以防小麦病虫害、防干热风、防早衰，促进小麦稳产增产。</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6.预算绩效管理情况</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after="0" w:line="560" w:lineRule="exact"/>
        <w:ind w:firstLine="640" w:firstLineChars="200"/>
        <w:textAlignment w:val="auto"/>
        <w:rPr>
          <w:sz w:val="32"/>
          <w:szCs w:val="32"/>
          <w:highlight w:val="none"/>
        </w:rPr>
      </w:pPr>
      <w:r>
        <w:rPr>
          <w:sz w:val="32"/>
          <w:szCs w:val="32"/>
          <w:highlight w:val="none"/>
          <w:shd w:val="clear" w:color="auto" w:fill="FFFFFF"/>
        </w:rPr>
        <w:t>按照《中共中央国务院关于全面实施预算绩效管理的意见》、《关于印发&lt;自治区本级部门预算绩效目标管理办法&gt;的通知》（新财预〔2017〕21号</w:t>
      </w:r>
      <w:r>
        <w:rPr>
          <w:rFonts w:hint="eastAsia"/>
          <w:sz w:val="32"/>
          <w:szCs w:val="32"/>
          <w:highlight w:val="none"/>
          <w:shd w:val="clear" w:color="auto" w:fill="FFFFFF"/>
        </w:rPr>
        <w:t>）</w:t>
      </w:r>
      <w:r>
        <w:rPr>
          <w:sz w:val="32"/>
          <w:szCs w:val="32"/>
          <w:highlight w:val="none"/>
          <w:shd w:val="clear" w:color="auto" w:fill="FFFFFF"/>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r>
        <w:rPr>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7.支出责任履行情况</w:t>
      </w:r>
      <w:r>
        <w:rPr>
          <w:rFonts w:hint="eastAsia" w:ascii="仿宋_GB2312" w:hAnsi="仿宋_GB2312" w:eastAsia="仿宋_GB2312" w:cs="仿宋_GB2312"/>
          <w:b/>
          <w:bCs/>
          <w:sz w:val="32"/>
          <w:szCs w:val="32"/>
          <w:highlight w:val="none"/>
          <w:lang w:eastAsia="zh-CN"/>
        </w:rPr>
        <w:t>。</w:t>
      </w:r>
    </w:p>
    <w:p>
      <w:pPr>
        <w:pStyle w:val="11"/>
        <w:keepNext w:val="0"/>
        <w:keepLines w:val="0"/>
        <w:pageBreakBefore w:val="0"/>
        <w:widowControl w:val="0"/>
        <w:kinsoku/>
        <w:wordWrap/>
        <w:topLinePunct w:val="0"/>
        <w:autoSpaceDE/>
        <w:autoSpaceDN/>
        <w:bidi w:val="0"/>
        <w:adjustRightInd/>
        <w:snapToGrid/>
        <w:spacing w:after="0" w:line="560" w:lineRule="exact"/>
        <w:ind w:left="0" w:leftChars="0" w:firstLine="640"/>
        <w:textAlignment w:val="auto"/>
        <w:rPr>
          <w:rFonts w:ascii="Times New Roman" w:hAnsi="Times New Roman"/>
          <w:sz w:val="32"/>
          <w:szCs w:val="32"/>
          <w:highlight w:val="none"/>
          <w:shd w:val="clear" w:color="auto" w:fill="FFFFFF"/>
        </w:rPr>
      </w:pPr>
      <w:r>
        <w:rPr>
          <w:rFonts w:ascii="Times New Roman" w:hAnsi="Times New Roman"/>
          <w:sz w:val="32"/>
          <w:szCs w:val="32"/>
          <w:highlight w:val="none"/>
          <w:shd w:val="clear" w:color="auto" w:fill="FFFFFF"/>
        </w:rPr>
        <w:t>对共同财政事权转移支付，按照财政事权和支出责任划分有关规定，足额安排资金履行本级支出责任，支出责任履行情况良好。</w:t>
      </w:r>
    </w:p>
    <w:p>
      <w:pPr>
        <w:pStyle w:val="11"/>
        <w:keepNext w:val="0"/>
        <w:keepLines w:val="0"/>
        <w:pageBreakBefore w:val="0"/>
        <w:widowControl w:val="0"/>
        <w:kinsoku/>
        <w:wordWrap/>
        <w:topLinePunct w:val="0"/>
        <w:autoSpaceDE/>
        <w:autoSpaceDN/>
        <w:bidi w:val="0"/>
        <w:adjustRightInd/>
        <w:snapToGrid/>
        <w:spacing w:after="0" w:line="560" w:lineRule="exact"/>
        <w:ind w:left="0" w:leftChars="0" w:firstLine="640"/>
        <w:textAlignment w:val="auto"/>
        <w:rPr>
          <w:rFonts w:ascii="Times New Roman" w:hAnsi="Times New Roman"/>
          <w:color w:val="FF0000"/>
          <w:sz w:val="32"/>
          <w:szCs w:val="32"/>
          <w:highlight w:val="none"/>
        </w:rPr>
      </w:pPr>
      <w:r>
        <w:rPr>
          <w:rFonts w:ascii="Times New Roman" w:hAnsi="Times New Roman"/>
          <w:sz w:val="32"/>
          <w:szCs w:val="32"/>
          <w:highlight w:val="none"/>
          <w:lang w:eastAsia="zh-Hans"/>
        </w:rPr>
        <w:t>项目实施乡镇人民政府为直接责任人，地州市县农业农村局为项目主管部门对项目资金使用、监督和验收负主体责任；单位主要领导为项目监督和实施第一责任人</w:t>
      </w:r>
      <w:r>
        <w:rPr>
          <w:rFonts w:ascii="Times New Roman" w:hAnsi="Times New Roman"/>
          <w:sz w:val="32"/>
          <w:szCs w:val="32"/>
          <w:highlight w:val="none"/>
        </w:rPr>
        <w:t>，</w:t>
      </w:r>
      <w:r>
        <w:rPr>
          <w:rFonts w:ascii="Times New Roman" w:hAnsi="Times New Roman"/>
          <w:sz w:val="32"/>
          <w:szCs w:val="32"/>
          <w:highlight w:val="none"/>
          <w:lang w:eastAsia="zh-Hans"/>
        </w:rPr>
        <w:t>主动与财政部门做好项目资金对接落实工作，确保资金及时到位，安全使用；</w:t>
      </w:r>
      <w:r>
        <w:rPr>
          <w:rFonts w:ascii="Times New Roman" w:hAnsi="Times New Roman"/>
          <w:sz w:val="32"/>
          <w:szCs w:val="32"/>
          <w:highlight w:val="none"/>
        </w:rPr>
        <w:t>自治区农业农村厅</w:t>
      </w:r>
      <w:r>
        <w:rPr>
          <w:rFonts w:ascii="Times New Roman" w:hAnsi="Times New Roman"/>
          <w:sz w:val="32"/>
          <w:szCs w:val="32"/>
          <w:highlight w:val="none"/>
          <w:lang w:eastAsia="zh-Hans"/>
        </w:rPr>
        <w:t>建立项目执行定期调度督导机制，及时掌握项目执行和资金使用情况，</w:t>
      </w:r>
      <w:r>
        <w:rPr>
          <w:rFonts w:ascii="Times New Roman" w:hAnsi="Times New Roman"/>
          <w:sz w:val="32"/>
          <w:szCs w:val="32"/>
          <w:highlight w:val="none"/>
        </w:rPr>
        <w:t>不断总结经验和问题，</w:t>
      </w:r>
      <w:r>
        <w:rPr>
          <w:rFonts w:ascii="Times New Roman" w:hAnsi="Times New Roman"/>
          <w:sz w:val="32"/>
          <w:szCs w:val="32"/>
          <w:highlight w:val="none"/>
          <w:lang w:eastAsia="zh-Hans"/>
        </w:rPr>
        <w:t>确保项目执行到位、资金使用规范。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2" w:firstLineChars="200"/>
        <w:textAlignment w:val="auto"/>
        <w:rPr>
          <w:rFonts w:hint="eastAsia" w:eastAsia="楷体"/>
          <w:b/>
          <w:bCs/>
          <w:sz w:val="32"/>
          <w:szCs w:val="32"/>
          <w:highlight w:val="none"/>
          <w:lang w:eastAsia="zh-CN"/>
        </w:rPr>
      </w:pPr>
      <w:r>
        <w:rPr>
          <w:rFonts w:eastAsia="楷体"/>
          <w:b/>
          <w:bCs/>
          <w:sz w:val="32"/>
          <w:szCs w:val="32"/>
          <w:highlight w:val="none"/>
        </w:rPr>
        <w:t>（三）总体绩效目标完成情况分析</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sz w:val="32"/>
          <w:szCs w:val="32"/>
          <w:highlight w:val="none"/>
        </w:rPr>
        <w:t>202</w:t>
      </w:r>
      <w:r>
        <w:rPr>
          <w:rFonts w:hint="eastAsia"/>
          <w:sz w:val="32"/>
          <w:szCs w:val="32"/>
          <w:highlight w:val="none"/>
        </w:rPr>
        <w:t>4</w:t>
      </w:r>
      <w:r>
        <w:rPr>
          <w:sz w:val="32"/>
          <w:szCs w:val="32"/>
          <w:highlight w:val="none"/>
        </w:rPr>
        <w:t>年，在项目资金的大力支持下，按照项目设定的绩效考核目标，为全面落实农业农村部、自治区党委、人民政府以及农业农村厅党组关于粮油规模种植主体单产提升行动各项工作的安排部署，结合我区实际，会同财政有关部门及时调整优化奖补政策，有力提升资金指向性和精准性，强力推动项目资金发放日常监管，充分发挥政策效益，带动粮油生产健康发展，全面完成既定目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2" w:firstLineChars="200"/>
        <w:textAlignment w:val="auto"/>
        <w:rPr>
          <w:rFonts w:hint="eastAsia" w:eastAsia="楷体"/>
          <w:b/>
          <w:bCs/>
          <w:sz w:val="32"/>
          <w:szCs w:val="32"/>
          <w:highlight w:val="none"/>
          <w:lang w:eastAsia="zh-CN"/>
        </w:rPr>
      </w:pPr>
      <w:r>
        <w:rPr>
          <w:rFonts w:eastAsia="楷体"/>
          <w:b/>
          <w:bCs/>
          <w:sz w:val="32"/>
          <w:szCs w:val="32"/>
          <w:highlight w:val="none"/>
        </w:rPr>
        <w:t>（四）绩效指标完成情况分析</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1.产出指标完成情况分析</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eastAsia="仿宋_GB2312"/>
          <w:sz w:val="32"/>
          <w:szCs w:val="32"/>
          <w:highlight w:val="none"/>
          <w:lang w:eastAsia="zh-CN"/>
        </w:rPr>
      </w:pPr>
      <w:r>
        <w:rPr>
          <w:sz w:val="32"/>
          <w:szCs w:val="32"/>
          <w:highlight w:val="none"/>
        </w:rPr>
        <w:t>（1）数量指标</w:t>
      </w:r>
      <w:r>
        <w:rPr>
          <w:rFonts w:hint="eastAsia"/>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rFonts w:hint="eastAsia"/>
          <w:sz w:val="32"/>
          <w:szCs w:val="32"/>
          <w:highlight w:val="none"/>
        </w:rPr>
        <w:t>a</w:t>
      </w:r>
      <w:r>
        <w:rPr>
          <w:sz w:val="32"/>
          <w:szCs w:val="32"/>
          <w:highlight w:val="none"/>
        </w:rPr>
        <w:t>.</w:t>
      </w:r>
      <w:r>
        <w:rPr>
          <w:rFonts w:hint="eastAsia"/>
          <w:sz w:val="32"/>
          <w:szCs w:val="32"/>
          <w:highlight w:val="none"/>
        </w:rPr>
        <w:t>财政部</w:t>
      </w:r>
      <w:r>
        <w:rPr>
          <w:sz w:val="32"/>
          <w:szCs w:val="32"/>
          <w:highlight w:val="none"/>
        </w:rPr>
        <w:t>随文下达重点作物绿色高产高效</w:t>
      </w:r>
      <w:r>
        <w:rPr>
          <w:rFonts w:hint="eastAsia"/>
          <w:sz w:val="32"/>
          <w:szCs w:val="32"/>
          <w:highlight w:val="none"/>
          <w:lang w:eastAsia="zh-CN"/>
        </w:rPr>
        <w:t>行动推进</w:t>
      </w:r>
      <w:r>
        <w:rPr>
          <w:sz w:val="32"/>
          <w:szCs w:val="32"/>
          <w:highlight w:val="none"/>
        </w:rPr>
        <w:t>县数量</w:t>
      </w:r>
      <w:r>
        <w:rPr>
          <w:rFonts w:hint="eastAsia"/>
          <w:sz w:val="32"/>
          <w:szCs w:val="32"/>
          <w:highlight w:val="none"/>
          <w:lang w:eastAsia="zh-CN"/>
        </w:rPr>
        <w:t>（个）</w:t>
      </w:r>
      <w:r>
        <w:rPr>
          <w:sz w:val="32"/>
          <w:szCs w:val="32"/>
          <w:highlight w:val="none"/>
        </w:rPr>
        <w:t>指标，指标值为27个，实际完成</w:t>
      </w:r>
      <w:r>
        <w:rPr>
          <w:rFonts w:hint="eastAsia"/>
          <w:sz w:val="32"/>
          <w:szCs w:val="32"/>
          <w:highlight w:val="none"/>
        </w:rPr>
        <w:t>30</w:t>
      </w:r>
      <w:r>
        <w:rPr>
          <w:sz w:val="32"/>
          <w:szCs w:val="32"/>
          <w:highlight w:val="none"/>
        </w:rPr>
        <w:t>个，</w:t>
      </w:r>
      <w:r>
        <w:rPr>
          <w:rFonts w:hint="eastAsia"/>
          <w:sz w:val="32"/>
          <w:szCs w:val="32"/>
          <w:highlight w:val="none"/>
        </w:rPr>
        <w:t>完成率111.11</w:t>
      </w:r>
      <w:r>
        <w:rPr>
          <w:sz w:val="32"/>
          <w:szCs w:val="32"/>
          <w:highlight w:val="none"/>
        </w:rPr>
        <w:t>%</w:t>
      </w:r>
      <w:r>
        <w:rPr>
          <w:rFonts w:hint="eastAsia"/>
          <w:sz w:val="32"/>
          <w:szCs w:val="32"/>
          <w:highlight w:val="none"/>
        </w:rPr>
        <w:t>，</w:t>
      </w:r>
      <w:r>
        <w:rPr>
          <w:sz w:val="32"/>
          <w:szCs w:val="32"/>
          <w:highlight w:val="none"/>
        </w:rPr>
        <w:t>偏差率</w:t>
      </w:r>
      <w:r>
        <w:rPr>
          <w:rFonts w:hint="eastAsia"/>
          <w:sz w:val="32"/>
          <w:szCs w:val="32"/>
          <w:highlight w:val="none"/>
        </w:rPr>
        <w:t>11.11</w:t>
      </w:r>
      <w:r>
        <w:rPr>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rFonts w:hint="eastAsia"/>
          <w:sz w:val="32"/>
          <w:szCs w:val="32"/>
          <w:highlight w:val="none"/>
        </w:rPr>
        <w:t>b</w:t>
      </w:r>
      <w:r>
        <w:rPr>
          <w:sz w:val="32"/>
          <w:szCs w:val="32"/>
          <w:highlight w:val="none"/>
        </w:rPr>
        <w:t>.</w:t>
      </w:r>
      <w:r>
        <w:rPr>
          <w:rFonts w:hint="eastAsia"/>
          <w:sz w:val="32"/>
          <w:szCs w:val="32"/>
          <w:highlight w:val="none"/>
        </w:rPr>
        <w:t>财政部</w:t>
      </w:r>
      <w:r>
        <w:rPr>
          <w:sz w:val="32"/>
          <w:szCs w:val="32"/>
          <w:highlight w:val="none"/>
        </w:rPr>
        <w:t>随文下达大豆玉米</w:t>
      </w:r>
      <w:r>
        <w:rPr>
          <w:rFonts w:hint="eastAsia"/>
          <w:sz w:val="32"/>
          <w:szCs w:val="32"/>
          <w:highlight w:val="none"/>
          <w:lang w:eastAsia="zh-CN"/>
        </w:rPr>
        <w:t>小麦油菜</w:t>
      </w:r>
      <w:r>
        <w:rPr>
          <w:sz w:val="32"/>
          <w:szCs w:val="32"/>
          <w:highlight w:val="none"/>
        </w:rPr>
        <w:t>单产提升整建制推进县数量</w:t>
      </w:r>
      <w:r>
        <w:rPr>
          <w:rFonts w:hint="eastAsia"/>
          <w:sz w:val="32"/>
          <w:szCs w:val="32"/>
          <w:highlight w:val="none"/>
        </w:rPr>
        <w:t>指标，指标值为20</w:t>
      </w:r>
      <w:r>
        <w:rPr>
          <w:sz w:val="32"/>
          <w:szCs w:val="32"/>
          <w:highlight w:val="none"/>
        </w:rPr>
        <w:t>个，实际完成</w:t>
      </w:r>
      <w:r>
        <w:rPr>
          <w:rFonts w:hint="eastAsia"/>
          <w:sz w:val="32"/>
          <w:szCs w:val="32"/>
          <w:highlight w:val="none"/>
        </w:rPr>
        <w:t>20</w:t>
      </w:r>
      <w:r>
        <w:rPr>
          <w:sz w:val="32"/>
          <w:szCs w:val="32"/>
          <w:highlight w:val="none"/>
        </w:rPr>
        <w:t>个，完成率</w:t>
      </w:r>
      <w:r>
        <w:rPr>
          <w:rFonts w:hint="eastAsia"/>
          <w:sz w:val="32"/>
          <w:szCs w:val="32"/>
          <w:highlight w:val="none"/>
        </w:rPr>
        <w:t>100</w:t>
      </w:r>
      <w:r>
        <w:rPr>
          <w:sz w:val="32"/>
          <w:szCs w:val="32"/>
          <w:highlight w:val="none"/>
        </w:rPr>
        <w:t>%，偏差率</w:t>
      </w:r>
      <w:r>
        <w:rPr>
          <w:rFonts w:hint="eastAsia"/>
          <w:sz w:val="32"/>
          <w:szCs w:val="32"/>
          <w:highlight w:val="none"/>
        </w:rPr>
        <w:t>0</w:t>
      </w:r>
      <w:r>
        <w:rPr>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eastAsia="仿宋_GB2312"/>
          <w:sz w:val="32"/>
          <w:highlight w:val="none"/>
          <w:lang w:eastAsia="zh-CN"/>
        </w:rPr>
      </w:pPr>
      <w:r>
        <w:rPr>
          <w:rFonts w:hint="eastAsia"/>
          <w:sz w:val="32"/>
          <w:highlight w:val="none"/>
        </w:rPr>
        <w:t>（2）质量指标</w:t>
      </w:r>
      <w:r>
        <w:rPr>
          <w:rFonts w:hint="eastAsia"/>
          <w:sz w:val="32"/>
          <w:highlight w:val="none"/>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sz w:val="32"/>
          <w:highlight w:val="none"/>
        </w:rPr>
      </w:pPr>
      <w:r>
        <w:rPr>
          <w:rFonts w:hint="eastAsia"/>
          <w:sz w:val="32"/>
          <w:highlight w:val="none"/>
        </w:rPr>
        <w:t>财政部下达的绩效目标未设定质量指标。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eastAsia="仿宋_GB2312"/>
          <w:sz w:val="32"/>
          <w:highlight w:val="none"/>
          <w:lang w:eastAsia="zh-CN"/>
        </w:rPr>
      </w:pPr>
      <w:r>
        <w:rPr>
          <w:sz w:val="32"/>
          <w:highlight w:val="none"/>
        </w:rPr>
        <w:t>（</w:t>
      </w:r>
      <w:r>
        <w:rPr>
          <w:rFonts w:hint="eastAsia"/>
          <w:sz w:val="32"/>
          <w:highlight w:val="none"/>
        </w:rPr>
        <w:t>3</w:t>
      </w:r>
      <w:r>
        <w:rPr>
          <w:sz w:val="32"/>
          <w:highlight w:val="none"/>
        </w:rPr>
        <w:t>）时效指标</w:t>
      </w:r>
      <w:r>
        <w:rPr>
          <w:rFonts w:hint="eastAsia"/>
          <w:sz w:val="32"/>
          <w:highlight w:val="none"/>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rFonts w:hint="eastAsia"/>
          <w:sz w:val="32"/>
          <w:szCs w:val="32"/>
          <w:highlight w:val="none"/>
          <w:lang w:val="en-US" w:eastAsia="zh-CN"/>
        </w:rPr>
        <w:t>财</w:t>
      </w:r>
      <w:r>
        <w:rPr>
          <w:rFonts w:hint="eastAsia"/>
          <w:sz w:val="32"/>
          <w:szCs w:val="32"/>
          <w:highlight w:val="none"/>
        </w:rPr>
        <w:t>政部</w:t>
      </w:r>
      <w:r>
        <w:rPr>
          <w:sz w:val="32"/>
          <w:szCs w:val="32"/>
          <w:highlight w:val="none"/>
        </w:rPr>
        <w:t>随文下达小麦“一喷三防”措施落实完成时限</w:t>
      </w:r>
      <w:r>
        <w:rPr>
          <w:rFonts w:hint="eastAsia"/>
          <w:sz w:val="32"/>
          <w:szCs w:val="32"/>
          <w:highlight w:val="none"/>
        </w:rPr>
        <w:t>指标，指标值为</w:t>
      </w:r>
      <w:r>
        <w:rPr>
          <w:sz w:val="32"/>
          <w:szCs w:val="32"/>
          <w:highlight w:val="none"/>
        </w:rPr>
        <w:t>7月3</w:t>
      </w:r>
      <w:r>
        <w:rPr>
          <w:rFonts w:hint="eastAsia"/>
          <w:sz w:val="32"/>
          <w:szCs w:val="32"/>
          <w:highlight w:val="none"/>
        </w:rPr>
        <w:t>1</w:t>
      </w:r>
      <w:r>
        <w:rPr>
          <w:sz w:val="32"/>
          <w:szCs w:val="32"/>
          <w:highlight w:val="none"/>
        </w:rPr>
        <w:t>日，实际完成7月31日，完成率100%，偏差率0%。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eastAsia="仿宋_GB2312"/>
          <w:sz w:val="32"/>
          <w:highlight w:val="none"/>
          <w:lang w:eastAsia="zh-CN"/>
        </w:rPr>
      </w:pPr>
      <w:r>
        <w:rPr>
          <w:sz w:val="32"/>
          <w:highlight w:val="none"/>
        </w:rPr>
        <w:t>（</w:t>
      </w:r>
      <w:r>
        <w:rPr>
          <w:rFonts w:hint="eastAsia"/>
          <w:sz w:val="32"/>
          <w:highlight w:val="none"/>
        </w:rPr>
        <w:t>4</w:t>
      </w:r>
      <w:r>
        <w:rPr>
          <w:sz w:val="32"/>
          <w:highlight w:val="none"/>
        </w:rPr>
        <w:t>）成本指标</w:t>
      </w:r>
      <w:r>
        <w:rPr>
          <w:rFonts w:hint="eastAsia"/>
          <w:sz w:val="32"/>
          <w:highlight w:val="none"/>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rFonts w:hint="eastAsia"/>
          <w:sz w:val="32"/>
          <w:szCs w:val="32"/>
          <w:highlight w:val="none"/>
        </w:rPr>
        <w:t>财政部</w:t>
      </w:r>
      <w:r>
        <w:rPr>
          <w:sz w:val="32"/>
          <w:highlight w:val="none"/>
        </w:rPr>
        <w:t>随文下达重点作物绿色高产高效项目区节本增效</w:t>
      </w:r>
      <w:r>
        <w:rPr>
          <w:rFonts w:hint="eastAsia"/>
          <w:sz w:val="32"/>
          <w:highlight w:val="none"/>
        </w:rPr>
        <w:t>水平</w:t>
      </w:r>
      <w:r>
        <w:rPr>
          <w:rFonts w:hint="eastAsia"/>
          <w:sz w:val="32"/>
          <w:szCs w:val="32"/>
          <w:highlight w:val="none"/>
        </w:rPr>
        <w:t>指标，指标值为</w:t>
      </w:r>
      <w:r>
        <w:rPr>
          <w:rFonts w:hint="eastAsia"/>
          <w:sz w:val="32"/>
          <w:highlight w:val="none"/>
        </w:rPr>
        <w:t>≥5%</w:t>
      </w:r>
      <w:r>
        <w:rPr>
          <w:sz w:val="32"/>
          <w:highlight w:val="none"/>
        </w:rPr>
        <w:t>，</w:t>
      </w:r>
      <w:r>
        <w:rPr>
          <w:sz w:val="32"/>
          <w:szCs w:val="32"/>
          <w:highlight w:val="none"/>
        </w:rPr>
        <w:t>实际完成5.</w:t>
      </w:r>
      <w:r>
        <w:rPr>
          <w:rFonts w:hint="eastAsia"/>
          <w:sz w:val="32"/>
          <w:szCs w:val="32"/>
          <w:highlight w:val="none"/>
        </w:rPr>
        <w:t>67</w:t>
      </w:r>
      <w:r>
        <w:rPr>
          <w:sz w:val="32"/>
          <w:szCs w:val="32"/>
          <w:highlight w:val="none"/>
        </w:rPr>
        <w:t>%，高于5%，完成率</w:t>
      </w:r>
      <w:r>
        <w:rPr>
          <w:rFonts w:hint="eastAsia"/>
          <w:sz w:val="32"/>
          <w:szCs w:val="32"/>
          <w:highlight w:val="none"/>
        </w:rPr>
        <w:t>113</w:t>
      </w:r>
      <w:r>
        <w:rPr>
          <w:rFonts w:hint="eastAsia"/>
          <w:sz w:val="32"/>
          <w:szCs w:val="32"/>
          <w:highlight w:val="none"/>
          <w:lang w:val="en-US" w:eastAsia="zh-CN"/>
        </w:rPr>
        <w:t>.4</w:t>
      </w:r>
      <w:r>
        <w:rPr>
          <w:sz w:val="32"/>
          <w:szCs w:val="32"/>
          <w:highlight w:val="none"/>
        </w:rPr>
        <w:t>%，偏差率</w:t>
      </w:r>
      <w:r>
        <w:rPr>
          <w:rFonts w:hint="eastAsia"/>
          <w:sz w:val="32"/>
          <w:szCs w:val="32"/>
          <w:highlight w:val="none"/>
        </w:rPr>
        <w:t>13</w:t>
      </w:r>
      <w:r>
        <w:rPr>
          <w:rFonts w:hint="eastAsia"/>
          <w:sz w:val="32"/>
          <w:szCs w:val="32"/>
          <w:highlight w:val="none"/>
          <w:lang w:val="en-US" w:eastAsia="zh-CN"/>
        </w:rPr>
        <w:t>.4</w:t>
      </w:r>
      <w:r>
        <w:rPr>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2.效益指标完成情况分析</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eastAsia="仿宋_GB2312"/>
          <w:sz w:val="32"/>
          <w:szCs w:val="32"/>
          <w:highlight w:val="none"/>
          <w:lang w:eastAsia="zh-CN"/>
        </w:rPr>
      </w:pPr>
      <w:r>
        <w:rPr>
          <w:sz w:val="32"/>
          <w:szCs w:val="32"/>
          <w:highlight w:val="none"/>
        </w:rPr>
        <w:t>（</w:t>
      </w:r>
      <w:r>
        <w:rPr>
          <w:rFonts w:hint="eastAsia"/>
          <w:sz w:val="32"/>
          <w:szCs w:val="32"/>
          <w:highlight w:val="none"/>
        </w:rPr>
        <w:t>1</w:t>
      </w:r>
      <w:r>
        <w:rPr>
          <w:sz w:val="32"/>
          <w:szCs w:val="32"/>
          <w:highlight w:val="none"/>
        </w:rPr>
        <w:t>）社会效益指标</w:t>
      </w:r>
      <w:r>
        <w:rPr>
          <w:rFonts w:hint="eastAsia"/>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sz w:val="32"/>
          <w:szCs w:val="32"/>
          <w:highlight w:val="none"/>
        </w:rPr>
        <w:t>a.</w:t>
      </w:r>
      <w:r>
        <w:rPr>
          <w:rFonts w:hint="eastAsia"/>
          <w:sz w:val="32"/>
          <w:szCs w:val="32"/>
          <w:highlight w:val="none"/>
        </w:rPr>
        <w:t>财政部</w:t>
      </w:r>
      <w:r>
        <w:rPr>
          <w:sz w:val="32"/>
          <w:highlight w:val="none"/>
        </w:rPr>
        <w:t>随文下达集成推广绿色高质高效模式</w:t>
      </w:r>
      <w:r>
        <w:rPr>
          <w:rFonts w:hint="eastAsia"/>
          <w:sz w:val="32"/>
          <w:highlight w:val="none"/>
          <w:lang w:eastAsia="zh-CN"/>
        </w:rPr>
        <w:t>（套）</w:t>
      </w:r>
      <w:r>
        <w:rPr>
          <w:rFonts w:hint="eastAsia"/>
          <w:sz w:val="32"/>
          <w:szCs w:val="32"/>
          <w:highlight w:val="none"/>
        </w:rPr>
        <w:t>指标，指标值为</w:t>
      </w:r>
      <w:r>
        <w:rPr>
          <w:rFonts w:hint="eastAsia"/>
          <w:sz w:val="32"/>
          <w:highlight w:val="none"/>
        </w:rPr>
        <w:t>8</w:t>
      </w:r>
      <w:r>
        <w:rPr>
          <w:sz w:val="32"/>
          <w:highlight w:val="none"/>
        </w:rPr>
        <w:t>套，</w:t>
      </w:r>
      <w:r>
        <w:rPr>
          <w:sz w:val="32"/>
          <w:szCs w:val="32"/>
          <w:highlight w:val="none"/>
        </w:rPr>
        <w:t>实际完成8套，完成率100%，偏差率0%。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rFonts w:hint="eastAsia"/>
          <w:sz w:val="32"/>
          <w:szCs w:val="32"/>
          <w:highlight w:val="none"/>
        </w:rPr>
        <w:t>b.财政部</w:t>
      </w:r>
      <w:r>
        <w:rPr>
          <w:sz w:val="32"/>
          <w:highlight w:val="none"/>
        </w:rPr>
        <w:t>随文下达</w:t>
      </w:r>
      <w:r>
        <w:rPr>
          <w:rFonts w:hint="eastAsia"/>
          <w:sz w:val="32"/>
          <w:highlight w:val="none"/>
        </w:rPr>
        <w:t>资金使用重大违规违纪问题指标，指标值为无，实际完成率100%，偏差率0%。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eastAsia="仿宋_GB2312"/>
          <w:sz w:val="32"/>
          <w:szCs w:val="32"/>
          <w:highlight w:val="none"/>
          <w:lang w:eastAsia="zh-CN"/>
        </w:rPr>
      </w:pPr>
      <w:r>
        <w:rPr>
          <w:sz w:val="32"/>
          <w:szCs w:val="32"/>
          <w:highlight w:val="none"/>
        </w:rPr>
        <w:t>（</w:t>
      </w:r>
      <w:r>
        <w:rPr>
          <w:rFonts w:hint="eastAsia"/>
          <w:sz w:val="32"/>
          <w:szCs w:val="32"/>
          <w:highlight w:val="none"/>
        </w:rPr>
        <w:t>2</w:t>
      </w:r>
      <w:r>
        <w:rPr>
          <w:sz w:val="32"/>
          <w:szCs w:val="32"/>
          <w:highlight w:val="none"/>
        </w:rPr>
        <w:t>）生态效益指标</w:t>
      </w:r>
      <w:r>
        <w:rPr>
          <w:rFonts w:hint="eastAsia"/>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highlight w:val="none"/>
        </w:rPr>
      </w:pPr>
      <w:r>
        <w:rPr>
          <w:rFonts w:hint="eastAsia"/>
          <w:sz w:val="32"/>
          <w:szCs w:val="32"/>
          <w:highlight w:val="none"/>
        </w:rPr>
        <w:t>财政部</w:t>
      </w:r>
      <w:r>
        <w:rPr>
          <w:sz w:val="32"/>
          <w:highlight w:val="none"/>
        </w:rPr>
        <w:t>随文下达重点作物绿色高产高效项目区病虫害危害损失率</w:t>
      </w:r>
      <w:r>
        <w:rPr>
          <w:rFonts w:hint="eastAsia"/>
          <w:sz w:val="32"/>
          <w:szCs w:val="32"/>
          <w:highlight w:val="none"/>
        </w:rPr>
        <w:t>指标，指标值为</w:t>
      </w:r>
      <w:r>
        <w:rPr>
          <w:rFonts w:hint="eastAsia"/>
          <w:sz w:val="32"/>
          <w:highlight w:val="none"/>
          <w:lang w:eastAsia="zh-CN"/>
        </w:rPr>
        <w:t>＜</w:t>
      </w:r>
      <w:r>
        <w:rPr>
          <w:sz w:val="32"/>
          <w:highlight w:val="none"/>
        </w:rPr>
        <w:t>5%，实际完成4</w:t>
      </w:r>
      <w:r>
        <w:rPr>
          <w:rFonts w:hint="eastAsia"/>
          <w:sz w:val="32"/>
          <w:highlight w:val="none"/>
        </w:rPr>
        <w:t>.4</w:t>
      </w:r>
      <w:r>
        <w:rPr>
          <w:sz w:val="32"/>
          <w:highlight w:val="none"/>
        </w:rPr>
        <w:t>%，低于</w:t>
      </w:r>
      <w:r>
        <w:rPr>
          <w:sz w:val="32"/>
          <w:szCs w:val="32"/>
          <w:highlight w:val="none"/>
        </w:rPr>
        <w:t>5%，完成率</w:t>
      </w:r>
      <w:r>
        <w:rPr>
          <w:rFonts w:hint="eastAsia"/>
          <w:sz w:val="32"/>
          <w:szCs w:val="32"/>
          <w:highlight w:val="none"/>
          <w:lang w:val="en-US" w:eastAsia="zh-CN"/>
        </w:rPr>
        <w:t>100</w:t>
      </w:r>
      <w:r>
        <w:rPr>
          <w:sz w:val="32"/>
          <w:szCs w:val="32"/>
          <w:highlight w:val="none"/>
        </w:rPr>
        <w:t>%，偏差率</w:t>
      </w:r>
      <w:r>
        <w:rPr>
          <w:rFonts w:hint="eastAsia"/>
          <w:sz w:val="32"/>
          <w:szCs w:val="32"/>
          <w:highlight w:val="none"/>
          <w:lang w:val="en-US" w:eastAsia="zh-CN"/>
        </w:rPr>
        <w:t>0</w:t>
      </w:r>
      <w:r>
        <w:rPr>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3.满意度指标完成情况分析</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highlight w:val="none"/>
        </w:rPr>
      </w:pPr>
      <w:r>
        <w:rPr>
          <w:rFonts w:hint="eastAsia"/>
          <w:sz w:val="32"/>
          <w:szCs w:val="32"/>
          <w:highlight w:val="none"/>
          <w:lang w:val="en-US" w:eastAsia="zh-CN"/>
        </w:rPr>
        <w:t>财</w:t>
      </w:r>
      <w:r>
        <w:rPr>
          <w:rFonts w:hint="eastAsia"/>
          <w:sz w:val="32"/>
          <w:szCs w:val="32"/>
          <w:highlight w:val="none"/>
        </w:rPr>
        <w:t>政部</w:t>
      </w:r>
      <w:r>
        <w:rPr>
          <w:sz w:val="32"/>
          <w:highlight w:val="none"/>
        </w:rPr>
        <w:t>随文下达指导服务对象满意度</w:t>
      </w:r>
      <w:r>
        <w:rPr>
          <w:rFonts w:hint="eastAsia"/>
          <w:sz w:val="32"/>
          <w:szCs w:val="32"/>
          <w:highlight w:val="none"/>
        </w:rPr>
        <w:t>指标，指标值为</w:t>
      </w:r>
      <w:r>
        <w:rPr>
          <w:sz w:val="32"/>
          <w:highlight w:val="none"/>
        </w:rPr>
        <w:t>≥</w:t>
      </w:r>
      <w:r>
        <w:rPr>
          <w:rFonts w:hint="eastAsia"/>
          <w:sz w:val="32"/>
          <w:highlight w:val="none"/>
        </w:rPr>
        <w:t>90</w:t>
      </w:r>
      <w:r>
        <w:rPr>
          <w:sz w:val="32"/>
          <w:highlight w:val="none"/>
        </w:rPr>
        <w:t>%，实际完成90%，完成率100%，偏差率0%。</w:t>
      </w:r>
    </w:p>
    <w:p>
      <w:pPr>
        <w:keepNext w:val="0"/>
        <w:keepLines w:val="0"/>
        <w:pageBreakBefore w:val="0"/>
        <w:widowControl w:val="0"/>
        <w:numPr>
          <w:ilvl w:val="0"/>
          <w:numId w:val="1"/>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eastAsia="黑体"/>
          <w:bCs/>
          <w:sz w:val="32"/>
          <w:szCs w:val="32"/>
          <w:highlight w:val="none"/>
        </w:rPr>
      </w:pPr>
      <w:r>
        <w:rPr>
          <w:rFonts w:eastAsia="黑体"/>
          <w:bCs/>
          <w:sz w:val="32"/>
          <w:szCs w:val="32"/>
          <w:highlight w:val="none"/>
        </w:rPr>
        <w:t>偏离绩效目标的原因和下一步改进措施</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2" w:firstLineChars="200"/>
        <w:textAlignment w:val="auto"/>
        <w:rPr>
          <w:rFonts w:hint="eastAsia" w:eastAsia="仿宋_GB2312"/>
          <w:b/>
          <w:bCs/>
          <w:sz w:val="32"/>
          <w:szCs w:val="32"/>
          <w:highlight w:val="none"/>
          <w:lang w:eastAsia="zh-CN"/>
        </w:rPr>
      </w:pPr>
      <w:r>
        <w:rPr>
          <w:rFonts w:hint="eastAsia"/>
          <w:b/>
          <w:bCs/>
          <w:sz w:val="32"/>
          <w:szCs w:val="32"/>
          <w:highlight w:val="none"/>
          <w:lang w:eastAsia="zh-CN"/>
        </w:rPr>
        <w:t>（一）</w:t>
      </w:r>
      <w:r>
        <w:rPr>
          <w:b/>
          <w:bCs/>
          <w:sz w:val="32"/>
          <w:szCs w:val="32"/>
          <w:highlight w:val="none"/>
        </w:rPr>
        <w:t>偏离的绩效目标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
          <w:sz w:val="32"/>
          <w:szCs w:val="32"/>
          <w:highlight w:val="none"/>
        </w:rPr>
      </w:pPr>
      <w:r>
        <w:rPr>
          <w:rFonts w:hint="eastAsia" w:ascii="Times New Roman" w:hAnsi="Times New Roman" w:eastAsia="仿宋_GB2312" w:cs="Times New Roman"/>
          <w:b w:val="0"/>
          <w:bCs w:val="0"/>
          <w:sz w:val="32"/>
          <w:szCs w:val="36"/>
          <w:highlight w:val="none"/>
          <w:lang w:val="en-US" w:eastAsia="zh-CN"/>
        </w:rPr>
        <w:t>自治区农业农村厅经过自评</w:t>
      </w:r>
      <w:r>
        <w:rPr>
          <w:rFonts w:hint="eastAsia" w:ascii="Times New Roman" w:hAnsi="Times New Roman" w:cs="Times New Roman"/>
          <w:b w:val="0"/>
          <w:bCs w:val="0"/>
          <w:sz w:val="32"/>
          <w:szCs w:val="36"/>
          <w:highlight w:val="none"/>
          <w:lang w:val="en-US" w:eastAsia="zh-CN"/>
        </w:rPr>
        <w:t>，</w:t>
      </w:r>
      <w:r>
        <w:rPr>
          <w:rFonts w:hint="eastAsia"/>
          <w:sz w:val="32"/>
          <w:szCs w:val="36"/>
          <w:highlight w:val="none"/>
        </w:rPr>
        <w:t>2024年粮油生产保障资金</w:t>
      </w:r>
      <w:r>
        <w:rPr>
          <w:rFonts w:hint="eastAsia"/>
          <w:sz w:val="32"/>
          <w:szCs w:val="36"/>
          <w:highlight w:val="none"/>
          <w:lang w:eastAsia="zh-CN"/>
        </w:rPr>
        <w:t>项目按照财政部设定的</w:t>
      </w:r>
      <w:r>
        <w:rPr>
          <w:rFonts w:hint="eastAsia" w:ascii="仿宋_GB2312" w:hAnsi="仿宋"/>
          <w:sz w:val="32"/>
          <w:szCs w:val="32"/>
          <w:highlight w:val="none"/>
        </w:rPr>
        <w:t>绩效目标均已全部完成，未出现偏离情况。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2" w:firstLineChars="200"/>
        <w:textAlignment w:val="auto"/>
        <w:rPr>
          <w:rFonts w:hint="eastAsia" w:eastAsia="仿宋_GB2312"/>
          <w:b/>
          <w:bCs/>
          <w:sz w:val="32"/>
          <w:szCs w:val="32"/>
          <w:highlight w:val="none"/>
          <w:lang w:eastAsia="zh-CN"/>
        </w:rPr>
      </w:pPr>
      <w:r>
        <w:rPr>
          <w:rFonts w:hint="eastAsia"/>
          <w:b/>
          <w:bCs/>
          <w:sz w:val="32"/>
          <w:szCs w:val="32"/>
          <w:highlight w:val="none"/>
          <w:lang w:eastAsia="zh-CN"/>
        </w:rPr>
        <w:t>（二）</w:t>
      </w:r>
      <w:r>
        <w:rPr>
          <w:b/>
          <w:bCs/>
          <w:sz w:val="32"/>
          <w:szCs w:val="32"/>
          <w:highlight w:val="none"/>
        </w:rPr>
        <w:t>下一步改进措施</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1.项目实施过程中存在不足。</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sz w:val="32"/>
          <w:szCs w:val="32"/>
          <w:highlight w:val="none"/>
          <w:lang w:val="en-US" w:eastAsia="zh-CN"/>
        </w:rPr>
      </w:pPr>
      <w:r>
        <w:rPr>
          <w:rFonts w:hint="eastAsia"/>
          <w:sz w:val="32"/>
          <w:szCs w:val="32"/>
          <w:highlight w:val="none"/>
          <w:lang w:val="en-US" w:eastAsia="zh-CN"/>
        </w:rPr>
        <w:t>（1）项目管理水平有待提高：项目审批流程繁琐，时效性不足，影响项目实施进度。</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sz w:val="32"/>
          <w:szCs w:val="32"/>
          <w:highlight w:val="none"/>
          <w:lang w:val="en-US" w:eastAsia="zh-CN"/>
        </w:rPr>
      </w:pPr>
      <w:r>
        <w:rPr>
          <w:rFonts w:hint="eastAsia"/>
          <w:sz w:val="32"/>
          <w:szCs w:val="32"/>
          <w:highlight w:val="none"/>
          <w:lang w:val="en-US" w:eastAsia="zh-CN"/>
        </w:rPr>
        <w:t>（2）政策宣传力度有待加强：部分农民对政策了解不足，参与积极性不高。政策宣传方式单一，缺乏针对性和有效性。</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2"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2.下一步工作实施改进措施。</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1</w:t>
      </w:r>
      <w:r>
        <w:rPr>
          <w:rFonts w:hint="eastAsia"/>
          <w:sz w:val="32"/>
          <w:szCs w:val="32"/>
          <w:highlight w:val="none"/>
          <w:lang w:eastAsia="zh-CN"/>
        </w:rPr>
        <w:t>）提升项目管理水平：简化审批流程，提高效率，推行网上审批、并联审批等模式，缩短审批时间。加强项目监管，确保资金安全，建立健全监管机制，强化审计监督，严肃查处违规行为。</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2</w:t>
      </w:r>
      <w:r>
        <w:rPr>
          <w:rFonts w:hint="eastAsia"/>
          <w:sz w:val="32"/>
          <w:szCs w:val="32"/>
          <w:highlight w:val="none"/>
          <w:lang w:eastAsia="zh-CN"/>
        </w:rPr>
        <w:t>）完善项目绩效评价体系：建立科学合理的评价指标体系，强化评价结果运用，提高资金使用效益。</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highlight w:val="none"/>
        </w:rPr>
      </w:pPr>
      <w:r>
        <w:rPr>
          <w:sz w:val="32"/>
          <w:szCs w:val="32"/>
          <w:highlight w:val="none"/>
        </w:rPr>
        <w:t>自治区农业农村厅将</w:t>
      </w:r>
      <w:r>
        <w:rPr>
          <w:rFonts w:hint="eastAsia"/>
          <w:sz w:val="32"/>
          <w:szCs w:val="32"/>
          <w:highlight w:val="none"/>
        </w:rPr>
        <w:t>进一步</w:t>
      </w:r>
      <w:r>
        <w:rPr>
          <w:sz w:val="32"/>
          <w:szCs w:val="32"/>
          <w:highlight w:val="none"/>
        </w:rPr>
        <w:t>加强资金使用的督导、推动专项任务按时完成</w:t>
      </w:r>
      <w:bookmarkStart w:id="1" w:name="_Hlk36400345"/>
      <w:r>
        <w:rPr>
          <w:sz w:val="32"/>
          <w:szCs w:val="32"/>
          <w:highlight w:val="none"/>
        </w:rPr>
        <w:t>、强化绩效目标管理</w:t>
      </w:r>
      <w:bookmarkEnd w:id="1"/>
      <w:r>
        <w:rPr>
          <w:sz w:val="32"/>
          <w:szCs w:val="32"/>
          <w:highlight w:val="none"/>
        </w:rPr>
        <w:t>、提升沟通协调能力等方面有序开展工作，根据实际情况，确保专项补助资金按相关要求执行，进一步提高中央财政相关农业转移支付资金的使用效益。及时调度各类项目开复工及项目实施进度情况，梳理总结项目执行存在的问题，压实各环节责任，进一步加快项目实施进度和资金支出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四、绩效自评结果拟应用和公开情况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rFonts w:hint="eastAsia"/>
          <w:sz w:val="32"/>
          <w:szCs w:val="32"/>
          <w:highlight w:val="none"/>
          <w:lang w:eastAsia="zh-CN"/>
        </w:rPr>
        <w:t>（一）</w:t>
      </w:r>
      <w:r>
        <w:rPr>
          <w:sz w:val="32"/>
          <w:szCs w:val="32"/>
          <w:highlight w:val="none"/>
        </w:rPr>
        <w:t>按照财政部《项目支出绩效评价管理办法》（财预〔2020〕10号）规定，单位自评标准是：预算执行10分，产出指标50分，效益指标30分，服务对象满意度指标10分。经自评，202</w:t>
      </w:r>
      <w:r>
        <w:rPr>
          <w:rFonts w:hint="eastAsia"/>
          <w:sz w:val="32"/>
          <w:szCs w:val="32"/>
          <w:highlight w:val="none"/>
        </w:rPr>
        <w:t>4</w:t>
      </w:r>
      <w:r>
        <w:rPr>
          <w:sz w:val="32"/>
          <w:szCs w:val="32"/>
          <w:highlight w:val="none"/>
        </w:rPr>
        <w:t>年度粮油生产保障资金项目综合评价自评得分为</w:t>
      </w:r>
      <w:r>
        <w:rPr>
          <w:rFonts w:hint="eastAsia"/>
          <w:sz w:val="32"/>
          <w:szCs w:val="32"/>
          <w:highlight w:val="none"/>
        </w:rPr>
        <w:t>9</w:t>
      </w:r>
      <w:r>
        <w:rPr>
          <w:rFonts w:hint="eastAsia"/>
          <w:sz w:val="32"/>
          <w:szCs w:val="32"/>
          <w:highlight w:val="none"/>
          <w:lang w:val="en-US" w:eastAsia="zh-CN"/>
        </w:rPr>
        <w:t>8.91</w:t>
      </w:r>
      <w:r>
        <w:rPr>
          <w:sz w:val="32"/>
          <w:szCs w:val="32"/>
          <w:highlight w:val="none"/>
        </w:rPr>
        <w:t>分，其中：预算执行</w:t>
      </w:r>
      <w:r>
        <w:rPr>
          <w:rFonts w:hint="eastAsia"/>
          <w:sz w:val="32"/>
          <w:szCs w:val="32"/>
          <w:highlight w:val="none"/>
        </w:rPr>
        <w:t>8.</w:t>
      </w:r>
      <w:r>
        <w:rPr>
          <w:rFonts w:hint="eastAsia"/>
          <w:sz w:val="32"/>
          <w:szCs w:val="32"/>
          <w:highlight w:val="none"/>
          <w:lang w:val="en-US" w:eastAsia="zh-CN"/>
        </w:rPr>
        <w:t>91</w:t>
      </w:r>
      <w:r>
        <w:rPr>
          <w:sz w:val="32"/>
          <w:szCs w:val="32"/>
          <w:highlight w:val="none"/>
        </w:rPr>
        <w:t>分、产出指标</w:t>
      </w:r>
      <w:r>
        <w:rPr>
          <w:rFonts w:hint="eastAsia"/>
          <w:sz w:val="32"/>
          <w:szCs w:val="32"/>
          <w:highlight w:val="none"/>
        </w:rPr>
        <w:t>50</w:t>
      </w:r>
      <w:r>
        <w:rPr>
          <w:sz w:val="32"/>
          <w:szCs w:val="32"/>
          <w:highlight w:val="none"/>
        </w:rPr>
        <w:t>分、效益指标</w:t>
      </w:r>
      <w:r>
        <w:rPr>
          <w:rFonts w:hint="eastAsia"/>
          <w:sz w:val="32"/>
          <w:szCs w:val="32"/>
          <w:highlight w:val="none"/>
        </w:rPr>
        <w:t>30</w:t>
      </w:r>
      <w:r>
        <w:rPr>
          <w:sz w:val="32"/>
          <w:szCs w:val="32"/>
          <w:highlight w:val="none"/>
        </w:rPr>
        <w:t>分、服务对象满意度指标</w:t>
      </w:r>
      <w:r>
        <w:rPr>
          <w:rFonts w:hint="eastAsia"/>
          <w:sz w:val="32"/>
          <w:szCs w:val="32"/>
          <w:highlight w:val="none"/>
        </w:rPr>
        <w:t>10</w:t>
      </w:r>
      <w:r>
        <w:rPr>
          <w:sz w:val="32"/>
          <w:szCs w:val="32"/>
          <w:highlight w:val="none"/>
        </w:rPr>
        <w:t>分，自评结果为“</w:t>
      </w:r>
      <w:r>
        <w:rPr>
          <w:rFonts w:hint="eastAsia"/>
          <w:sz w:val="32"/>
          <w:szCs w:val="32"/>
          <w:highlight w:val="none"/>
        </w:rPr>
        <w:t>优</w:t>
      </w:r>
      <w:r>
        <w:rPr>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rFonts w:hint="eastAsia"/>
          <w:sz w:val="32"/>
          <w:szCs w:val="32"/>
          <w:highlight w:val="none"/>
          <w:lang w:eastAsia="zh-CN"/>
        </w:rPr>
        <w:t>（二）</w:t>
      </w:r>
      <w:r>
        <w:rPr>
          <w:rFonts w:hint="eastAsia"/>
          <w:sz w:val="32"/>
          <w:szCs w:val="32"/>
          <w:highlight w:val="none"/>
        </w:rPr>
        <w:t>自治区农业农村厅</w:t>
      </w:r>
      <w:r>
        <w:rPr>
          <w:sz w:val="32"/>
          <w:szCs w:val="32"/>
          <w:highlight w:val="none"/>
        </w:rPr>
        <w:t>高度重视绩效评价结果的应用工作，积极探索和建立与预算管理相结合的有效机制，着力提高绩效意识和财政资金使用效益</w:t>
      </w:r>
      <w:r>
        <w:rPr>
          <w:rFonts w:hint="eastAsia"/>
          <w:sz w:val="32"/>
          <w:szCs w:val="32"/>
          <w:highlight w:val="none"/>
        </w:rPr>
        <w:t>。粮油生产保障</w:t>
      </w:r>
      <w:r>
        <w:rPr>
          <w:sz w:val="32"/>
          <w:szCs w:val="32"/>
          <w:highlight w:val="none"/>
        </w:rPr>
        <w:t>转移支付资金</w:t>
      </w:r>
      <w:r>
        <w:rPr>
          <w:rFonts w:hint="eastAsia"/>
          <w:sz w:val="32"/>
          <w:szCs w:val="32"/>
          <w:highlight w:val="none"/>
        </w:rPr>
        <w:t>的</w:t>
      </w:r>
      <w:r>
        <w:rPr>
          <w:sz w:val="32"/>
          <w:szCs w:val="32"/>
          <w:highlight w:val="none"/>
        </w:rPr>
        <w:t>绩效自评价结果、执行情况等将作为下一年安排项目资金的依据，对于绩效自评差的、执行进度慢的地州，</w:t>
      </w:r>
      <w:r>
        <w:rPr>
          <w:rFonts w:hint="eastAsia"/>
          <w:sz w:val="32"/>
          <w:szCs w:val="32"/>
          <w:highlight w:val="none"/>
        </w:rPr>
        <w:t>将</w:t>
      </w:r>
      <w:r>
        <w:rPr>
          <w:sz w:val="32"/>
          <w:szCs w:val="32"/>
          <w:highlight w:val="none"/>
        </w:rPr>
        <w:t>在分配下一年度资金时</w:t>
      </w:r>
      <w:r>
        <w:rPr>
          <w:rFonts w:hint="eastAsia"/>
          <w:sz w:val="32"/>
          <w:szCs w:val="32"/>
          <w:highlight w:val="none"/>
        </w:rPr>
        <w:t>酌情</w:t>
      </w:r>
      <w:r>
        <w:rPr>
          <w:sz w:val="32"/>
          <w:szCs w:val="32"/>
          <w:highlight w:val="none"/>
        </w:rPr>
        <w:t>扣减。同时将不断提升预算管理水平，进一步夯实业务基础，提高我单位绩效人员水平。专门设定对绩效工作人员定职、定岗、定责等相关制度措施，进一步提升我单位绩效管理工作业务水平，扎实做好绩效管理工作。</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rFonts w:hint="eastAsia"/>
          <w:sz w:val="32"/>
          <w:szCs w:val="32"/>
          <w:highlight w:val="none"/>
          <w:lang w:eastAsia="zh-CN"/>
        </w:rPr>
        <w:t>（三）</w:t>
      </w:r>
      <w:r>
        <w:rPr>
          <w:sz w:val="32"/>
          <w:szCs w:val="32"/>
          <w:highlight w:val="none"/>
        </w:rPr>
        <w:t>评价结果将在</w:t>
      </w:r>
      <w:r>
        <w:rPr>
          <w:rFonts w:hint="eastAsia"/>
          <w:sz w:val="32"/>
          <w:szCs w:val="32"/>
          <w:highlight w:val="none"/>
        </w:rPr>
        <w:t>自治区农业农村厅、自治区财政厅</w:t>
      </w:r>
      <w:r>
        <w:rPr>
          <w:sz w:val="32"/>
          <w:szCs w:val="32"/>
          <w:highlight w:val="none"/>
        </w:rPr>
        <w:t>门户网站进行公示公开，广泛接受社会监督。</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eastAsia="黑体"/>
          <w:sz w:val="32"/>
          <w:szCs w:val="32"/>
          <w:highlight w:val="none"/>
        </w:rPr>
      </w:pPr>
      <w:r>
        <w:rPr>
          <w:rFonts w:eastAsia="黑体"/>
          <w:sz w:val="32"/>
          <w:szCs w:val="32"/>
          <w:highlight w:val="none"/>
        </w:rPr>
        <w:t>五、其他需要说明的问题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sz w:val="32"/>
          <w:szCs w:val="32"/>
          <w:highlight w:val="none"/>
        </w:rPr>
        <w:t>中央巡视、各级审计和财政监督中未发现问题。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rFonts w:eastAsia="黑体"/>
          <w:sz w:val="32"/>
          <w:szCs w:val="32"/>
          <w:highlight w:val="none"/>
        </w:rPr>
      </w:pPr>
      <w:r>
        <w:rPr>
          <w:rFonts w:hint="eastAsia" w:eastAsia="黑体"/>
          <w:sz w:val="32"/>
          <w:szCs w:val="32"/>
          <w:highlight w:val="none"/>
        </w:rPr>
        <w:t>六</w:t>
      </w:r>
      <w:r>
        <w:rPr>
          <w:rFonts w:eastAsia="黑体"/>
          <w:sz w:val="32"/>
          <w:szCs w:val="32"/>
          <w:highlight w:val="none"/>
        </w:rPr>
        <w:t>、附件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after="0" w:line="560" w:lineRule="exact"/>
        <w:ind w:firstLine="640" w:firstLineChars="200"/>
        <w:textAlignment w:val="auto"/>
        <w:rPr>
          <w:sz w:val="32"/>
          <w:szCs w:val="32"/>
          <w:highlight w:val="none"/>
        </w:rPr>
      </w:pPr>
      <w:r>
        <w:rPr>
          <w:rFonts w:hint="eastAsia"/>
          <w:sz w:val="32"/>
          <w:szCs w:val="32"/>
          <w:highlight w:val="none"/>
          <w:lang w:eastAsia="zh-CN"/>
        </w:rPr>
        <w:t>附件：</w:t>
      </w:r>
      <w:r>
        <w:rPr>
          <w:sz w:val="32"/>
          <w:szCs w:val="32"/>
          <w:highlight w:val="none"/>
        </w:rPr>
        <w:t>202</w:t>
      </w:r>
      <w:r>
        <w:rPr>
          <w:rFonts w:hint="eastAsia"/>
          <w:sz w:val="32"/>
          <w:szCs w:val="32"/>
          <w:highlight w:val="none"/>
        </w:rPr>
        <w:t>4</w:t>
      </w:r>
      <w:r>
        <w:rPr>
          <w:sz w:val="32"/>
          <w:szCs w:val="32"/>
          <w:highlight w:val="none"/>
        </w:rPr>
        <w:t>年中央对地方专项转移支付绩效目标自评表（粮油生产保障资金）</w:t>
      </w:r>
    </w:p>
    <w:p>
      <w:pPr>
        <w:pStyle w:val="11"/>
        <w:ind w:left="600" w:firstLine="600"/>
        <w:rPr>
          <w:rFonts w:ascii="Times New Roman" w:hAnsi="Times New Roman"/>
          <w:highlight w:val="none"/>
        </w:rPr>
        <w:sectPr>
          <w:pgSz w:w="11906" w:h="16838"/>
          <w:pgMar w:top="1440" w:right="1800" w:bottom="1440" w:left="1800" w:header="851" w:footer="992" w:gutter="0"/>
          <w:pgNumType w:fmt="decimal"/>
          <w:cols w:space="425" w:num="1"/>
          <w:docGrid w:type="lines" w:linePitch="312" w:charSpace="0"/>
        </w:sectPr>
      </w:pPr>
    </w:p>
    <w:p>
      <w:pPr>
        <w:pStyle w:val="10"/>
        <w:spacing w:line="600" w:lineRule="exact"/>
        <w:ind w:firstLine="0" w:firstLineChars="0"/>
        <w:jc w:val="left"/>
        <w:rPr>
          <w:rFonts w:ascii="Times New Roman" w:hAnsi="Times New Roman" w:cs="Times New Roman"/>
          <w:b/>
          <w:bCs/>
          <w:kern w:val="0"/>
          <w:sz w:val="36"/>
          <w:szCs w:val="36"/>
          <w:highlight w:val="none"/>
          <w:lang w:val="en-US"/>
        </w:rPr>
      </w:pPr>
      <w:r>
        <w:rPr>
          <w:rFonts w:hint="eastAsia" w:ascii="方正黑体_GBK" w:hAnsi="方正黑体_GBK" w:eastAsia="方正黑体_GBK" w:cs="方正黑体_GBK"/>
          <w:kern w:val="0"/>
          <w:sz w:val="32"/>
          <w:highlight w:val="none"/>
          <w:lang w:val="en-US"/>
        </w:rPr>
        <w:t>附件：</w:t>
      </w:r>
    </w:p>
    <w:p>
      <w:pPr>
        <w:pStyle w:val="10"/>
        <w:spacing w:line="600" w:lineRule="exact"/>
        <w:ind w:firstLine="722" w:firstLineChars="200"/>
        <w:jc w:val="center"/>
        <w:rPr>
          <w:rFonts w:ascii="Times New Roman" w:hAnsi="Times New Roman" w:cs="Times New Roman"/>
          <w:b/>
          <w:bCs/>
          <w:kern w:val="0"/>
          <w:sz w:val="36"/>
          <w:szCs w:val="36"/>
          <w:highlight w:val="none"/>
          <w:lang w:val="en-US"/>
        </w:rPr>
      </w:pPr>
      <w:r>
        <w:rPr>
          <w:rFonts w:hint="eastAsia" w:ascii="Times New Roman" w:hAnsi="Times New Roman" w:cs="Times New Roman"/>
          <w:b/>
          <w:bCs/>
          <w:kern w:val="0"/>
          <w:sz w:val="36"/>
          <w:szCs w:val="36"/>
          <w:highlight w:val="none"/>
          <w:lang w:val="en-US"/>
        </w:rPr>
        <w:t>2024年中央对地方专项转移支付绩效目标</w:t>
      </w:r>
    </w:p>
    <w:p>
      <w:pPr>
        <w:pStyle w:val="10"/>
        <w:spacing w:line="600" w:lineRule="exact"/>
        <w:ind w:firstLine="722" w:firstLineChars="200"/>
        <w:jc w:val="center"/>
        <w:rPr>
          <w:rFonts w:ascii="Times New Roman" w:hAnsi="Times New Roman" w:cs="Times New Roman"/>
          <w:b/>
          <w:bCs/>
          <w:kern w:val="0"/>
          <w:sz w:val="36"/>
          <w:szCs w:val="36"/>
          <w:highlight w:val="none"/>
          <w:lang w:val="en-US"/>
        </w:rPr>
      </w:pPr>
      <w:r>
        <w:rPr>
          <w:rFonts w:hint="eastAsia" w:ascii="Times New Roman" w:hAnsi="Times New Roman" w:cs="Times New Roman"/>
          <w:b/>
          <w:bCs/>
          <w:kern w:val="0"/>
          <w:sz w:val="36"/>
          <w:szCs w:val="36"/>
          <w:highlight w:val="none"/>
          <w:lang w:val="en-US"/>
        </w:rPr>
        <w:t>自评表（粮油生产保障资金）</w:t>
      </w:r>
    </w:p>
    <w:tbl>
      <w:tblPr>
        <w:tblStyle w:val="12"/>
        <w:tblW w:w="5318" w:type="pct"/>
        <w:tblInd w:w="0" w:type="dxa"/>
        <w:tblLayout w:type="fixed"/>
        <w:tblCellMar>
          <w:top w:w="0" w:type="dxa"/>
          <w:left w:w="108" w:type="dxa"/>
          <w:bottom w:w="0" w:type="dxa"/>
          <w:right w:w="108" w:type="dxa"/>
        </w:tblCellMar>
      </w:tblPr>
      <w:tblGrid>
        <w:gridCol w:w="677"/>
        <w:gridCol w:w="1383"/>
        <w:gridCol w:w="1402"/>
        <w:gridCol w:w="1379"/>
        <w:gridCol w:w="1634"/>
        <w:gridCol w:w="1362"/>
        <w:gridCol w:w="1235"/>
      </w:tblGrid>
      <w:tr>
        <w:tblPrEx>
          <w:tblCellMar>
            <w:top w:w="0" w:type="dxa"/>
            <w:left w:w="108" w:type="dxa"/>
            <w:bottom w:w="0" w:type="dxa"/>
            <w:right w:w="108" w:type="dxa"/>
          </w:tblCellMar>
        </w:tblPrEx>
        <w:trPr>
          <w:trHeight w:val="521" w:hRule="atLeast"/>
        </w:trPr>
        <w:tc>
          <w:tcPr>
            <w:tcW w:w="1135"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转移支付（项目）名称</w:t>
            </w:r>
          </w:p>
        </w:tc>
        <w:tc>
          <w:tcPr>
            <w:tcW w:w="3864" w:type="pct"/>
            <w:gridSpan w:val="5"/>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粮油生产保障资金</w:t>
            </w:r>
          </w:p>
        </w:tc>
      </w:tr>
      <w:tr>
        <w:tblPrEx>
          <w:tblCellMar>
            <w:top w:w="0" w:type="dxa"/>
            <w:left w:w="108" w:type="dxa"/>
            <w:bottom w:w="0" w:type="dxa"/>
            <w:right w:w="108" w:type="dxa"/>
          </w:tblCellMar>
        </w:tblPrEx>
        <w:trPr>
          <w:trHeight w:val="521"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3864"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r>
      <w:tr>
        <w:tblPrEx>
          <w:tblCellMar>
            <w:top w:w="0" w:type="dxa"/>
            <w:left w:w="108" w:type="dxa"/>
            <w:bottom w:w="0" w:type="dxa"/>
            <w:right w:w="108" w:type="dxa"/>
          </w:tblCellMar>
        </w:tblPrEx>
        <w:trPr>
          <w:trHeight w:val="280" w:hRule="atLeast"/>
        </w:trPr>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中央主管部门</w:t>
            </w:r>
          </w:p>
        </w:tc>
        <w:tc>
          <w:tcPr>
            <w:tcW w:w="3864"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财政部、农业农村部</w:t>
            </w:r>
          </w:p>
        </w:tc>
      </w:tr>
      <w:tr>
        <w:tblPrEx>
          <w:tblCellMar>
            <w:top w:w="0" w:type="dxa"/>
            <w:left w:w="108" w:type="dxa"/>
            <w:bottom w:w="0" w:type="dxa"/>
            <w:right w:w="108" w:type="dxa"/>
          </w:tblCellMar>
        </w:tblPrEx>
        <w:trPr>
          <w:trHeight w:val="280" w:hRule="atLeast"/>
        </w:trPr>
        <w:tc>
          <w:tcPr>
            <w:tcW w:w="113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地方主管部门</w:t>
            </w:r>
          </w:p>
        </w:tc>
        <w:tc>
          <w:tcPr>
            <w:tcW w:w="15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自治区财政厅、农业农村厅</w:t>
            </w:r>
          </w:p>
        </w:tc>
        <w:tc>
          <w:tcPr>
            <w:tcW w:w="9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资金使用单位</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县市农业农村局</w:t>
            </w:r>
          </w:p>
        </w:tc>
      </w:tr>
      <w:tr>
        <w:tblPrEx>
          <w:tblCellMar>
            <w:top w:w="0" w:type="dxa"/>
            <w:left w:w="108" w:type="dxa"/>
            <w:bottom w:w="0" w:type="dxa"/>
            <w:right w:w="108" w:type="dxa"/>
          </w:tblCellMar>
        </w:tblPrEx>
        <w:trPr>
          <w:trHeight w:val="464" w:hRule="atLeast"/>
        </w:trPr>
        <w:tc>
          <w:tcPr>
            <w:tcW w:w="1135"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资金投入情况</w:t>
            </w:r>
            <w:r>
              <w:rPr>
                <w:rFonts w:eastAsia="宋体"/>
                <w:color w:val="000000"/>
                <w:kern w:val="0"/>
                <w:sz w:val="16"/>
                <w:szCs w:val="16"/>
                <w:highlight w:val="none"/>
                <w:lang w:bidi="ar"/>
              </w:rPr>
              <w:br w:type="textWrapping"/>
            </w:r>
            <w:r>
              <w:rPr>
                <w:rFonts w:eastAsia="宋体"/>
                <w:color w:val="000000"/>
                <w:kern w:val="0"/>
                <w:sz w:val="16"/>
                <w:szCs w:val="16"/>
                <w:highlight w:val="none"/>
                <w:lang w:bidi="ar"/>
              </w:rPr>
              <w:t>（万元）</w:t>
            </w:r>
          </w:p>
        </w:tc>
        <w:tc>
          <w:tcPr>
            <w:tcW w:w="772" w:type="pct"/>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16"/>
                <w:szCs w:val="16"/>
                <w:highlight w:val="none"/>
              </w:rPr>
            </w:pPr>
          </w:p>
        </w:tc>
        <w:tc>
          <w:tcPr>
            <w:tcW w:w="7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全年预算数（A)</w:t>
            </w:r>
          </w:p>
        </w:tc>
        <w:tc>
          <w:tcPr>
            <w:tcW w:w="9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全年执行数（B)</w:t>
            </w:r>
          </w:p>
        </w:tc>
        <w:tc>
          <w:tcPr>
            <w:tcW w:w="143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预算执行率</w:t>
            </w:r>
            <w:r>
              <w:rPr>
                <w:rFonts w:eastAsia="宋体"/>
                <w:color w:val="000000"/>
                <w:kern w:val="0"/>
                <w:sz w:val="16"/>
                <w:szCs w:val="16"/>
                <w:highlight w:val="none"/>
                <w:lang w:bidi="ar"/>
              </w:rPr>
              <w:br w:type="textWrapping"/>
            </w:r>
            <w:r>
              <w:rPr>
                <w:rFonts w:eastAsia="宋体"/>
                <w:color w:val="000000"/>
                <w:kern w:val="0"/>
                <w:sz w:val="16"/>
                <w:szCs w:val="16"/>
                <w:highlight w:val="none"/>
                <w:lang w:bidi="ar"/>
              </w:rPr>
              <w:t>（B/A×100%）</w:t>
            </w:r>
          </w:p>
        </w:tc>
      </w:tr>
      <w:tr>
        <w:tblPrEx>
          <w:tblCellMar>
            <w:top w:w="0" w:type="dxa"/>
            <w:left w:w="108" w:type="dxa"/>
            <w:bottom w:w="0" w:type="dxa"/>
            <w:right w:w="108" w:type="dxa"/>
          </w:tblCellMar>
        </w:tblPrEx>
        <w:trPr>
          <w:trHeight w:val="28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年度资金总额：</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bidi="ar"/>
              </w:rPr>
              <w:t>16817</w:t>
            </w: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宋体"/>
                <w:color w:val="000000"/>
                <w:kern w:val="0"/>
                <w:sz w:val="16"/>
                <w:szCs w:val="16"/>
                <w:highlight w:val="none"/>
                <w:lang w:bidi="ar"/>
              </w:rPr>
            </w:pPr>
            <w:r>
              <w:rPr>
                <w:rFonts w:hint="eastAsia" w:eastAsia="宋体"/>
                <w:color w:val="000000"/>
                <w:kern w:val="0"/>
                <w:sz w:val="16"/>
                <w:szCs w:val="16"/>
                <w:highlight w:val="none"/>
                <w:lang w:bidi="ar"/>
              </w:rPr>
              <w:t>14987.14</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val="en-US" w:eastAsia="zh-CN" w:bidi="ar"/>
              </w:rPr>
              <w:t>89.12</w:t>
            </w:r>
            <w:r>
              <w:rPr>
                <w:rFonts w:eastAsia="宋体"/>
                <w:color w:val="000000"/>
                <w:kern w:val="0"/>
                <w:sz w:val="16"/>
                <w:szCs w:val="16"/>
                <w:highlight w:val="none"/>
                <w:lang w:bidi="ar"/>
              </w:rPr>
              <w:t>%</w:t>
            </w:r>
          </w:p>
        </w:tc>
      </w:tr>
      <w:tr>
        <w:tblPrEx>
          <w:tblCellMar>
            <w:top w:w="0" w:type="dxa"/>
            <w:left w:w="108" w:type="dxa"/>
            <w:bottom w:w="0" w:type="dxa"/>
            <w:right w:w="108" w:type="dxa"/>
          </w:tblCellMar>
        </w:tblPrEx>
        <w:trPr>
          <w:trHeight w:val="28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其中：中央财政资金</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bidi="ar"/>
              </w:rPr>
              <w:t>16817</w:t>
            </w: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bidi="ar"/>
              </w:rPr>
              <w:t>14987.14</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val="en-US" w:eastAsia="zh-CN" w:bidi="ar"/>
              </w:rPr>
              <w:t>89.12</w:t>
            </w:r>
            <w:r>
              <w:rPr>
                <w:rFonts w:eastAsia="宋体"/>
                <w:color w:val="000000"/>
                <w:kern w:val="0"/>
                <w:sz w:val="16"/>
                <w:szCs w:val="16"/>
                <w:highlight w:val="none"/>
                <w:lang w:bidi="ar"/>
              </w:rPr>
              <w:t>%</w:t>
            </w:r>
          </w:p>
        </w:tc>
      </w:tr>
      <w:tr>
        <w:tblPrEx>
          <w:tblCellMar>
            <w:top w:w="0" w:type="dxa"/>
            <w:left w:w="108" w:type="dxa"/>
            <w:bottom w:w="0" w:type="dxa"/>
            <w:right w:w="108" w:type="dxa"/>
          </w:tblCellMar>
        </w:tblPrEx>
        <w:trPr>
          <w:trHeight w:val="28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宋体"/>
                <w:color w:val="000000"/>
                <w:sz w:val="16"/>
                <w:szCs w:val="16"/>
                <w:highlight w:val="none"/>
              </w:rPr>
            </w:pPr>
            <w:r>
              <w:rPr>
                <w:rFonts w:eastAsia="宋体"/>
                <w:color w:val="000000"/>
                <w:kern w:val="0"/>
                <w:sz w:val="16"/>
                <w:szCs w:val="16"/>
                <w:highlight w:val="none"/>
                <w:lang w:bidi="ar"/>
              </w:rPr>
              <w:t>地方资金</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16"/>
                <w:szCs w:val="16"/>
                <w:highlight w:val="none"/>
              </w:rPr>
            </w:pP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16"/>
                <w:szCs w:val="16"/>
                <w:highlight w:val="none"/>
              </w:rPr>
            </w:pP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p>
        </w:tc>
      </w:tr>
      <w:tr>
        <w:tblPrEx>
          <w:tblCellMar>
            <w:top w:w="0" w:type="dxa"/>
            <w:left w:w="108" w:type="dxa"/>
            <w:bottom w:w="0" w:type="dxa"/>
            <w:right w:w="108" w:type="dxa"/>
          </w:tblCellMar>
        </w:tblPrEx>
        <w:trPr>
          <w:trHeight w:val="28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宋体"/>
                <w:color w:val="000000"/>
                <w:sz w:val="16"/>
                <w:szCs w:val="16"/>
                <w:highlight w:val="none"/>
              </w:rPr>
            </w:pPr>
            <w:r>
              <w:rPr>
                <w:rFonts w:eastAsia="宋体"/>
                <w:color w:val="000000"/>
                <w:kern w:val="0"/>
                <w:sz w:val="16"/>
                <w:szCs w:val="16"/>
                <w:highlight w:val="none"/>
                <w:lang w:bidi="ar"/>
              </w:rPr>
              <w:t>其他资金</w:t>
            </w:r>
          </w:p>
        </w:tc>
        <w:tc>
          <w:tcPr>
            <w:tcW w:w="760" w:type="pct"/>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c>
          <w:tcPr>
            <w:tcW w:w="900" w:type="pct"/>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r>
      <w:tr>
        <w:tblPrEx>
          <w:tblCellMar>
            <w:top w:w="0" w:type="dxa"/>
            <w:left w:w="108" w:type="dxa"/>
            <w:bottom w:w="0" w:type="dxa"/>
            <w:right w:w="108" w:type="dxa"/>
          </w:tblCellMar>
        </w:tblPrEx>
        <w:trPr>
          <w:trHeight w:val="280" w:hRule="atLeast"/>
        </w:trPr>
        <w:tc>
          <w:tcPr>
            <w:tcW w:w="1135"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资金管理情况</w:t>
            </w:r>
          </w:p>
        </w:tc>
        <w:tc>
          <w:tcPr>
            <w:tcW w:w="772" w:type="pct"/>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16"/>
                <w:szCs w:val="16"/>
                <w:highlight w:val="none"/>
              </w:rPr>
            </w:pPr>
          </w:p>
        </w:tc>
        <w:tc>
          <w:tcPr>
            <w:tcW w:w="166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情况说明</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存在问题和改进措施</w:t>
            </w:r>
          </w:p>
        </w:tc>
      </w:tr>
      <w:tr>
        <w:tblPrEx>
          <w:tblCellMar>
            <w:top w:w="0" w:type="dxa"/>
            <w:left w:w="108" w:type="dxa"/>
            <w:bottom w:w="0" w:type="dxa"/>
            <w:right w:w="108" w:type="dxa"/>
          </w:tblCellMar>
        </w:tblPrEx>
        <w:trPr>
          <w:trHeight w:val="3261"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分配科学性</w:t>
            </w:r>
          </w:p>
        </w:tc>
        <w:tc>
          <w:tcPr>
            <w:tcW w:w="166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根据《财政部关于下达2024年粮油生产保障资金预算的通知》（财农〔2024〕11号）要求，小麦“一喷三防”补助项目按照各地州市承担小麦种植任务，对补助资金按比例进行核定分配；粮油等重点作物绿色高产高效项目按照农业农村部项目实施要求，结合各地申报意向和专家评审结果，择优确定21个县市作为自治区2024年度绿色高产高效行动县。</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r>
              <w:rPr>
                <w:rFonts w:hint="eastAsia" w:ascii="宋体" w:hAnsi="宋体" w:eastAsia="宋体" w:cs="宋体"/>
                <w:color w:val="000000"/>
                <w:sz w:val="15"/>
                <w:szCs w:val="15"/>
                <w:highlight w:val="none"/>
              </w:rPr>
              <w:t>无</w:t>
            </w:r>
          </w:p>
        </w:tc>
      </w:tr>
      <w:tr>
        <w:tblPrEx>
          <w:tblCellMar>
            <w:top w:w="0" w:type="dxa"/>
            <w:left w:w="108" w:type="dxa"/>
            <w:bottom w:w="0" w:type="dxa"/>
            <w:right w:w="108" w:type="dxa"/>
          </w:tblCellMar>
        </w:tblPrEx>
        <w:trPr>
          <w:trHeight w:val="547"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下达及时性</w:t>
            </w:r>
          </w:p>
        </w:tc>
        <w:tc>
          <w:tcPr>
            <w:tcW w:w="166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2024年4月，财政部下达我区粮油生产保障资金，根据财政部、农业部有关要求，农业农村厅收到资金文件后，在规定时限内（30日内），按管理办法规定提出具体资金分配方案，经厅党组审议同意后，正式行文报财政厅申请下达资金，综上专项资金及时拨付至各地县市，资金分解下达及时</w:t>
            </w:r>
            <w:r>
              <w:rPr>
                <w:rFonts w:hint="eastAsia" w:eastAsia="宋体"/>
                <w:color w:val="000000"/>
                <w:kern w:val="0"/>
                <w:sz w:val="16"/>
                <w:szCs w:val="16"/>
                <w:highlight w:val="none"/>
                <w:lang w:bidi="ar"/>
              </w:rPr>
              <w:t>。</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r>
              <w:rPr>
                <w:rFonts w:hint="eastAsia" w:ascii="宋体" w:hAnsi="宋体" w:eastAsia="宋体" w:cs="宋体"/>
                <w:color w:val="000000"/>
                <w:sz w:val="15"/>
                <w:szCs w:val="15"/>
                <w:highlight w:val="none"/>
              </w:rPr>
              <w:t>无</w:t>
            </w:r>
          </w:p>
        </w:tc>
      </w:tr>
      <w:tr>
        <w:tblPrEx>
          <w:tblCellMar>
            <w:top w:w="0" w:type="dxa"/>
            <w:left w:w="108" w:type="dxa"/>
            <w:bottom w:w="0" w:type="dxa"/>
            <w:right w:w="108" w:type="dxa"/>
          </w:tblCellMar>
        </w:tblPrEx>
        <w:trPr>
          <w:trHeight w:val="4498"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拨付合规性</w:t>
            </w:r>
          </w:p>
        </w:tc>
        <w:tc>
          <w:tcPr>
            <w:tcW w:w="166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bidi="ar"/>
              </w:rPr>
              <w:t>根据《新疆维吾尔自治区粮食和物资储备局关于做好粮食安全保障工作的通知》要求加强粮油生产保障资金的管理，确保资金使用合规，保障粮食安全。资金必须用于粮油生产保障，不得挪用。资金分配和使用需公开，接受监督。资金使用过程需接受审计和财政部门的监督，确保合规。为确保粮油生产保障资金发挥使用效益，自治区农业农村厅统筹考虑资金总量和各地冬春小麦实际种植面积（不含山旱地），对补助资金按比例进行核定分配，并予以拨付资金，资金拨付合规。</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r>
              <w:rPr>
                <w:rFonts w:hint="eastAsia" w:ascii="宋体" w:hAnsi="宋体" w:eastAsia="宋体" w:cs="宋体"/>
                <w:color w:val="000000"/>
                <w:sz w:val="15"/>
                <w:szCs w:val="15"/>
                <w:highlight w:val="none"/>
              </w:rPr>
              <w:t>无</w:t>
            </w:r>
          </w:p>
        </w:tc>
      </w:tr>
      <w:tr>
        <w:tblPrEx>
          <w:tblCellMar>
            <w:top w:w="0" w:type="dxa"/>
            <w:left w:w="108" w:type="dxa"/>
            <w:bottom w:w="0" w:type="dxa"/>
            <w:right w:w="108" w:type="dxa"/>
          </w:tblCellMar>
        </w:tblPrEx>
        <w:trPr>
          <w:trHeight w:val="2119"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使用规范性</w:t>
            </w:r>
          </w:p>
        </w:tc>
        <w:tc>
          <w:tcPr>
            <w:tcW w:w="166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补助资金要严格按照财政部《粮油生产保障资金管理办法》（财农〔2023〕11号）《中央对地方专项转移支付绩效目标管理暂行办法》（财预〔2015〕163号）的要求，建立资金使用台账，规范资金使用范围。</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r>
              <w:rPr>
                <w:rFonts w:hint="eastAsia" w:ascii="宋体" w:hAnsi="宋体" w:eastAsia="宋体" w:cs="宋体"/>
                <w:color w:val="000000"/>
                <w:sz w:val="15"/>
                <w:szCs w:val="15"/>
                <w:highlight w:val="none"/>
              </w:rPr>
              <w:t>无</w:t>
            </w:r>
          </w:p>
        </w:tc>
      </w:tr>
      <w:tr>
        <w:tblPrEx>
          <w:tblCellMar>
            <w:top w:w="0" w:type="dxa"/>
            <w:left w:w="108" w:type="dxa"/>
            <w:bottom w:w="0" w:type="dxa"/>
            <w:right w:w="108" w:type="dxa"/>
          </w:tblCellMar>
        </w:tblPrEx>
        <w:trPr>
          <w:trHeight w:val="62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执行准确性</w:t>
            </w:r>
          </w:p>
        </w:tc>
        <w:tc>
          <w:tcPr>
            <w:tcW w:w="166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严格按照财政部《粮油生产保障资金管理办法》（财农〔2023〕11号），小麦“一喷三防”补助项目采取物化补助方式，对项目区内自愿实施小麦“一喷三防”的农民和家庭农场、农民专业合作社等小麦实际种植者，在小麦生长期喷施杀虫剂、杀菌剂、除草剂、植物生长调节剂、叶面肥等“一喷三防”等措施给予补助。粮油等重点作物绿色高产高效项目对项目实施区新技术推广应用、社会化服务、技术指导服务等方面给予适当补助。资金使用符合资金使用范围要求，在中央巡视、各级审计和财政监督中未发现问题。</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r>
              <w:rPr>
                <w:rFonts w:hint="eastAsia" w:ascii="宋体" w:hAnsi="宋体" w:eastAsia="宋体" w:cs="宋体"/>
                <w:color w:val="000000"/>
                <w:sz w:val="15"/>
                <w:szCs w:val="15"/>
                <w:highlight w:val="none"/>
              </w:rPr>
              <w:t>无</w:t>
            </w:r>
          </w:p>
        </w:tc>
      </w:tr>
      <w:tr>
        <w:tblPrEx>
          <w:tblCellMar>
            <w:top w:w="0" w:type="dxa"/>
            <w:left w:w="108" w:type="dxa"/>
            <w:bottom w:w="0" w:type="dxa"/>
            <w:right w:w="108" w:type="dxa"/>
          </w:tblCellMar>
        </w:tblPrEx>
        <w:trPr>
          <w:trHeight w:val="5159"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预算绩效管理情况</w:t>
            </w:r>
          </w:p>
        </w:tc>
        <w:tc>
          <w:tcPr>
            <w:tcW w:w="166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按照《中共中央国务院关于全面实施预算绩效管理的意见》、《关于印发&lt;自治区本级部门预算绩效目标管理办法&gt;的通知》（新财预〔2017〕21号）、《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r>
              <w:rPr>
                <w:rFonts w:hint="eastAsia" w:ascii="宋体" w:hAnsi="宋体" w:eastAsia="宋体" w:cs="宋体"/>
                <w:color w:val="000000"/>
                <w:sz w:val="15"/>
                <w:szCs w:val="15"/>
                <w:highlight w:val="none"/>
              </w:rPr>
              <w:t>无</w:t>
            </w:r>
          </w:p>
        </w:tc>
      </w:tr>
      <w:tr>
        <w:tblPrEx>
          <w:tblCellMar>
            <w:top w:w="0" w:type="dxa"/>
            <w:left w:w="108" w:type="dxa"/>
            <w:bottom w:w="0" w:type="dxa"/>
            <w:right w:w="108" w:type="dxa"/>
          </w:tblCellMar>
        </w:tblPrEx>
        <w:trPr>
          <w:trHeight w:val="5293"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支出责任履行情况</w:t>
            </w:r>
          </w:p>
        </w:tc>
        <w:tc>
          <w:tcPr>
            <w:tcW w:w="166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对共同财政事权转移支付，按照财政事权和支出责任划分有关规定，足额安排资金履行本级支出责任，支出责任履行情况良好。</w:t>
            </w:r>
          </w:p>
          <w:p>
            <w:pPr>
              <w:widowControl/>
              <w:jc w:val="left"/>
              <w:textAlignment w:val="center"/>
              <w:rPr>
                <w:rFonts w:eastAsia="宋体"/>
                <w:color w:val="000000"/>
                <w:kern w:val="0"/>
                <w:sz w:val="16"/>
                <w:szCs w:val="16"/>
                <w:highlight w:val="none"/>
                <w:lang w:bidi="ar"/>
              </w:rPr>
            </w:pPr>
            <w:r>
              <w:rPr>
                <w:rFonts w:eastAsia="宋体"/>
                <w:color w:val="000000"/>
                <w:kern w:val="0"/>
                <w:sz w:val="16"/>
                <w:szCs w:val="16"/>
                <w:highlight w:val="none"/>
                <w:lang w:eastAsia="zh-Hans" w:bidi="ar"/>
              </w:rPr>
              <w:t>项目实施乡镇人民政府为直接责任人，地州市县农业农村局为项目主管部门对项目资金使用、监督和验收负主体责任；单位主要领导为项目监督和实施第一责任人</w:t>
            </w:r>
            <w:r>
              <w:rPr>
                <w:rFonts w:eastAsia="宋体"/>
                <w:color w:val="000000"/>
                <w:kern w:val="0"/>
                <w:sz w:val="16"/>
                <w:szCs w:val="16"/>
                <w:highlight w:val="none"/>
                <w:lang w:bidi="ar"/>
              </w:rPr>
              <w:t>，</w:t>
            </w:r>
            <w:r>
              <w:rPr>
                <w:rFonts w:eastAsia="宋体"/>
                <w:color w:val="000000"/>
                <w:kern w:val="0"/>
                <w:sz w:val="16"/>
                <w:szCs w:val="16"/>
                <w:highlight w:val="none"/>
                <w:lang w:eastAsia="zh-Hans" w:bidi="ar"/>
              </w:rPr>
              <w:t>主动与财政部门做好项目资金对接落实工作，确保资金及时到位，安全使用；</w:t>
            </w:r>
            <w:r>
              <w:rPr>
                <w:rFonts w:eastAsia="宋体"/>
                <w:color w:val="000000"/>
                <w:kern w:val="0"/>
                <w:sz w:val="16"/>
                <w:szCs w:val="16"/>
                <w:highlight w:val="none"/>
                <w:lang w:bidi="ar"/>
              </w:rPr>
              <w:t>自治区农业农村厅</w:t>
            </w:r>
            <w:r>
              <w:rPr>
                <w:rFonts w:eastAsia="宋体"/>
                <w:color w:val="000000"/>
                <w:kern w:val="0"/>
                <w:sz w:val="16"/>
                <w:szCs w:val="16"/>
                <w:highlight w:val="none"/>
                <w:lang w:eastAsia="zh-Hans" w:bidi="ar"/>
              </w:rPr>
              <w:t>建立项目执行定期调度督导机制，及时掌握项目执行和资金使用情况，</w:t>
            </w:r>
            <w:r>
              <w:rPr>
                <w:rFonts w:eastAsia="宋体"/>
                <w:color w:val="000000"/>
                <w:kern w:val="0"/>
                <w:sz w:val="16"/>
                <w:szCs w:val="16"/>
                <w:highlight w:val="none"/>
                <w:lang w:bidi="ar"/>
              </w:rPr>
              <w:t>不断总结经验和问题，</w:t>
            </w:r>
            <w:r>
              <w:rPr>
                <w:rFonts w:eastAsia="宋体"/>
                <w:color w:val="000000"/>
                <w:kern w:val="0"/>
                <w:sz w:val="16"/>
                <w:szCs w:val="16"/>
                <w:highlight w:val="none"/>
                <w:lang w:eastAsia="zh-Hans" w:bidi="ar"/>
              </w:rPr>
              <w:t>确保项目执行到位、资金使用规范。</w:t>
            </w:r>
          </w:p>
        </w:tc>
        <w:tc>
          <w:tcPr>
            <w:tcW w:w="143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r>
              <w:rPr>
                <w:rFonts w:hint="eastAsia" w:ascii="宋体" w:hAnsi="宋体" w:eastAsia="宋体" w:cs="宋体"/>
                <w:color w:val="000000"/>
                <w:sz w:val="15"/>
                <w:szCs w:val="15"/>
                <w:highlight w:val="none"/>
              </w:rPr>
              <w:t>无</w:t>
            </w:r>
          </w:p>
        </w:tc>
      </w:tr>
      <w:tr>
        <w:tblPrEx>
          <w:tblCellMar>
            <w:top w:w="0" w:type="dxa"/>
            <w:left w:w="108" w:type="dxa"/>
            <w:bottom w:w="0" w:type="dxa"/>
            <w:right w:w="108" w:type="dxa"/>
          </w:tblCellMar>
        </w:tblPrEx>
        <w:trPr>
          <w:trHeight w:val="312" w:hRule="atLeast"/>
        </w:trPr>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总体目标完成情况</w:t>
            </w:r>
          </w:p>
        </w:tc>
        <w:tc>
          <w:tcPr>
            <w:tcW w:w="2294"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总体目标</w:t>
            </w:r>
          </w:p>
        </w:tc>
        <w:tc>
          <w:tcPr>
            <w:tcW w:w="23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全年实际完成情况</w:t>
            </w:r>
          </w:p>
        </w:tc>
      </w:tr>
      <w:tr>
        <w:tblPrEx>
          <w:tblCellMar>
            <w:top w:w="0" w:type="dxa"/>
            <w:left w:w="108" w:type="dxa"/>
            <w:bottom w:w="0" w:type="dxa"/>
            <w:right w:w="108" w:type="dxa"/>
          </w:tblCellMar>
        </w:tblPrEx>
        <w:trPr>
          <w:trHeight w:val="521"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2294" w:type="pct"/>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按照相关规划或实施方案，结合地方实际开展粮油生产保障</w:t>
            </w:r>
          </w:p>
        </w:tc>
        <w:tc>
          <w:tcPr>
            <w:tcW w:w="2331" w:type="pct"/>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bidi="ar"/>
              </w:rPr>
              <w:t>2024全年2023年，在项目资金的大力支持下，按照项目设定的绩效考核目标，为全面落实农业农村部、自治区党委、人民政府以及农业农村厅党组关于粮油规模种植主体单产提升行动各项工作的安排部署，结合我区实际，会同财政有关部门及时调整优化奖补政策，有力提升资金指向性和精准性，强力推动项目资金发放日常监管，充分发挥政策效益，带动粮油生产健康发展，全面完成既定目标。</w:t>
            </w:r>
          </w:p>
        </w:tc>
      </w:tr>
      <w:tr>
        <w:tblPrEx>
          <w:tblCellMar>
            <w:top w:w="0" w:type="dxa"/>
            <w:left w:w="108" w:type="dxa"/>
            <w:bottom w:w="0" w:type="dxa"/>
            <w:right w:w="108" w:type="dxa"/>
          </w:tblCellMar>
        </w:tblPrEx>
        <w:trPr>
          <w:trHeight w:val="521"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2294"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宋体"/>
                <w:color w:val="000000"/>
                <w:sz w:val="16"/>
                <w:szCs w:val="16"/>
                <w:highlight w:val="none"/>
              </w:rPr>
            </w:pPr>
          </w:p>
        </w:tc>
        <w:tc>
          <w:tcPr>
            <w:tcW w:w="2331"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宋体"/>
                <w:color w:val="000000"/>
                <w:sz w:val="16"/>
                <w:szCs w:val="16"/>
                <w:highlight w:val="none"/>
              </w:rPr>
            </w:pPr>
          </w:p>
        </w:tc>
      </w:tr>
      <w:tr>
        <w:tblPrEx>
          <w:tblCellMar>
            <w:top w:w="0" w:type="dxa"/>
            <w:left w:w="108" w:type="dxa"/>
            <w:bottom w:w="0" w:type="dxa"/>
            <w:right w:w="108" w:type="dxa"/>
          </w:tblCellMar>
        </w:tblPrEx>
        <w:trPr>
          <w:trHeight w:val="521"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2294"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宋体"/>
                <w:color w:val="000000"/>
                <w:sz w:val="16"/>
                <w:szCs w:val="16"/>
                <w:highlight w:val="none"/>
              </w:rPr>
            </w:pPr>
          </w:p>
        </w:tc>
        <w:tc>
          <w:tcPr>
            <w:tcW w:w="2331"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宋体"/>
                <w:color w:val="000000"/>
                <w:sz w:val="16"/>
                <w:szCs w:val="16"/>
                <w:highlight w:val="none"/>
              </w:rPr>
            </w:pPr>
          </w:p>
        </w:tc>
      </w:tr>
      <w:tr>
        <w:tblPrEx>
          <w:tblCellMar>
            <w:top w:w="0" w:type="dxa"/>
            <w:left w:w="108" w:type="dxa"/>
            <w:bottom w:w="0" w:type="dxa"/>
            <w:right w:w="108" w:type="dxa"/>
          </w:tblCellMar>
        </w:tblPrEx>
        <w:trPr>
          <w:trHeight w:val="638" w:hRule="atLeast"/>
        </w:trPr>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p>
          <w:p>
            <w:pPr>
              <w:widowControl/>
              <w:jc w:val="center"/>
              <w:textAlignment w:val="center"/>
              <w:rPr>
                <w:rFonts w:eastAsia="宋体"/>
                <w:color w:val="000000"/>
                <w:kern w:val="0"/>
                <w:sz w:val="16"/>
                <w:szCs w:val="16"/>
                <w:highlight w:val="none"/>
                <w:lang w:bidi="ar"/>
              </w:rPr>
            </w:pPr>
          </w:p>
          <w:p>
            <w:pPr>
              <w:widowControl/>
              <w:jc w:val="center"/>
              <w:textAlignment w:val="center"/>
              <w:rPr>
                <w:rFonts w:eastAsia="宋体"/>
                <w:color w:val="000000"/>
                <w:kern w:val="0"/>
                <w:sz w:val="16"/>
                <w:szCs w:val="16"/>
                <w:highlight w:val="none"/>
                <w:lang w:bidi="ar"/>
              </w:rPr>
            </w:pPr>
          </w:p>
          <w:p>
            <w:pPr>
              <w:widowControl/>
              <w:jc w:val="center"/>
              <w:textAlignment w:val="center"/>
              <w:rPr>
                <w:rFonts w:eastAsia="宋体"/>
                <w:color w:val="000000"/>
                <w:kern w:val="0"/>
                <w:sz w:val="16"/>
                <w:szCs w:val="16"/>
                <w:highlight w:val="none"/>
                <w:lang w:bidi="ar"/>
              </w:rPr>
            </w:pPr>
          </w:p>
          <w:p>
            <w:pPr>
              <w:widowControl/>
              <w:jc w:val="center"/>
              <w:textAlignment w:val="center"/>
              <w:rPr>
                <w:rFonts w:eastAsia="宋体"/>
                <w:color w:val="000000"/>
                <w:kern w:val="0"/>
                <w:sz w:val="16"/>
                <w:szCs w:val="16"/>
                <w:highlight w:val="none"/>
                <w:lang w:bidi="ar"/>
              </w:rPr>
            </w:pPr>
          </w:p>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绩</w:t>
            </w:r>
            <w:r>
              <w:rPr>
                <w:rFonts w:eastAsia="宋体"/>
                <w:color w:val="000000"/>
                <w:kern w:val="0"/>
                <w:sz w:val="16"/>
                <w:szCs w:val="16"/>
                <w:highlight w:val="none"/>
                <w:lang w:bidi="ar"/>
              </w:rPr>
              <w:br w:type="textWrapping"/>
            </w:r>
            <w:r>
              <w:rPr>
                <w:rFonts w:eastAsia="宋体"/>
                <w:color w:val="000000"/>
                <w:kern w:val="0"/>
                <w:sz w:val="16"/>
                <w:szCs w:val="16"/>
                <w:highlight w:val="none"/>
                <w:lang w:bidi="ar"/>
              </w:rPr>
              <w:t>效</w:t>
            </w:r>
            <w:r>
              <w:rPr>
                <w:rFonts w:eastAsia="宋体"/>
                <w:color w:val="000000"/>
                <w:kern w:val="0"/>
                <w:sz w:val="16"/>
                <w:szCs w:val="16"/>
                <w:highlight w:val="none"/>
                <w:lang w:bidi="ar"/>
              </w:rPr>
              <w:br w:type="textWrapping"/>
            </w:r>
            <w:r>
              <w:rPr>
                <w:rFonts w:eastAsia="宋体"/>
                <w:color w:val="000000"/>
                <w:kern w:val="0"/>
                <w:sz w:val="16"/>
                <w:szCs w:val="16"/>
                <w:highlight w:val="none"/>
                <w:lang w:bidi="ar"/>
              </w:rPr>
              <w:t>指</w:t>
            </w:r>
            <w:r>
              <w:rPr>
                <w:rFonts w:eastAsia="宋体"/>
                <w:color w:val="000000"/>
                <w:kern w:val="0"/>
                <w:sz w:val="16"/>
                <w:szCs w:val="16"/>
                <w:highlight w:val="none"/>
                <w:lang w:bidi="ar"/>
              </w:rPr>
              <w:br w:type="textWrapping"/>
            </w:r>
            <w:r>
              <w:rPr>
                <w:rFonts w:eastAsia="宋体"/>
                <w:color w:val="000000"/>
                <w:kern w:val="0"/>
                <w:sz w:val="16"/>
                <w:szCs w:val="16"/>
                <w:highlight w:val="none"/>
                <w:lang w:bidi="ar"/>
              </w:rPr>
              <w:t>标</w:t>
            </w:r>
          </w:p>
        </w:tc>
        <w:tc>
          <w:tcPr>
            <w:tcW w:w="762"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一级指标</w:t>
            </w:r>
          </w:p>
        </w:tc>
        <w:tc>
          <w:tcPr>
            <w:tcW w:w="772"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二级指标</w:t>
            </w:r>
          </w:p>
        </w:tc>
        <w:tc>
          <w:tcPr>
            <w:tcW w:w="7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三级指标</w:t>
            </w:r>
          </w:p>
        </w:tc>
        <w:tc>
          <w:tcPr>
            <w:tcW w:w="9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指标值</w:t>
            </w:r>
          </w:p>
        </w:tc>
        <w:tc>
          <w:tcPr>
            <w:tcW w:w="7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全年实际完成值</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未完成原因和改进措施</w:t>
            </w:r>
          </w:p>
        </w:tc>
      </w:tr>
      <w:tr>
        <w:tblPrEx>
          <w:tblCellMar>
            <w:top w:w="0" w:type="dxa"/>
            <w:left w:w="108" w:type="dxa"/>
            <w:bottom w:w="0" w:type="dxa"/>
            <w:right w:w="108" w:type="dxa"/>
          </w:tblCellMar>
        </w:tblPrEx>
        <w:trPr>
          <w:trHeight w:val="240" w:hRule="atLeast"/>
        </w:trPr>
        <w:tc>
          <w:tcPr>
            <w:tcW w:w="373" w:type="pct"/>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宋体"/>
                <w:color w:val="000000"/>
                <w:sz w:val="16"/>
                <w:szCs w:val="16"/>
                <w:highlight w:val="none"/>
              </w:rPr>
            </w:pPr>
          </w:p>
        </w:tc>
        <w:tc>
          <w:tcPr>
            <w:tcW w:w="76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000000"/>
                <w:kern w:val="0"/>
                <w:sz w:val="16"/>
                <w:szCs w:val="16"/>
                <w:highlight w:val="none"/>
                <w:lang w:eastAsia="zh-CN" w:bidi="ar"/>
              </w:rPr>
            </w:pPr>
            <w:r>
              <w:rPr>
                <w:rFonts w:hint="eastAsia" w:eastAsia="宋体"/>
                <w:color w:val="000000"/>
                <w:kern w:val="0"/>
                <w:sz w:val="16"/>
                <w:szCs w:val="16"/>
                <w:highlight w:val="none"/>
                <w:lang w:eastAsia="zh-CN" w:bidi="ar"/>
              </w:rPr>
              <w:t>产出指标</w:t>
            </w:r>
          </w:p>
        </w:tc>
        <w:tc>
          <w:tcPr>
            <w:tcW w:w="77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bidi="ar"/>
              </w:rPr>
              <w:t>数量指标</w:t>
            </w:r>
          </w:p>
        </w:tc>
        <w:tc>
          <w:tcPr>
            <w:tcW w:w="760" w:type="pct"/>
            <w:tcBorders>
              <w:top w:val="single" w:color="000000" w:sz="4" w:space="0"/>
              <w:left w:val="single" w:color="auto" w:sz="4" w:space="0"/>
              <w:bottom w:val="single" w:color="000000" w:sz="4" w:space="0"/>
              <w:right w:val="single" w:color="000000" w:sz="4" w:space="0"/>
            </w:tcBorders>
          </w:tcPr>
          <w:p>
            <w:pPr>
              <w:pStyle w:val="14"/>
              <w:spacing w:before="62" w:line="216" w:lineRule="auto"/>
              <w:ind w:left="52" w:hanging="40"/>
              <w:rPr>
                <w:rFonts w:ascii="Times New Roman" w:hAnsi="Times New Roman" w:cs="Times New Roman"/>
                <w:color w:val="000000"/>
                <w:kern w:val="0"/>
                <w:sz w:val="16"/>
                <w:szCs w:val="16"/>
                <w:highlight w:val="none"/>
                <w:lang w:eastAsia="zh-CN" w:bidi="ar"/>
              </w:rPr>
            </w:pPr>
            <w:r>
              <w:rPr>
                <w:rFonts w:ascii="Times New Roman" w:hAnsi="Times New Roman" w:cs="Times New Roman"/>
                <w:color w:val="000000"/>
                <w:kern w:val="0"/>
                <w:sz w:val="16"/>
                <w:szCs w:val="16"/>
                <w:highlight w:val="none"/>
                <w:lang w:eastAsia="zh-CN" w:bidi="ar"/>
              </w:rPr>
              <w:t>重点作物绿色高产高效创建县数世(个)</w:t>
            </w:r>
          </w:p>
        </w:tc>
        <w:tc>
          <w:tcPr>
            <w:tcW w:w="900" w:type="pct"/>
            <w:tcBorders>
              <w:top w:val="single" w:color="000000" w:sz="4" w:space="0"/>
              <w:left w:val="single" w:color="000000" w:sz="4" w:space="0"/>
              <w:bottom w:val="single" w:color="000000" w:sz="4" w:space="0"/>
              <w:right w:val="single" w:color="000000" w:sz="4" w:space="0"/>
            </w:tcBorders>
            <w:vAlign w:val="center"/>
          </w:tcPr>
          <w:p>
            <w:pPr>
              <w:pStyle w:val="14"/>
              <w:spacing w:before="175" w:line="183" w:lineRule="auto"/>
              <w:jc w:val="center"/>
              <w:rPr>
                <w:rFonts w:ascii="Times New Roman" w:hAnsi="Times New Roman" w:cs="Times New Roman"/>
                <w:color w:val="000000"/>
                <w:kern w:val="0"/>
                <w:sz w:val="16"/>
                <w:szCs w:val="16"/>
                <w:highlight w:val="none"/>
                <w:lang w:eastAsia="zh-CN" w:bidi="ar"/>
              </w:rPr>
            </w:pPr>
            <w:r>
              <w:rPr>
                <w:rFonts w:ascii="Times New Roman" w:hAnsi="Times New Roman" w:cs="Times New Roman"/>
                <w:color w:val="000000"/>
                <w:kern w:val="0"/>
                <w:sz w:val="16"/>
                <w:szCs w:val="16"/>
                <w:highlight w:val="none"/>
                <w:lang w:eastAsia="zh-CN" w:bidi="ar"/>
              </w:rPr>
              <w:t>27</w:t>
            </w:r>
          </w:p>
        </w:tc>
        <w:tc>
          <w:tcPr>
            <w:tcW w:w="7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highlight w:val="none"/>
              </w:rPr>
            </w:pPr>
            <w:r>
              <w:rPr>
                <w:rFonts w:hint="eastAsia" w:ascii="Times New Roman" w:hAnsi="Times New Roman" w:eastAsia="宋体" w:cs="Times New Roman"/>
                <w:color w:val="000000"/>
                <w:kern w:val="0"/>
                <w:sz w:val="16"/>
                <w:szCs w:val="16"/>
                <w:highlight w:val="none"/>
                <w:lang w:val="en-US" w:eastAsia="zh-CN" w:bidi="ar"/>
              </w:rPr>
              <w:t>30</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16"/>
                <w:szCs w:val="16"/>
                <w:highlight w:val="none"/>
              </w:rPr>
            </w:pPr>
          </w:p>
        </w:tc>
      </w:tr>
      <w:tr>
        <w:tblPrEx>
          <w:tblCellMar>
            <w:top w:w="0" w:type="dxa"/>
            <w:left w:w="108" w:type="dxa"/>
            <w:bottom w:w="0" w:type="dxa"/>
            <w:right w:w="108" w:type="dxa"/>
          </w:tblCellMar>
        </w:tblPrEx>
        <w:trPr>
          <w:trHeight w:val="240" w:hRule="atLeast"/>
        </w:trPr>
        <w:tc>
          <w:tcPr>
            <w:tcW w:w="373" w:type="pct"/>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宋体"/>
                <w:color w:val="000000"/>
                <w:sz w:val="16"/>
                <w:szCs w:val="16"/>
                <w:highlight w:val="none"/>
              </w:rPr>
            </w:pPr>
          </w:p>
        </w:tc>
        <w:tc>
          <w:tcPr>
            <w:tcW w:w="76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宋体"/>
                <w:color w:val="000000"/>
                <w:sz w:val="16"/>
                <w:szCs w:val="16"/>
                <w:highlight w:val="none"/>
              </w:rPr>
            </w:pPr>
          </w:p>
        </w:tc>
        <w:tc>
          <w:tcPr>
            <w:tcW w:w="77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宋体"/>
                <w:color w:val="000000"/>
                <w:sz w:val="16"/>
                <w:szCs w:val="16"/>
                <w:highlight w:val="none"/>
              </w:rPr>
            </w:pPr>
          </w:p>
        </w:tc>
        <w:tc>
          <w:tcPr>
            <w:tcW w:w="760" w:type="pct"/>
            <w:tcBorders>
              <w:top w:val="single" w:color="000000" w:sz="4" w:space="0"/>
              <w:left w:val="single" w:color="auto" w:sz="4" w:space="0"/>
              <w:bottom w:val="single" w:color="000000" w:sz="4" w:space="0"/>
              <w:right w:val="single" w:color="000000" w:sz="4" w:space="0"/>
            </w:tcBorders>
          </w:tcPr>
          <w:p>
            <w:pPr>
              <w:pStyle w:val="14"/>
              <w:spacing w:before="72" w:line="216" w:lineRule="auto"/>
              <w:ind w:left="12"/>
              <w:rPr>
                <w:rFonts w:ascii="Times New Roman" w:hAnsi="Times New Roman" w:cs="Times New Roman"/>
                <w:color w:val="000000"/>
                <w:kern w:val="0"/>
                <w:sz w:val="16"/>
                <w:szCs w:val="16"/>
                <w:highlight w:val="none"/>
                <w:lang w:eastAsia="zh-CN" w:bidi="ar"/>
              </w:rPr>
            </w:pPr>
            <w:r>
              <w:rPr>
                <w:rFonts w:ascii="Times New Roman" w:hAnsi="Times New Roman" w:cs="Times New Roman"/>
                <w:color w:val="000000"/>
                <w:kern w:val="0"/>
                <w:sz w:val="16"/>
                <w:szCs w:val="16"/>
                <w:highlight w:val="none"/>
                <w:lang w:eastAsia="zh-CN" w:bidi="ar"/>
              </w:rPr>
              <w:t>大豆玉米小麦油菜单产提升整建制推进县数量(个)</w:t>
            </w:r>
          </w:p>
        </w:tc>
        <w:tc>
          <w:tcPr>
            <w:tcW w:w="900" w:type="pct"/>
            <w:tcBorders>
              <w:top w:val="single" w:color="000000" w:sz="4" w:space="0"/>
              <w:left w:val="single" w:color="000000" w:sz="4" w:space="0"/>
              <w:bottom w:val="single" w:color="000000" w:sz="4" w:space="0"/>
              <w:right w:val="single" w:color="000000" w:sz="4" w:space="0"/>
            </w:tcBorders>
            <w:vAlign w:val="center"/>
          </w:tcPr>
          <w:p>
            <w:pPr>
              <w:pStyle w:val="14"/>
              <w:spacing w:before="175" w:line="720" w:lineRule="auto"/>
              <w:jc w:val="center"/>
              <w:rPr>
                <w:rFonts w:ascii="Times New Roman" w:hAnsi="Times New Roman" w:cs="Times New Roman"/>
                <w:color w:val="000000"/>
                <w:kern w:val="0"/>
                <w:sz w:val="16"/>
                <w:szCs w:val="16"/>
                <w:highlight w:val="none"/>
                <w:lang w:eastAsia="zh-CN" w:bidi="ar"/>
              </w:rPr>
            </w:pPr>
            <w:r>
              <w:rPr>
                <w:rFonts w:ascii="Times New Roman" w:hAnsi="Times New Roman" w:cs="Times New Roman"/>
                <w:color w:val="000000"/>
                <w:kern w:val="0"/>
                <w:sz w:val="16"/>
                <w:szCs w:val="16"/>
                <w:highlight w:val="none"/>
                <w:lang w:eastAsia="zh-CN" w:bidi="ar"/>
              </w:rPr>
              <w:t>20</w:t>
            </w:r>
          </w:p>
        </w:tc>
        <w:tc>
          <w:tcPr>
            <w:tcW w:w="7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highlight w:val="none"/>
              </w:rPr>
            </w:pPr>
            <w:r>
              <w:rPr>
                <w:rFonts w:hint="eastAsia" w:ascii="Times New Roman" w:hAnsi="Times New Roman" w:eastAsia="宋体" w:cs="Times New Roman"/>
                <w:color w:val="000000"/>
                <w:kern w:val="0"/>
                <w:sz w:val="16"/>
                <w:szCs w:val="16"/>
                <w:highlight w:val="none"/>
                <w:lang w:val="en-US" w:eastAsia="zh-CN" w:bidi="ar"/>
              </w:rPr>
              <w:t>20</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16"/>
                <w:szCs w:val="16"/>
                <w:highlight w:val="none"/>
              </w:rPr>
            </w:pPr>
          </w:p>
        </w:tc>
      </w:tr>
      <w:tr>
        <w:tblPrEx>
          <w:tblCellMar>
            <w:top w:w="0" w:type="dxa"/>
            <w:left w:w="108" w:type="dxa"/>
            <w:bottom w:w="0" w:type="dxa"/>
            <w:right w:w="108" w:type="dxa"/>
          </w:tblCellMar>
        </w:tblPrEx>
        <w:trPr>
          <w:trHeight w:val="280" w:hRule="atLeast"/>
        </w:trPr>
        <w:tc>
          <w:tcPr>
            <w:tcW w:w="373" w:type="pct"/>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宋体"/>
                <w:color w:val="000000"/>
                <w:sz w:val="16"/>
                <w:szCs w:val="16"/>
                <w:highlight w:val="none"/>
              </w:rPr>
            </w:pPr>
          </w:p>
        </w:tc>
        <w:tc>
          <w:tcPr>
            <w:tcW w:w="762"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宋体"/>
                <w:color w:val="000000"/>
                <w:sz w:val="16"/>
                <w:szCs w:val="16"/>
                <w:highlight w:val="none"/>
              </w:rPr>
            </w:pPr>
          </w:p>
        </w:tc>
        <w:tc>
          <w:tcPr>
            <w:tcW w:w="77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时效指标</w:t>
            </w:r>
          </w:p>
        </w:tc>
        <w:tc>
          <w:tcPr>
            <w:tcW w:w="760"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小麦“一喷三防”措施落实完成时限</w:t>
            </w: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7月3</w:t>
            </w:r>
            <w:r>
              <w:rPr>
                <w:rFonts w:hint="eastAsia" w:eastAsia="宋体"/>
                <w:color w:val="000000"/>
                <w:kern w:val="0"/>
                <w:sz w:val="16"/>
                <w:szCs w:val="16"/>
                <w:highlight w:val="none"/>
                <w:lang w:bidi="ar"/>
              </w:rPr>
              <w:t>1</w:t>
            </w:r>
            <w:r>
              <w:rPr>
                <w:rFonts w:eastAsia="宋体"/>
                <w:color w:val="000000"/>
                <w:kern w:val="0"/>
                <w:sz w:val="16"/>
                <w:szCs w:val="16"/>
                <w:highlight w:val="none"/>
                <w:lang w:bidi="ar"/>
              </w:rPr>
              <w:t>日</w:t>
            </w:r>
          </w:p>
        </w:tc>
        <w:tc>
          <w:tcPr>
            <w:tcW w:w="7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bidi="ar"/>
              </w:rPr>
              <w:t>7月31日</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16"/>
                <w:szCs w:val="16"/>
                <w:highlight w:val="none"/>
              </w:rPr>
            </w:pPr>
          </w:p>
        </w:tc>
      </w:tr>
      <w:tr>
        <w:tblPrEx>
          <w:tblCellMar>
            <w:top w:w="0" w:type="dxa"/>
            <w:left w:w="108" w:type="dxa"/>
            <w:bottom w:w="0" w:type="dxa"/>
            <w:right w:w="108" w:type="dxa"/>
          </w:tblCellMar>
        </w:tblPrEx>
        <w:trPr>
          <w:trHeight w:val="760" w:hRule="atLeast"/>
        </w:trPr>
        <w:tc>
          <w:tcPr>
            <w:tcW w:w="373" w:type="pct"/>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宋体"/>
                <w:color w:val="000000"/>
                <w:sz w:val="16"/>
                <w:szCs w:val="16"/>
                <w:highlight w:val="none"/>
              </w:rPr>
            </w:pPr>
          </w:p>
        </w:tc>
        <w:tc>
          <w:tcPr>
            <w:tcW w:w="762"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宋体"/>
                <w:color w:val="000000"/>
                <w:sz w:val="16"/>
                <w:szCs w:val="16"/>
                <w:highlight w:val="none"/>
              </w:rPr>
            </w:pPr>
          </w:p>
        </w:tc>
        <w:tc>
          <w:tcPr>
            <w:tcW w:w="77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成本指标</w:t>
            </w:r>
          </w:p>
        </w:tc>
        <w:tc>
          <w:tcPr>
            <w:tcW w:w="760"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重点作物绿色高产高效项目区节本增效水平(%)</w:t>
            </w: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≥5%</w:t>
            </w:r>
          </w:p>
        </w:tc>
        <w:tc>
          <w:tcPr>
            <w:tcW w:w="7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bidi="ar"/>
              </w:rPr>
              <w:t>5.67%</w:t>
            </w:r>
          </w:p>
        </w:tc>
        <w:tc>
          <w:tcPr>
            <w:tcW w:w="68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sz w:val="16"/>
                <w:szCs w:val="16"/>
                <w:highlight w:val="none"/>
              </w:rPr>
            </w:pPr>
          </w:p>
        </w:tc>
      </w:tr>
      <w:tr>
        <w:tblPrEx>
          <w:tblCellMar>
            <w:top w:w="0" w:type="dxa"/>
            <w:left w:w="108" w:type="dxa"/>
            <w:bottom w:w="0" w:type="dxa"/>
            <w:right w:w="108" w:type="dxa"/>
          </w:tblCellMar>
        </w:tblPrEx>
        <w:trPr>
          <w:trHeight w:val="280"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762" w:type="pct"/>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效益指标</w:t>
            </w:r>
          </w:p>
        </w:tc>
        <w:tc>
          <w:tcPr>
            <w:tcW w:w="772" w:type="pct"/>
            <w:vMerge w:val="restart"/>
            <w:tcBorders>
              <w:top w:val="single" w:color="auto" w:sz="4" w:space="0"/>
              <w:left w:val="single" w:color="000000" w:sz="4" w:space="0"/>
              <w:bottom w:val="single" w:color="auto" w:sz="4" w:space="0"/>
              <w:right w:val="single" w:color="000000" w:sz="4" w:space="0"/>
            </w:tcBorders>
            <w:noWrap/>
            <w:vAlign w:val="center"/>
          </w:tcPr>
          <w:p>
            <w:pPr>
              <w:jc w:val="center"/>
              <w:rPr>
                <w:rFonts w:eastAsia="宋体"/>
                <w:color w:val="000000"/>
                <w:sz w:val="16"/>
                <w:szCs w:val="16"/>
                <w:highlight w:val="none"/>
              </w:rPr>
            </w:pPr>
            <w:r>
              <w:rPr>
                <w:rFonts w:eastAsia="宋体"/>
                <w:color w:val="000000"/>
                <w:kern w:val="0"/>
                <w:sz w:val="16"/>
                <w:szCs w:val="16"/>
                <w:highlight w:val="none"/>
                <w:lang w:bidi="ar"/>
              </w:rPr>
              <w:t>社会效益指标</w:t>
            </w:r>
          </w:p>
        </w:tc>
        <w:tc>
          <w:tcPr>
            <w:tcW w:w="760" w:type="pct"/>
            <w:tcBorders>
              <w:top w:val="single" w:color="000000" w:sz="4" w:space="0"/>
              <w:left w:val="single" w:color="000000" w:sz="4" w:space="0"/>
              <w:bottom w:val="single" w:color="000000" w:sz="4" w:space="0"/>
              <w:right w:val="single" w:color="000000" w:sz="4" w:space="0"/>
            </w:tcBorders>
          </w:tcPr>
          <w:p>
            <w:pPr>
              <w:pStyle w:val="14"/>
              <w:spacing w:before="144" w:line="219" w:lineRule="auto"/>
              <w:jc w:val="left"/>
              <w:rPr>
                <w:rFonts w:ascii="Times New Roman" w:hAnsi="Times New Roman" w:cs="Times New Roman"/>
                <w:color w:val="000000"/>
                <w:kern w:val="0"/>
                <w:sz w:val="16"/>
                <w:szCs w:val="16"/>
                <w:highlight w:val="none"/>
                <w:lang w:eastAsia="zh-CN" w:bidi="ar"/>
              </w:rPr>
            </w:pPr>
            <w:r>
              <w:rPr>
                <w:rFonts w:ascii="Times New Roman" w:hAnsi="Times New Roman" w:cs="Times New Roman"/>
                <w:color w:val="000000"/>
                <w:kern w:val="0"/>
                <w:sz w:val="16"/>
                <w:szCs w:val="16"/>
                <w:highlight w:val="none"/>
                <w:lang w:eastAsia="zh-CN" w:bidi="ar"/>
              </w:rPr>
              <w:t>集成推广绿色高质高效棋式(套)</w:t>
            </w:r>
          </w:p>
        </w:tc>
        <w:tc>
          <w:tcPr>
            <w:tcW w:w="900" w:type="pct"/>
            <w:tcBorders>
              <w:top w:val="single" w:color="000000" w:sz="4" w:space="0"/>
              <w:left w:val="single" w:color="000000" w:sz="4" w:space="0"/>
              <w:bottom w:val="single" w:color="000000" w:sz="4" w:space="0"/>
              <w:right w:val="single" w:color="000000" w:sz="4" w:space="0"/>
            </w:tcBorders>
            <w:vAlign w:val="center"/>
          </w:tcPr>
          <w:p>
            <w:pPr>
              <w:pStyle w:val="14"/>
              <w:spacing w:before="177" w:line="183" w:lineRule="auto"/>
              <w:jc w:val="center"/>
              <w:rPr>
                <w:rFonts w:ascii="Times New Roman" w:hAnsi="Times New Roman" w:cs="Times New Roman"/>
                <w:color w:val="000000"/>
                <w:kern w:val="0"/>
                <w:sz w:val="16"/>
                <w:szCs w:val="16"/>
                <w:highlight w:val="none"/>
                <w:lang w:eastAsia="zh-CN" w:bidi="ar"/>
              </w:rPr>
            </w:pPr>
            <w:r>
              <w:rPr>
                <w:rFonts w:ascii="Times New Roman" w:hAnsi="Times New Roman" w:cs="Times New Roman"/>
                <w:color w:val="000000"/>
                <w:kern w:val="0"/>
                <w:sz w:val="16"/>
                <w:szCs w:val="16"/>
                <w:highlight w:val="none"/>
                <w:lang w:eastAsia="zh-CN" w:bidi="ar"/>
              </w:rPr>
              <w:t>8</w:t>
            </w:r>
          </w:p>
        </w:tc>
        <w:tc>
          <w:tcPr>
            <w:tcW w:w="7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79" w:lineRule="auto"/>
              <w:jc w:val="center"/>
              <w:textAlignment w:val="center"/>
              <w:rPr>
                <w:rFonts w:eastAsia="宋体"/>
                <w:color w:val="000000"/>
                <w:sz w:val="16"/>
                <w:szCs w:val="16"/>
                <w:highlight w:val="none"/>
              </w:rPr>
            </w:pPr>
            <w:r>
              <w:rPr>
                <w:rFonts w:hint="eastAsia" w:eastAsia="宋体"/>
                <w:color w:val="000000"/>
                <w:sz w:val="16"/>
                <w:szCs w:val="16"/>
                <w:highlight w:val="none"/>
              </w:rPr>
              <w:t>8</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16"/>
                <w:szCs w:val="16"/>
                <w:highlight w:val="none"/>
              </w:rPr>
            </w:pPr>
          </w:p>
        </w:tc>
      </w:tr>
      <w:tr>
        <w:tblPrEx>
          <w:tblCellMar>
            <w:top w:w="0" w:type="dxa"/>
            <w:left w:w="108" w:type="dxa"/>
            <w:bottom w:w="0" w:type="dxa"/>
            <w:right w:w="108" w:type="dxa"/>
          </w:tblCellMar>
        </w:tblPrEx>
        <w:trPr>
          <w:trHeight w:val="280"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762" w:type="pct"/>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eastAsia="宋体"/>
                <w:color w:val="000000"/>
                <w:sz w:val="16"/>
                <w:szCs w:val="16"/>
                <w:highlight w:val="none"/>
              </w:rPr>
            </w:pPr>
          </w:p>
        </w:tc>
        <w:tc>
          <w:tcPr>
            <w:tcW w:w="772" w:type="pct"/>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eastAsia="宋体"/>
                <w:color w:val="000000"/>
                <w:sz w:val="16"/>
                <w:szCs w:val="16"/>
                <w:highlight w:val="none"/>
              </w:rPr>
            </w:pPr>
          </w:p>
        </w:tc>
        <w:tc>
          <w:tcPr>
            <w:tcW w:w="760" w:type="pct"/>
            <w:tcBorders>
              <w:top w:val="single" w:color="000000" w:sz="4" w:space="0"/>
              <w:left w:val="single" w:color="000000" w:sz="4" w:space="0"/>
              <w:bottom w:val="single" w:color="000000" w:sz="4" w:space="0"/>
              <w:right w:val="single" w:color="000000" w:sz="4" w:space="0"/>
            </w:tcBorders>
          </w:tcPr>
          <w:p>
            <w:pPr>
              <w:pStyle w:val="14"/>
              <w:spacing w:before="144" w:line="219" w:lineRule="auto"/>
              <w:ind w:left="12"/>
              <w:rPr>
                <w:rFonts w:ascii="Times New Roman" w:hAnsi="Times New Roman" w:cs="Times New Roman"/>
                <w:color w:val="000000"/>
                <w:kern w:val="0"/>
                <w:sz w:val="16"/>
                <w:szCs w:val="16"/>
                <w:highlight w:val="none"/>
                <w:lang w:eastAsia="zh-CN" w:bidi="ar"/>
              </w:rPr>
            </w:pPr>
            <w:r>
              <w:rPr>
                <w:rFonts w:ascii="Times New Roman" w:hAnsi="Times New Roman" w:cs="Times New Roman"/>
                <w:color w:val="000000"/>
                <w:kern w:val="0"/>
                <w:sz w:val="16"/>
                <w:szCs w:val="16"/>
                <w:highlight w:val="none"/>
                <w:lang w:eastAsia="zh-CN" w:bidi="ar"/>
              </w:rPr>
              <w:t>资金使用重大违规违纪问题</w:t>
            </w:r>
          </w:p>
        </w:tc>
        <w:tc>
          <w:tcPr>
            <w:tcW w:w="900" w:type="pct"/>
            <w:tcBorders>
              <w:top w:val="single" w:color="000000" w:sz="4" w:space="0"/>
              <w:left w:val="single" w:color="000000" w:sz="4" w:space="0"/>
              <w:bottom w:val="single" w:color="000000" w:sz="4" w:space="0"/>
              <w:right w:val="single" w:color="000000" w:sz="4" w:space="0"/>
            </w:tcBorders>
            <w:vAlign w:val="center"/>
          </w:tcPr>
          <w:p>
            <w:pPr>
              <w:pStyle w:val="14"/>
              <w:spacing w:before="144" w:line="220" w:lineRule="auto"/>
              <w:jc w:val="center"/>
              <w:rPr>
                <w:rFonts w:ascii="Times New Roman" w:hAnsi="Times New Roman" w:cs="Times New Roman"/>
                <w:color w:val="000000"/>
                <w:kern w:val="0"/>
                <w:sz w:val="16"/>
                <w:szCs w:val="16"/>
                <w:highlight w:val="none"/>
                <w:lang w:eastAsia="zh-CN" w:bidi="ar"/>
              </w:rPr>
            </w:pPr>
            <w:r>
              <w:rPr>
                <w:rFonts w:ascii="Times New Roman" w:hAnsi="Times New Roman" w:cs="Times New Roman"/>
                <w:color w:val="000000"/>
                <w:kern w:val="0"/>
                <w:sz w:val="16"/>
                <w:szCs w:val="16"/>
                <w:highlight w:val="none"/>
                <w:lang w:eastAsia="zh-CN" w:bidi="ar"/>
              </w:rPr>
              <w:t>无</w:t>
            </w:r>
          </w:p>
        </w:tc>
        <w:tc>
          <w:tcPr>
            <w:tcW w:w="7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16"/>
                <w:szCs w:val="16"/>
                <w:highlight w:val="none"/>
              </w:rPr>
            </w:pPr>
            <w:r>
              <w:rPr>
                <w:rFonts w:hint="eastAsia" w:eastAsia="宋体"/>
                <w:color w:val="000000"/>
                <w:sz w:val="16"/>
                <w:szCs w:val="16"/>
                <w:highlight w:val="none"/>
              </w:rPr>
              <w:t>无</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16"/>
                <w:szCs w:val="16"/>
                <w:highlight w:val="none"/>
              </w:rPr>
            </w:pPr>
          </w:p>
        </w:tc>
      </w:tr>
      <w:tr>
        <w:tblPrEx>
          <w:tblCellMar>
            <w:top w:w="0" w:type="dxa"/>
            <w:left w:w="108" w:type="dxa"/>
            <w:bottom w:w="0" w:type="dxa"/>
            <w:right w:w="108" w:type="dxa"/>
          </w:tblCellMar>
        </w:tblPrEx>
        <w:trPr>
          <w:trHeight w:val="642"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762"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eastAsia="宋体"/>
                <w:color w:val="000000"/>
                <w:sz w:val="16"/>
                <w:szCs w:val="16"/>
                <w:highlight w:val="none"/>
              </w:rPr>
            </w:pPr>
          </w:p>
        </w:tc>
        <w:tc>
          <w:tcPr>
            <w:tcW w:w="772"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生态效益指标</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重点作物绿色高产高效项目区病虫害危害损失率</w:t>
            </w: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hint="eastAsia" w:eastAsia="宋体"/>
                <w:color w:val="000000"/>
                <w:kern w:val="0"/>
                <w:sz w:val="16"/>
                <w:szCs w:val="16"/>
                <w:highlight w:val="none"/>
                <w:lang w:eastAsia="zh-CN" w:bidi="ar"/>
              </w:rPr>
              <w:t>＜</w:t>
            </w:r>
            <w:r>
              <w:rPr>
                <w:rFonts w:eastAsia="宋体"/>
                <w:color w:val="000000"/>
                <w:kern w:val="0"/>
                <w:sz w:val="16"/>
                <w:szCs w:val="16"/>
                <w:highlight w:val="none"/>
                <w:lang w:bidi="ar"/>
              </w:rPr>
              <w:t>5%</w:t>
            </w:r>
          </w:p>
        </w:tc>
        <w:tc>
          <w:tcPr>
            <w:tcW w:w="7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16"/>
                <w:szCs w:val="16"/>
                <w:highlight w:val="none"/>
              </w:rPr>
            </w:pPr>
            <w:r>
              <w:rPr>
                <w:rFonts w:hint="eastAsia" w:eastAsia="宋体"/>
                <w:color w:val="000000"/>
                <w:sz w:val="16"/>
                <w:szCs w:val="16"/>
                <w:highlight w:val="none"/>
              </w:rPr>
              <w:t>4.4%</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16"/>
                <w:szCs w:val="16"/>
                <w:highlight w:val="none"/>
              </w:rPr>
            </w:pPr>
          </w:p>
        </w:tc>
      </w:tr>
      <w:tr>
        <w:tblPrEx>
          <w:tblCellMar>
            <w:top w:w="0" w:type="dxa"/>
            <w:left w:w="108" w:type="dxa"/>
            <w:bottom w:w="0" w:type="dxa"/>
            <w:right w:w="108" w:type="dxa"/>
          </w:tblCellMar>
        </w:tblPrEx>
        <w:trPr>
          <w:trHeight w:val="600"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16"/>
                <w:szCs w:val="16"/>
                <w:highlight w:val="none"/>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满意度指标</w:t>
            </w:r>
          </w:p>
        </w:tc>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服务对象</w:t>
            </w:r>
            <w:r>
              <w:rPr>
                <w:rFonts w:eastAsia="宋体"/>
                <w:color w:val="000000"/>
                <w:kern w:val="0"/>
                <w:sz w:val="16"/>
                <w:szCs w:val="16"/>
                <w:highlight w:val="none"/>
                <w:lang w:bidi="ar"/>
              </w:rPr>
              <w:br w:type="textWrapping"/>
            </w:r>
            <w:r>
              <w:rPr>
                <w:rFonts w:eastAsia="宋体"/>
                <w:color w:val="000000"/>
                <w:kern w:val="0"/>
                <w:sz w:val="16"/>
                <w:szCs w:val="16"/>
                <w:highlight w:val="none"/>
                <w:lang w:bidi="ar"/>
              </w:rPr>
              <w:t>满意度指标</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小麦“一喷三防”服务群众满意度 (%)</w:t>
            </w: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16"/>
                <w:szCs w:val="16"/>
                <w:highlight w:val="none"/>
                <w:lang w:bidi="ar"/>
              </w:rPr>
            </w:pPr>
            <w:r>
              <w:rPr>
                <w:rFonts w:eastAsia="宋体"/>
                <w:color w:val="000000"/>
                <w:kern w:val="0"/>
                <w:sz w:val="16"/>
                <w:szCs w:val="16"/>
                <w:highlight w:val="none"/>
                <w:lang w:bidi="ar"/>
              </w:rPr>
              <w:t>≥90%</w:t>
            </w:r>
          </w:p>
        </w:tc>
        <w:tc>
          <w:tcPr>
            <w:tcW w:w="7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16"/>
                <w:szCs w:val="16"/>
                <w:highlight w:val="none"/>
              </w:rPr>
            </w:pPr>
            <w:r>
              <w:rPr>
                <w:rFonts w:hint="eastAsia" w:eastAsia="宋体"/>
                <w:color w:val="000000"/>
                <w:sz w:val="16"/>
                <w:szCs w:val="16"/>
                <w:highlight w:val="none"/>
              </w:rPr>
              <w:t>90%</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16"/>
                <w:szCs w:val="16"/>
                <w:highlight w:val="none"/>
              </w:rPr>
            </w:pPr>
          </w:p>
        </w:tc>
      </w:tr>
      <w:tr>
        <w:tblPrEx>
          <w:tblCellMar>
            <w:top w:w="0" w:type="dxa"/>
            <w:left w:w="108" w:type="dxa"/>
            <w:bottom w:w="0" w:type="dxa"/>
            <w:right w:w="108" w:type="dxa"/>
          </w:tblCellMar>
        </w:tblPrEx>
        <w:trPr>
          <w:trHeight w:val="280"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说明</w:t>
            </w:r>
          </w:p>
        </w:tc>
        <w:tc>
          <w:tcPr>
            <w:tcW w:w="4626"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宋体"/>
                <w:color w:val="000000"/>
                <w:sz w:val="16"/>
                <w:szCs w:val="16"/>
                <w:highlight w:val="none"/>
              </w:rPr>
            </w:pPr>
            <w:r>
              <w:rPr>
                <w:rFonts w:eastAsia="宋体"/>
                <w:color w:val="000000"/>
                <w:kern w:val="0"/>
                <w:sz w:val="16"/>
                <w:szCs w:val="16"/>
                <w:highlight w:val="none"/>
                <w:lang w:bidi="ar"/>
              </w:rPr>
              <w:t>无</w:t>
            </w:r>
          </w:p>
        </w:tc>
      </w:tr>
    </w:tbl>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highlight w:val="none"/>
        </w:rPr>
      </w:pPr>
    </w:p>
    <w:sectPr>
      <w:pgSz w:w="11906" w:h="16838"/>
      <w:pgMar w:top="1440" w:right="1797" w:bottom="1440" w:left="179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A60BA"/>
    <w:multiLevelType w:val="singleLevel"/>
    <w:tmpl w:val="4F8A60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Y2FlYmQ5ZDk2ODhhNjA1MDNkMTg2OGE1NTVkYmYifQ=="/>
  </w:docVars>
  <w:rsids>
    <w:rsidRoot w:val="690A7624"/>
    <w:rsid w:val="001B2716"/>
    <w:rsid w:val="002F1B64"/>
    <w:rsid w:val="00577B28"/>
    <w:rsid w:val="005F3381"/>
    <w:rsid w:val="0084499D"/>
    <w:rsid w:val="00937A80"/>
    <w:rsid w:val="00C158B6"/>
    <w:rsid w:val="00C3560A"/>
    <w:rsid w:val="02A92523"/>
    <w:rsid w:val="02C04514"/>
    <w:rsid w:val="02F2197A"/>
    <w:rsid w:val="07434552"/>
    <w:rsid w:val="07B94814"/>
    <w:rsid w:val="080B17EA"/>
    <w:rsid w:val="0902043D"/>
    <w:rsid w:val="0B696D7B"/>
    <w:rsid w:val="0BFC73C5"/>
    <w:rsid w:val="0CA21D12"/>
    <w:rsid w:val="0CB478A7"/>
    <w:rsid w:val="0D5C5C58"/>
    <w:rsid w:val="0EC3241C"/>
    <w:rsid w:val="0F39623B"/>
    <w:rsid w:val="0FCD53EB"/>
    <w:rsid w:val="103510F8"/>
    <w:rsid w:val="132C67E2"/>
    <w:rsid w:val="140040F4"/>
    <w:rsid w:val="15C076B6"/>
    <w:rsid w:val="169C4ED1"/>
    <w:rsid w:val="18F629B6"/>
    <w:rsid w:val="1B304996"/>
    <w:rsid w:val="1C9A4858"/>
    <w:rsid w:val="20867062"/>
    <w:rsid w:val="214B412D"/>
    <w:rsid w:val="221802F7"/>
    <w:rsid w:val="22A13307"/>
    <w:rsid w:val="22D64075"/>
    <w:rsid w:val="24422247"/>
    <w:rsid w:val="262F241A"/>
    <w:rsid w:val="2B5621F6"/>
    <w:rsid w:val="2BAC0068"/>
    <w:rsid w:val="2C345C98"/>
    <w:rsid w:val="2CE33F5E"/>
    <w:rsid w:val="2E2E5B5D"/>
    <w:rsid w:val="2ED651CD"/>
    <w:rsid w:val="31A71BB0"/>
    <w:rsid w:val="328947D0"/>
    <w:rsid w:val="35960D13"/>
    <w:rsid w:val="36197FA3"/>
    <w:rsid w:val="374C09A7"/>
    <w:rsid w:val="3BBF0114"/>
    <w:rsid w:val="3CFC3141"/>
    <w:rsid w:val="3E060C40"/>
    <w:rsid w:val="3E7FA574"/>
    <w:rsid w:val="3E932215"/>
    <w:rsid w:val="3ECA05D1"/>
    <w:rsid w:val="3FB35DA1"/>
    <w:rsid w:val="407B509B"/>
    <w:rsid w:val="428471F1"/>
    <w:rsid w:val="42E27550"/>
    <w:rsid w:val="447113DB"/>
    <w:rsid w:val="49CD3B9B"/>
    <w:rsid w:val="4DED25B9"/>
    <w:rsid w:val="4DEF484E"/>
    <w:rsid w:val="4F7911BC"/>
    <w:rsid w:val="4FC96B8B"/>
    <w:rsid w:val="52D62C91"/>
    <w:rsid w:val="52E71802"/>
    <w:rsid w:val="57D91936"/>
    <w:rsid w:val="58EB1921"/>
    <w:rsid w:val="599E2CE5"/>
    <w:rsid w:val="59E43CD1"/>
    <w:rsid w:val="5A957D96"/>
    <w:rsid w:val="5B261A3F"/>
    <w:rsid w:val="5FAF7383"/>
    <w:rsid w:val="5FBB029F"/>
    <w:rsid w:val="5FFF0993"/>
    <w:rsid w:val="60015C3D"/>
    <w:rsid w:val="6065020A"/>
    <w:rsid w:val="62B4699E"/>
    <w:rsid w:val="66AF3F8D"/>
    <w:rsid w:val="68E25D18"/>
    <w:rsid w:val="690A7624"/>
    <w:rsid w:val="6A1707C7"/>
    <w:rsid w:val="6C1D408F"/>
    <w:rsid w:val="6CB26586"/>
    <w:rsid w:val="6CE23A73"/>
    <w:rsid w:val="6E62032D"/>
    <w:rsid w:val="6EE91E80"/>
    <w:rsid w:val="6F255232"/>
    <w:rsid w:val="6F93736D"/>
    <w:rsid w:val="6FEB6BDD"/>
    <w:rsid w:val="71AA5C52"/>
    <w:rsid w:val="756F31CA"/>
    <w:rsid w:val="76C76AE4"/>
    <w:rsid w:val="7720419D"/>
    <w:rsid w:val="77FB40D7"/>
    <w:rsid w:val="78372035"/>
    <w:rsid w:val="796450AB"/>
    <w:rsid w:val="7A61783D"/>
    <w:rsid w:val="7BFAE121"/>
    <w:rsid w:val="7C607F1C"/>
    <w:rsid w:val="7DD8701C"/>
    <w:rsid w:val="7E1846B6"/>
    <w:rsid w:val="7EC7EB24"/>
    <w:rsid w:val="7F4D63CD"/>
    <w:rsid w:val="7F803FA7"/>
    <w:rsid w:val="7F9A6813"/>
    <w:rsid w:val="B7F74FEE"/>
    <w:rsid w:val="CFD34693"/>
    <w:rsid w:val="DF561947"/>
    <w:rsid w:val="EBFC133C"/>
    <w:rsid w:val="FF7F6DD4"/>
    <w:rsid w:val="FF7FB708"/>
    <w:rsid w:val="FFFDE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outlineLvl w:val="1"/>
    </w:pPr>
    <w:rPr>
      <w:rFonts w:ascii="仿宋_GB2312" w:hAnsi="仿宋_GB231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eastAsia="仿宋"/>
      <w:sz w:val="32"/>
    </w:rPr>
  </w:style>
  <w:style w:type="paragraph" w:styleId="4">
    <w:name w:val="annotation text"/>
    <w:basedOn w:val="1"/>
    <w:qFormat/>
    <w:uiPriority w:val="0"/>
    <w:pPr>
      <w:jc w:val="left"/>
    </w:pPr>
  </w:style>
  <w:style w:type="paragraph" w:styleId="5">
    <w:name w:val="Body Text"/>
    <w:basedOn w:val="1"/>
    <w:qFormat/>
    <w:uiPriority w:val="0"/>
    <w:rPr>
      <w:rFonts w:ascii="宋体" w:hAnsi="宋体" w:eastAsia="宋体" w:cs="宋体"/>
      <w:szCs w:val="32"/>
      <w:lang w:val="zh-CN" w:bidi="zh-CN"/>
    </w:rPr>
  </w:style>
  <w:style w:type="paragraph" w:styleId="6">
    <w:name w:val="Body Text Indent"/>
    <w:basedOn w:val="1"/>
    <w:next w:val="3"/>
    <w:semiHidden/>
    <w:qFormat/>
    <w:uiPriority w:val="99"/>
    <w:pPr>
      <w:spacing w:after="120"/>
      <w:ind w:left="420" w:leftChars="200"/>
    </w:pPr>
  </w:style>
  <w:style w:type="paragraph" w:styleId="7">
    <w:name w:val="Plain Text"/>
    <w:basedOn w:val="1"/>
    <w:qFormat/>
    <w:uiPriority w:val="0"/>
    <w:rPr>
      <w:rFonts w:ascii="宋体" w:hAnsi="Courier New" w:eastAsia="宋体"/>
      <w:kern w:val="0"/>
      <w:sz w:val="20"/>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99"/>
    <w:pPr>
      <w:ind w:firstLine="420" w:firstLineChars="200"/>
    </w:pPr>
    <w:rPr>
      <w:rFonts w:ascii="Calibri" w:hAnsi="Calibri"/>
    </w:rPr>
  </w:style>
  <w:style w:type="paragraph" w:customStyle="1" w:styleId="14">
    <w:name w:val="Table Text"/>
    <w:basedOn w:val="1"/>
    <w:semiHidden/>
    <w:qFormat/>
    <w:uiPriority w:val="0"/>
    <w:rPr>
      <w:rFonts w:ascii="宋体" w:hAnsi="宋体" w:eastAsia="宋体" w:cs="宋体"/>
      <w:sz w:val="19"/>
      <w:szCs w:val="19"/>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_Style 1"/>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customStyle="1" w:styleId="17">
    <w:name w:val="font11"/>
    <w:basedOn w:val="13"/>
    <w:qFormat/>
    <w:uiPriority w:val="0"/>
    <w:rPr>
      <w:rFonts w:hint="eastAsia" w:ascii="黑体" w:hAnsi="宋体" w:eastAsia="黑体" w:cs="黑体"/>
      <w:b/>
      <w:bCs/>
      <w:color w:val="000000"/>
      <w:sz w:val="20"/>
      <w:szCs w:val="20"/>
      <w:u w:val="none"/>
    </w:rPr>
  </w:style>
  <w:style w:type="character" w:customStyle="1" w:styleId="18">
    <w:name w:val="font41"/>
    <w:basedOn w:val="13"/>
    <w:qFormat/>
    <w:uiPriority w:val="0"/>
    <w:rPr>
      <w:rFonts w:ascii="楷体_GB2312" w:eastAsia="楷体_GB2312" w:cs="楷体_GB2312"/>
      <w:b/>
      <w:bCs/>
      <w:color w:val="000000"/>
      <w:sz w:val="20"/>
      <w:szCs w:val="20"/>
      <w:u w:val="none"/>
    </w:rPr>
  </w:style>
  <w:style w:type="character" w:customStyle="1" w:styleId="19">
    <w:name w:val="font21"/>
    <w:basedOn w:val="13"/>
    <w:qFormat/>
    <w:uiPriority w:val="0"/>
    <w:rPr>
      <w:rFonts w:hint="eastAsia" w:ascii="宋体" w:hAnsi="宋体" w:eastAsia="宋体" w:cs="宋体"/>
      <w:color w:val="000000"/>
      <w:sz w:val="18"/>
      <w:szCs w:val="18"/>
      <w:u w:val="none"/>
    </w:rPr>
  </w:style>
  <w:style w:type="character" w:customStyle="1" w:styleId="20">
    <w:name w:val="font91"/>
    <w:basedOn w:val="13"/>
    <w:qFormat/>
    <w:uiPriority w:val="0"/>
    <w:rPr>
      <w:rFonts w:hint="eastAsia" w:ascii="仿宋_GB2312" w:eastAsia="仿宋_GB2312" w:cs="仿宋_GB2312"/>
      <w:color w:val="000000"/>
      <w:sz w:val="16"/>
      <w:szCs w:val="16"/>
      <w:u w:val="none"/>
    </w:rPr>
  </w:style>
  <w:style w:type="character" w:customStyle="1" w:styleId="21">
    <w:name w:val="font121"/>
    <w:basedOn w:val="13"/>
    <w:qFormat/>
    <w:uiPriority w:val="0"/>
    <w:rPr>
      <w:rFonts w:hint="default" w:ascii="Times New Roman" w:hAnsi="Times New Roman" w:cs="Times New Roman"/>
      <w:color w:val="000000"/>
      <w:sz w:val="16"/>
      <w:szCs w:val="16"/>
      <w:u w:val="none"/>
    </w:rPr>
  </w:style>
  <w:style w:type="character" w:customStyle="1" w:styleId="22">
    <w:name w:val="NormalCharacter"/>
    <w:basedOn w:val="13"/>
    <w:semiHidden/>
    <w:qFormat/>
    <w:uiPriority w:val="0"/>
    <w:rPr>
      <w:rFonts w:ascii="Calibri" w:hAnsi="Calibri"/>
      <w:kern w:val="2"/>
      <w:sz w:val="21"/>
      <w:szCs w:val="24"/>
      <w:lang w:val="en-US" w:eastAsia="zh-CN" w:bidi="ar-SA"/>
    </w:rPr>
  </w:style>
  <w:style w:type="character" w:customStyle="1" w:styleId="23">
    <w:name w:val="font31"/>
    <w:basedOn w:val="13"/>
    <w:qFormat/>
    <w:uiPriority w:val="0"/>
    <w:rPr>
      <w:rFonts w:hint="eastAsia" w:ascii="宋体" w:hAnsi="宋体" w:eastAsia="宋体" w:cs="宋体"/>
      <w:color w:val="000000"/>
      <w:sz w:val="18"/>
      <w:szCs w:val="18"/>
      <w:u w:val="none"/>
    </w:rPr>
  </w:style>
  <w:style w:type="character" w:customStyle="1" w:styleId="24">
    <w:name w:val="font51"/>
    <w:basedOn w:val="13"/>
    <w:qFormat/>
    <w:uiPriority w:val="0"/>
    <w:rPr>
      <w:rFonts w:hint="eastAsia" w:ascii="宋体" w:hAnsi="宋体" w:eastAsia="宋体" w:cs="宋体"/>
      <w:b/>
      <w:bCs/>
      <w:color w:val="000000"/>
      <w:sz w:val="18"/>
      <w:szCs w:val="18"/>
      <w:u w:val="none"/>
    </w:rPr>
  </w:style>
  <w:style w:type="character" w:customStyle="1" w:styleId="25">
    <w:name w:val="font6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1516</Words>
  <Characters>1833</Characters>
  <Lines>65</Lines>
  <Paragraphs>18</Paragraphs>
  <TotalTime>0</TotalTime>
  <ScaleCrop>false</ScaleCrop>
  <LinksUpToDate>false</LinksUpToDate>
  <CharactersWithSpaces>1837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2024-03-10T19:04:00Z</dcterms:created>
  <dc:creator>Qin</dc:creator>
  <cp:lastModifiedBy>刘水清</cp:lastModifiedBy>
  <cp:lastPrinted>2025-03-26T09:14:00Z</cp:lastPrinted>
  <dcterms:modified xsi:type="dcterms:W3CDTF">2025-03-27T10:35:45Z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5EB837311C7D47E4AB574BE84F283849</vt:lpwstr>
  </property>
  <property fmtid="{D5CDD505-2E9C-101B-9397-08002B2CF9AE}" pid="4" name="KSOTemplateDocerSaveRecord">
    <vt:lpwstr>eyJoZGlkIjoiZWVkNzFmYmU3ZmFiNTI4YTExMTUxMzU0YWNhNmVlYWQiLCJ1c2VySWQiOiIxNTU4MDYwODYxIn0=</vt:lpwstr>
  </property>
</Properties>
</file>