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default" w:ascii="方正小标宋简体" w:hAnsi="方正小标宋简体" w:eastAsia="方正小标宋简体" w:cs="方正小标宋简体"/>
          <w:color w:val="auto"/>
          <w:kern w:val="0"/>
          <w:sz w:val="44"/>
          <w:szCs w:val="44"/>
        </w:rPr>
      </w:pPr>
    </w:p>
    <w:p>
      <w:pPr>
        <w:widowControl/>
        <w:spacing w:line="540" w:lineRule="exact"/>
        <w:jc w:val="center"/>
        <w:rPr>
          <w:rFonts w:hint="default" w:ascii="方正小标宋简体" w:hAnsi="方正小标宋简体" w:eastAsia="方正小标宋简体" w:cs="方正小标宋简体"/>
          <w:color w:val="auto"/>
          <w:kern w:val="0"/>
          <w:sz w:val="44"/>
          <w:szCs w:val="44"/>
        </w:rPr>
      </w:pPr>
      <w:r>
        <w:rPr>
          <w:rFonts w:hint="default" w:ascii="方正小标宋简体" w:hAnsi="方正小标宋简体" w:eastAsia="方正小标宋简体" w:cs="方正小标宋简体"/>
          <w:color w:val="auto"/>
          <w:kern w:val="0"/>
          <w:sz w:val="44"/>
          <w:szCs w:val="44"/>
        </w:rPr>
        <w:t>新疆维吾尔自治区种子</w:t>
      </w:r>
      <w:r>
        <w:rPr>
          <w:rFonts w:hint="eastAsia" w:ascii="方正小标宋简体" w:hAnsi="方正小标宋简体" w:eastAsia="方正小标宋简体" w:cs="方正小标宋简体"/>
          <w:color w:val="auto"/>
          <w:kern w:val="0"/>
          <w:sz w:val="44"/>
          <w:szCs w:val="44"/>
          <w:lang w:val="en-US" w:eastAsia="zh-CN"/>
        </w:rPr>
        <w:t>条例</w:t>
      </w:r>
      <w:r>
        <w:rPr>
          <w:rFonts w:hint="default" w:ascii="方正小标宋简体" w:hAnsi="方正小标宋简体" w:eastAsia="方正小标宋简体" w:cs="方正小标宋简体"/>
          <w:color w:val="auto"/>
          <w:kern w:val="0"/>
          <w:sz w:val="44"/>
          <w:szCs w:val="44"/>
        </w:rPr>
        <w:t>（草案）</w:t>
      </w:r>
    </w:p>
    <w:p>
      <w:pPr>
        <w:pStyle w:val="11"/>
        <w:widowControl/>
        <w:spacing w:beforeAutospacing="0" w:afterAutospacing="0" w:line="560" w:lineRule="exact"/>
        <w:jc w:val="center"/>
        <w:rPr>
          <w:rFonts w:hint="default" w:ascii="楷体" w:hAnsi="楷体" w:eastAsia="楷体" w:cs="楷体"/>
          <w:color w:val="auto"/>
          <w:sz w:val="32"/>
          <w:szCs w:val="32"/>
          <w:lang w:eastAsia="zh-CN"/>
        </w:rPr>
      </w:pPr>
      <w:r>
        <w:rPr>
          <w:rFonts w:hint="default" w:ascii="楷体" w:hAnsi="楷体" w:eastAsia="楷体" w:cs="楷体"/>
          <w:color w:val="auto"/>
          <w:sz w:val="32"/>
          <w:szCs w:val="32"/>
        </w:rPr>
        <w:t>（征求意见稿）</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目  录</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第一章  总则</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第二章  种质资源保护</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第三章  品种选育、审定与登记</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第四章  植物新品种保护</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第五章  种子生产经营</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第六章  种子监督管理</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第七章  扶持措施</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第八章  法律责任</w:t>
      </w:r>
    </w:p>
    <w:p>
      <w:pPr>
        <w:widowControl/>
        <w:spacing w:line="540" w:lineRule="exact"/>
        <w:jc w:val="left"/>
        <w:rPr>
          <w:rFonts w:hint="default" w:ascii="方正楷体_GBK" w:hAnsi="方正楷体_GBK" w:eastAsia="方正楷体_GBK" w:cs="方正楷体_GBK"/>
          <w:color w:val="auto"/>
          <w:kern w:val="0"/>
          <w:sz w:val="32"/>
          <w:szCs w:val="32"/>
        </w:rPr>
      </w:pPr>
      <w:r>
        <w:rPr>
          <w:rFonts w:hint="default" w:ascii="方正楷体_GBK" w:hAnsi="方正楷体_GBK" w:eastAsia="方正楷体_GBK" w:cs="方正楷体_GBK"/>
          <w:color w:val="auto"/>
          <w:kern w:val="0"/>
          <w:sz w:val="32"/>
          <w:szCs w:val="32"/>
        </w:rPr>
        <w:t>第九章  附则</w:t>
      </w:r>
    </w:p>
    <w:p>
      <w:pPr>
        <w:pStyle w:val="9"/>
        <w:keepNext w:val="0"/>
        <w:keepLines w:val="0"/>
        <w:pageBreakBefore w:val="0"/>
        <w:kinsoku/>
        <w:overflowPunct/>
        <w:topLinePunct w:val="0"/>
        <w:autoSpaceDE/>
        <w:autoSpaceDN/>
        <w:bidi w:val="0"/>
        <w:adjustRightInd/>
        <w:snapToGrid/>
        <w:spacing w:line="560" w:lineRule="exact"/>
        <w:ind w:left="640" w:hanging="640"/>
        <w:textAlignment w:val="auto"/>
        <w:rPr>
          <w:rFonts w:hint="default" w:ascii="Times New Roman" w:hAnsi="Times New Roman" w:eastAsia="仿宋_GB2312" w:cs="Times New Roman"/>
          <w:color w:val="auto"/>
          <w:sz w:val="32"/>
          <w:szCs w:val="32"/>
        </w:rPr>
      </w:pP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第一章 总  则</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Cs/>
          <w:color w:val="auto"/>
          <w:sz w:val="32"/>
          <w:szCs w:val="32"/>
        </w:rPr>
        <w:t>【立法目的】 为了保护和合理利用新疆种质资源，规范品种选育、种子生产经营和管理行为，加强种业科学技术研究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鼓励育种创新，保护植物新品种权，维护品种选育者、种子生产经营者和使用者的合法权益，提高种子质量，发展现代种业，保障粮食安全和生态安全，促进农业、林草业发展，根据《中华人民共和国种子法》等有关法律法规，结合自治区实际，制定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Cs/>
          <w:color w:val="auto"/>
          <w:sz w:val="32"/>
          <w:szCs w:val="32"/>
        </w:rPr>
        <w:t>【适用范围及对象】 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适用于自治区行政区域内品种选育、种子生产、经营、使用和管理等活动。</w:t>
      </w:r>
    </w:p>
    <w:p>
      <w:pPr>
        <w:widowControl/>
        <w:spacing w:line="540" w:lineRule="exact"/>
        <w:ind w:firstLine="640"/>
        <w:rPr>
          <w:rFonts w:hint="eastAsia" w:ascii="仿宋" w:hAnsi="仿宋" w:eastAsia="仿宋" w:cs="仿宋"/>
          <w:bCs/>
          <w:color w:val="auto"/>
          <w:sz w:val="32"/>
          <w:szCs w:val="32"/>
          <w:lang w:eastAsia="zh-CN"/>
        </w:rPr>
      </w:pPr>
      <w:r>
        <w:rPr>
          <w:rFonts w:hint="eastAsia" w:ascii="仿宋" w:hAnsi="仿宋" w:eastAsia="仿宋" w:cs="仿宋"/>
          <w:b/>
          <w:bCs/>
          <w:color w:val="auto"/>
          <w:sz w:val="32"/>
          <w:szCs w:val="32"/>
          <w:lang w:eastAsia="zh-CN"/>
        </w:rPr>
        <w:t>第三条</w:t>
      </w:r>
      <w:r>
        <w:rPr>
          <w:rFonts w:hint="eastAsia" w:ascii="仿宋" w:hAnsi="仿宋" w:eastAsia="仿宋" w:cs="仿宋"/>
          <w:bCs/>
          <w:color w:val="auto"/>
          <w:sz w:val="32"/>
          <w:szCs w:val="32"/>
          <w:lang w:eastAsia="zh-CN"/>
        </w:rPr>
        <w:t>【政府职责之规划与管理】</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eastAsia="zh-CN"/>
        </w:rPr>
        <w:t>自治区人民政府应当加强对种子工作的领导，</w:t>
      </w:r>
      <w:r>
        <w:rPr>
          <w:rFonts w:hint="eastAsia" w:ascii="仿宋" w:hAnsi="仿宋" w:eastAsia="仿宋" w:cs="仿宋"/>
          <w:bCs/>
          <w:color w:val="auto"/>
          <w:sz w:val="32"/>
          <w:szCs w:val="32"/>
          <w:lang w:val="en-US" w:eastAsia="zh-CN"/>
        </w:rPr>
        <w:t>根据农业、林草业发展的需要制定种业发展规划并组织实施</w:t>
      </w:r>
      <w:r>
        <w:rPr>
          <w:rFonts w:hint="eastAsia" w:ascii="仿宋" w:hAnsi="仿宋" w:eastAsia="仿宋" w:cs="仿宋"/>
          <w:bCs/>
          <w:color w:val="auto"/>
          <w:sz w:val="32"/>
          <w:szCs w:val="32"/>
          <w:lang w:eastAsia="zh-CN"/>
        </w:rPr>
        <w:t>。</w:t>
      </w:r>
    </w:p>
    <w:p>
      <w:pPr>
        <w:widowControl/>
        <w:spacing w:line="540" w:lineRule="exact"/>
        <w:ind w:firstLine="64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县级以上人民政府</w:t>
      </w:r>
      <w:r>
        <w:rPr>
          <w:rFonts w:hint="eastAsia" w:ascii="仿宋" w:hAnsi="仿宋" w:eastAsia="仿宋" w:cs="仿宋"/>
          <w:bCs/>
          <w:color w:val="auto"/>
          <w:sz w:val="32"/>
          <w:szCs w:val="32"/>
          <w:lang w:val="en-US" w:eastAsia="zh-CN"/>
        </w:rPr>
        <w:t>组织领导种子工作，建立健全种子管理体系，加强种子执法和监督，统筹协调解决种业发展重大问题，将种子管理工作经费列入同级财政预算，促进种业高质量发展</w:t>
      </w:r>
      <w:r>
        <w:rPr>
          <w:rFonts w:hint="eastAsia" w:ascii="仿宋" w:hAnsi="仿宋" w:eastAsia="仿宋" w:cs="仿宋"/>
          <w:bCs/>
          <w:color w:val="auto"/>
          <w:sz w:val="32"/>
          <w:szCs w:val="32"/>
          <w:lang w:eastAsia="zh-CN"/>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color w:val="auto"/>
        </w:rPr>
      </w:pPr>
      <w:r>
        <w:rPr>
          <w:rFonts w:hint="eastAsia" w:ascii="仿宋" w:hAnsi="仿宋" w:eastAsia="仿宋" w:cs="仿宋"/>
          <w:bCs/>
          <w:color w:val="auto"/>
          <w:sz w:val="32"/>
          <w:szCs w:val="32"/>
        </w:rPr>
        <w:t>乡（镇）人民政府、街道办事处应当协助做好种子管理相关工作。</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shd w:val="clear" w:fill="FFFFFF" w:themeFill="background1"/>
        </w:rPr>
        <w:t>第四条【</w:t>
      </w:r>
      <w:r>
        <w:rPr>
          <w:rFonts w:hint="eastAsia" w:ascii="仿宋" w:hAnsi="仿宋" w:eastAsia="仿宋" w:cs="仿宋"/>
          <w:color w:val="auto"/>
          <w:sz w:val="32"/>
          <w:szCs w:val="32"/>
          <w:shd w:val="clear" w:fill="FFFFFF" w:themeFill="background1"/>
        </w:rPr>
        <w:t>政府职责之扶持与奖励</w:t>
      </w:r>
      <w:r>
        <w:rPr>
          <w:rFonts w:hint="eastAsia" w:ascii="仿宋" w:hAnsi="仿宋" w:eastAsia="仿宋" w:cs="仿宋"/>
          <w:b/>
          <w:bCs/>
          <w:color w:val="auto"/>
          <w:sz w:val="32"/>
          <w:szCs w:val="32"/>
          <w:shd w:val="clear" w:fill="FFFFFF" w:themeFill="background1"/>
        </w:rPr>
        <w:t>】</w:t>
      </w:r>
      <w:r>
        <w:rPr>
          <w:rFonts w:hint="eastAsia" w:ascii="仿宋" w:hAnsi="仿宋" w:eastAsia="仿宋" w:cs="仿宋"/>
          <w:b/>
          <w:bCs/>
          <w:color w:val="auto"/>
          <w:sz w:val="32"/>
          <w:szCs w:val="32"/>
          <w:shd w:val="clear" w:fill="FFFFFF" w:themeFill="background1"/>
          <w:lang w:val="en-US" w:eastAsia="zh-CN"/>
        </w:rPr>
        <w:t xml:space="preserve"> </w:t>
      </w:r>
      <w:r>
        <w:rPr>
          <w:rFonts w:hint="eastAsia" w:ascii="仿宋" w:hAnsi="仿宋" w:eastAsia="仿宋" w:cs="仿宋"/>
          <w:b w:val="0"/>
          <w:bCs w:val="0"/>
          <w:color w:val="auto"/>
          <w:sz w:val="32"/>
          <w:szCs w:val="32"/>
        </w:rPr>
        <w:t>县级以上人民政府应当</w:t>
      </w:r>
      <w:r>
        <w:rPr>
          <w:rFonts w:hint="eastAsia" w:ascii="仿宋" w:hAnsi="仿宋" w:eastAsia="仿宋" w:cs="仿宋"/>
          <w:b w:val="0"/>
          <w:bCs w:val="0"/>
          <w:color w:val="auto"/>
          <w:sz w:val="32"/>
          <w:szCs w:val="32"/>
          <w:lang w:val="en-US" w:eastAsia="zh-CN"/>
        </w:rPr>
        <w:t>扶持种质资源保护工作和选育、生产、更新、推广使用良种，鼓励品种选育和种子生产经营相结合。对在种质资源收集保护利用、良种选育、推广等工作中作出突出贡献的单位和个人依照国家有关规定给予奖励。</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shd w:val="clear" w:fill="FFFFFF" w:themeFill="background1"/>
        </w:rPr>
        <w:t>第五条</w:t>
      </w:r>
      <w:r>
        <w:rPr>
          <w:rFonts w:hint="eastAsia" w:ascii="仿宋" w:hAnsi="仿宋" w:eastAsia="仿宋" w:cs="仿宋"/>
          <w:b w:val="0"/>
          <w:bCs w:val="0"/>
          <w:color w:val="auto"/>
          <w:sz w:val="32"/>
          <w:szCs w:val="32"/>
        </w:rPr>
        <w:t>【部门职责】</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县级以上人民政府农业农村、林业</w:t>
      </w:r>
      <w:r>
        <w:rPr>
          <w:rFonts w:hint="eastAsia" w:ascii="仿宋" w:hAnsi="仿宋" w:eastAsia="仿宋" w:cs="仿宋"/>
          <w:b w:val="0"/>
          <w:bCs w:val="0"/>
          <w:color w:val="auto"/>
          <w:sz w:val="32"/>
          <w:szCs w:val="32"/>
          <w:lang w:val="en-US" w:eastAsia="zh-CN"/>
        </w:rPr>
        <w:t>草原</w:t>
      </w:r>
      <w:r>
        <w:rPr>
          <w:rFonts w:hint="eastAsia" w:ascii="仿宋" w:hAnsi="仿宋" w:eastAsia="仿宋" w:cs="仿宋"/>
          <w:b w:val="0"/>
          <w:bCs w:val="0"/>
          <w:color w:val="auto"/>
          <w:sz w:val="32"/>
          <w:szCs w:val="32"/>
          <w:lang w:eastAsia="zh-CN"/>
        </w:rPr>
        <w:t>主管部门分别主管本行政区域内农作物种子和林</w:t>
      </w:r>
      <w:r>
        <w:rPr>
          <w:rFonts w:hint="eastAsia" w:ascii="仿宋" w:hAnsi="仿宋" w:eastAsia="仿宋" w:cs="仿宋"/>
          <w:b w:val="0"/>
          <w:bCs w:val="0"/>
          <w:color w:val="auto"/>
          <w:sz w:val="32"/>
          <w:szCs w:val="32"/>
          <w:lang w:val="en-US" w:eastAsia="zh-CN"/>
        </w:rPr>
        <w:t>草</w:t>
      </w:r>
      <w:r>
        <w:rPr>
          <w:rFonts w:hint="eastAsia" w:ascii="仿宋" w:hAnsi="仿宋" w:eastAsia="仿宋" w:cs="仿宋"/>
          <w:b w:val="0"/>
          <w:bCs w:val="0"/>
          <w:color w:val="auto"/>
          <w:sz w:val="32"/>
          <w:szCs w:val="32"/>
          <w:lang w:eastAsia="zh-CN"/>
        </w:rPr>
        <w:t>种子工作，健全种子管理和技术服务体系，</w:t>
      </w:r>
      <w:r>
        <w:rPr>
          <w:rFonts w:hint="eastAsia" w:ascii="仿宋" w:hAnsi="仿宋" w:eastAsia="仿宋" w:cs="仿宋"/>
          <w:b w:val="0"/>
          <w:bCs w:val="0"/>
          <w:color w:val="auto"/>
          <w:sz w:val="32"/>
          <w:szCs w:val="32"/>
          <w:lang w:val="en-US" w:eastAsia="zh-CN"/>
        </w:rPr>
        <w:t>保障</w:t>
      </w:r>
      <w:r>
        <w:rPr>
          <w:rFonts w:hint="eastAsia" w:ascii="仿宋" w:hAnsi="仿宋" w:eastAsia="仿宋" w:cs="仿宋"/>
          <w:b w:val="0"/>
          <w:bCs w:val="0"/>
          <w:color w:val="auto"/>
          <w:sz w:val="32"/>
          <w:szCs w:val="32"/>
          <w:lang w:eastAsia="zh-CN"/>
        </w:rPr>
        <w:t>基层种子管理和专业技术人才队伍。</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县级以上人民政府发展改革</w:t>
      </w:r>
      <w:r>
        <w:rPr>
          <w:rFonts w:hint="eastAsia" w:ascii="仿宋" w:hAnsi="仿宋" w:eastAsia="仿宋" w:cs="仿宋"/>
          <w:bCs/>
          <w:color w:val="auto"/>
          <w:sz w:val="32"/>
          <w:szCs w:val="32"/>
          <w:lang w:val="en-US" w:eastAsia="zh-CN"/>
        </w:rPr>
        <w:t>委</w:t>
      </w:r>
      <w:r>
        <w:rPr>
          <w:rFonts w:hint="eastAsia" w:ascii="仿宋" w:hAnsi="仿宋" w:eastAsia="仿宋" w:cs="仿宋"/>
          <w:bCs/>
          <w:color w:val="auto"/>
          <w:sz w:val="32"/>
          <w:szCs w:val="32"/>
        </w:rPr>
        <w:t>、财政、科技、自然资源、水利、公安、商务、市场监管等有关部门按照职责依法做好种子管理相关工作。</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bCs/>
          <w:color w:val="auto"/>
          <w:sz w:val="32"/>
          <w:szCs w:val="32"/>
        </w:rPr>
        <w:t>【种子储备制度】 自治区人民政府建立政府主导、企业等多方参与的种子储备制度，储备的种子主要用于发生灾害时生产需要及余缺调剂，保障农业和林草业生产安全。对储备的种子应当定期检验和更新。</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bCs/>
          <w:color w:val="auto"/>
          <w:sz w:val="32"/>
          <w:szCs w:val="32"/>
        </w:rPr>
        <w:t>【社会参与】 种子生产经营者依法</w:t>
      </w:r>
      <w:r>
        <w:rPr>
          <w:rFonts w:hint="eastAsia" w:ascii="仿宋" w:hAnsi="仿宋" w:eastAsia="仿宋" w:cs="仿宋"/>
          <w:bCs/>
          <w:color w:val="auto"/>
          <w:sz w:val="32"/>
          <w:szCs w:val="32"/>
          <w:lang w:val="en-US" w:eastAsia="zh-CN"/>
        </w:rPr>
        <w:t>自愿</w:t>
      </w:r>
      <w:r>
        <w:rPr>
          <w:rFonts w:hint="eastAsia" w:ascii="仿宋" w:hAnsi="仿宋" w:eastAsia="仿宋" w:cs="仿宋"/>
          <w:bCs/>
          <w:color w:val="auto"/>
          <w:sz w:val="32"/>
          <w:szCs w:val="32"/>
        </w:rPr>
        <w:t>成立的行业协会，应当充分发挥种子行业协会的协调、服务、维权、自律作用，</w:t>
      </w:r>
      <w:r>
        <w:rPr>
          <w:rFonts w:hint="eastAsia" w:ascii="仿宋" w:hAnsi="仿宋" w:eastAsia="仿宋" w:cs="仿宋"/>
          <w:bCs/>
          <w:color w:val="auto"/>
          <w:sz w:val="32"/>
          <w:szCs w:val="32"/>
          <w:lang w:val="en-US" w:eastAsia="zh-CN"/>
        </w:rPr>
        <w:t>引导成员</w:t>
      </w:r>
      <w:r>
        <w:rPr>
          <w:rFonts w:hint="eastAsia" w:ascii="仿宋" w:hAnsi="仿宋" w:eastAsia="仿宋" w:cs="仿宋"/>
          <w:bCs/>
          <w:color w:val="auto"/>
          <w:sz w:val="32"/>
          <w:szCs w:val="32"/>
        </w:rPr>
        <w:t>规范</w:t>
      </w:r>
      <w:r>
        <w:rPr>
          <w:rFonts w:hint="eastAsia" w:ascii="仿宋" w:hAnsi="仿宋" w:eastAsia="仿宋" w:cs="仿宋"/>
          <w:bCs/>
          <w:color w:val="auto"/>
          <w:sz w:val="32"/>
          <w:szCs w:val="32"/>
          <w:lang w:val="en-US" w:eastAsia="zh-CN"/>
        </w:rPr>
        <w:t>生产经营</w:t>
      </w:r>
      <w:r>
        <w:rPr>
          <w:rFonts w:hint="eastAsia" w:ascii="仿宋" w:hAnsi="仿宋" w:eastAsia="仿宋" w:cs="仿宋"/>
          <w:bCs/>
          <w:color w:val="auto"/>
          <w:sz w:val="32"/>
          <w:szCs w:val="32"/>
        </w:rPr>
        <w:t>行为，维护成员合法权益，为成员和行业发展提供交流合作、技术培训、技术服务、信用等级评定、市场营销和咨询等服务。</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kern w:val="0"/>
          <w:sz w:val="24"/>
        </w:rPr>
      </w:pPr>
      <w:r>
        <w:rPr>
          <w:rFonts w:hint="eastAsia" w:ascii="仿宋" w:hAnsi="仿宋" w:eastAsia="仿宋" w:cs="仿宋"/>
          <w:b/>
          <w:bCs/>
          <w:color w:val="auto"/>
          <w:sz w:val="32"/>
          <w:szCs w:val="32"/>
        </w:rPr>
        <w:t>第八条</w:t>
      </w:r>
      <w:r>
        <w:rPr>
          <w:rFonts w:hint="eastAsia" w:ascii="仿宋" w:hAnsi="仿宋" w:eastAsia="仿宋" w:cs="仿宋"/>
          <w:bCs/>
          <w:color w:val="auto"/>
          <w:sz w:val="32"/>
          <w:szCs w:val="32"/>
        </w:rPr>
        <w:t>【宣传工作】 县级以上人民政府农业农村、林业草原主管部门和科研机构、高等院校等应当加强种子基础科学技术知识、种源安全形势和相关法律法规的宣传，营造现代种业发展的良好氛围。</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第二章 种质资源保护</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highlight w:val="none"/>
        </w:rPr>
        <w:t>第九条</w:t>
      </w:r>
      <w:r>
        <w:rPr>
          <w:rFonts w:hint="eastAsia" w:ascii="仿宋" w:hAnsi="仿宋" w:eastAsia="仿宋" w:cs="仿宋"/>
          <w:bCs/>
          <w:color w:val="auto"/>
          <w:sz w:val="32"/>
          <w:szCs w:val="32"/>
          <w:highlight w:val="none"/>
        </w:rPr>
        <w:t>【天</w:t>
      </w:r>
      <w:r>
        <w:rPr>
          <w:rFonts w:hint="eastAsia" w:ascii="仿宋" w:hAnsi="仿宋" w:eastAsia="仿宋" w:cs="仿宋"/>
          <w:bCs/>
          <w:color w:val="auto"/>
          <w:sz w:val="32"/>
          <w:szCs w:val="32"/>
        </w:rPr>
        <w:t>然种质资源保护】</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eastAsia="zh-CN"/>
        </w:rPr>
        <w:t>农作</w:t>
      </w:r>
      <w:r>
        <w:rPr>
          <w:rFonts w:hint="eastAsia" w:ascii="仿宋" w:hAnsi="仿宋" w:eastAsia="仿宋" w:cs="仿宋"/>
          <w:bCs/>
          <w:color w:val="auto"/>
          <w:sz w:val="32"/>
          <w:szCs w:val="32"/>
          <w:lang w:val="en-US" w:eastAsia="zh-CN"/>
        </w:rPr>
        <w:t>物</w:t>
      </w:r>
      <w:r>
        <w:rPr>
          <w:rFonts w:hint="eastAsia" w:ascii="仿宋" w:hAnsi="仿宋" w:eastAsia="仿宋" w:cs="仿宋"/>
          <w:bCs/>
          <w:color w:val="auto"/>
          <w:sz w:val="32"/>
          <w:szCs w:val="32"/>
          <w:lang w:eastAsia="zh-CN"/>
        </w:rPr>
        <w:t>、林业草原天然种质资源受保护，</w:t>
      </w:r>
      <w:r>
        <w:rPr>
          <w:rFonts w:hint="eastAsia" w:ascii="仿宋" w:hAnsi="仿宋" w:eastAsia="仿宋" w:cs="仿宋"/>
          <w:bCs/>
          <w:color w:val="auto"/>
          <w:sz w:val="32"/>
          <w:szCs w:val="32"/>
        </w:rPr>
        <w:t>任何单位和个人不得侵占和破坏种质资源。</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自治区级重点保护的种质资源实行目录管理。未经批准</w:t>
      </w:r>
      <w:r>
        <w:rPr>
          <w:rFonts w:hint="eastAsia" w:ascii="仿宋" w:hAnsi="仿宋" w:eastAsia="仿宋" w:cs="仿宋"/>
          <w:bCs/>
          <w:color w:val="auto"/>
          <w:sz w:val="32"/>
          <w:szCs w:val="32"/>
        </w:rPr>
        <w:t>不得擅自采集或者采伐列入目录的天然种质资源；因科研、教学等特殊情况需要，采集或者采伐列入</w:t>
      </w:r>
      <w:r>
        <w:rPr>
          <w:rFonts w:hint="eastAsia" w:ascii="仿宋" w:hAnsi="仿宋" w:eastAsia="仿宋" w:cs="仿宋"/>
          <w:bCs/>
          <w:color w:val="auto"/>
          <w:sz w:val="32"/>
          <w:szCs w:val="32"/>
          <w:lang w:eastAsia="zh-CN"/>
        </w:rPr>
        <w:t>自治区保护</w:t>
      </w:r>
      <w:r>
        <w:rPr>
          <w:rFonts w:hint="eastAsia" w:ascii="仿宋" w:hAnsi="仿宋" w:eastAsia="仿宋" w:cs="仿宋"/>
          <w:bCs/>
          <w:color w:val="auto"/>
          <w:sz w:val="32"/>
          <w:szCs w:val="32"/>
        </w:rPr>
        <w:t>目录的天然种质资源的，应当</w:t>
      </w:r>
      <w:r>
        <w:rPr>
          <w:rFonts w:hint="eastAsia" w:ascii="仿宋" w:hAnsi="仿宋" w:eastAsia="仿宋" w:cs="仿宋"/>
          <w:bCs/>
          <w:color w:val="auto"/>
          <w:sz w:val="32"/>
          <w:szCs w:val="32"/>
          <w:lang w:eastAsia="zh-CN"/>
        </w:rPr>
        <w:t>经自治区</w:t>
      </w:r>
      <w:r>
        <w:rPr>
          <w:rFonts w:hint="eastAsia" w:ascii="仿宋" w:hAnsi="仿宋" w:eastAsia="仿宋" w:cs="仿宋"/>
          <w:bCs/>
          <w:color w:val="auto"/>
          <w:sz w:val="32"/>
          <w:szCs w:val="32"/>
        </w:rPr>
        <w:t>农业农村、</w:t>
      </w:r>
      <w:r>
        <w:rPr>
          <w:rFonts w:hint="eastAsia" w:ascii="仿宋" w:hAnsi="仿宋" w:eastAsia="仿宋" w:cs="仿宋"/>
          <w:bCs/>
          <w:color w:val="auto"/>
          <w:sz w:val="32"/>
          <w:szCs w:val="32"/>
          <w:lang w:eastAsia="zh-CN"/>
        </w:rPr>
        <w:t>林业草原主管</w:t>
      </w:r>
      <w:r>
        <w:rPr>
          <w:rFonts w:hint="eastAsia" w:ascii="仿宋" w:hAnsi="仿宋" w:eastAsia="仿宋" w:cs="仿宋"/>
          <w:bCs/>
          <w:color w:val="auto"/>
          <w:sz w:val="32"/>
          <w:szCs w:val="32"/>
        </w:rPr>
        <w:t>部门批准。</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color w:val="auto"/>
          <w:sz w:val="32"/>
          <w:szCs w:val="32"/>
          <w:shd w:val="clear"/>
        </w:rPr>
      </w:pPr>
      <w:r>
        <w:rPr>
          <w:rFonts w:hint="eastAsia" w:ascii="仿宋" w:hAnsi="仿宋" w:eastAsia="仿宋" w:cs="仿宋"/>
          <w:b/>
          <w:bCs w:val="0"/>
          <w:color w:val="auto"/>
          <w:sz w:val="32"/>
          <w:szCs w:val="32"/>
          <w:shd w:val="clear"/>
        </w:rPr>
        <w:t>第十条</w:t>
      </w:r>
      <w:r>
        <w:rPr>
          <w:rFonts w:hint="eastAsia" w:ascii="仿宋" w:hAnsi="仿宋" w:eastAsia="仿宋" w:cs="仿宋"/>
          <w:b w:val="0"/>
          <w:bCs/>
          <w:color w:val="auto"/>
          <w:sz w:val="32"/>
          <w:szCs w:val="32"/>
          <w:shd w:val="clear"/>
        </w:rPr>
        <w:t>【种质资</w:t>
      </w:r>
      <w:r>
        <w:rPr>
          <w:rFonts w:hint="eastAsia" w:ascii="仿宋" w:hAnsi="仿宋" w:eastAsia="仿宋" w:cs="仿宋"/>
          <w:bCs/>
          <w:color w:val="auto"/>
          <w:sz w:val="32"/>
          <w:szCs w:val="32"/>
        </w:rPr>
        <w:t>源</w:t>
      </w:r>
      <w:r>
        <w:rPr>
          <w:rFonts w:hint="eastAsia" w:ascii="仿宋" w:hAnsi="仿宋" w:eastAsia="仿宋" w:cs="仿宋"/>
          <w:bCs/>
          <w:color w:val="auto"/>
          <w:sz w:val="32"/>
          <w:szCs w:val="32"/>
          <w:lang w:eastAsia="zh-CN"/>
        </w:rPr>
        <w:t>保护利用</w:t>
      </w:r>
      <w:r>
        <w:rPr>
          <w:rFonts w:hint="eastAsia" w:ascii="仿宋" w:hAnsi="仿宋" w:eastAsia="仿宋" w:cs="仿宋"/>
          <w:b w:val="0"/>
          <w:bCs/>
          <w:color w:val="auto"/>
          <w:sz w:val="32"/>
          <w:szCs w:val="32"/>
          <w:shd w:val="clear"/>
        </w:rPr>
        <w:t>】</w:t>
      </w:r>
      <w:r>
        <w:rPr>
          <w:rFonts w:hint="eastAsia" w:ascii="仿宋" w:hAnsi="仿宋" w:eastAsia="仿宋" w:cs="仿宋"/>
          <w:b w:val="0"/>
          <w:bCs/>
          <w:color w:val="auto"/>
          <w:sz w:val="32"/>
          <w:szCs w:val="32"/>
          <w:shd w:val="clear"/>
          <w:lang w:val="en-US" w:eastAsia="zh-CN"/>
        </w:rPr>
        <w:t xml:space="preserve"> </w:t>
      </w:r>
      <w:r>
        <w:rPr>
          <w:rFonts w:hint="eastAsia" w:ascii="仿宋" w:hAnsi="仿宋" w:eastAsia="仿宋" w:cs="仿宋"/>
          <w:b w:val="0"/>
          <w:bCs/>
          <w:color w:val="auto"/>
          <w:sz w:val="32"/>
          <w:szCs w:val="32"/>
          <w:shd w:val="clear"/>
        </w:rPr>
        <w:t>自治区人民政府农业农村、林业草原主管部门应当组织开展种质资源</w:t>
      </w:r>
      <w:r>
        <w:rPr>
          <w:rFonts w:hint="eastAsia" w:ascii="仿宋" w:hAnsi="仿宋" w:eastAsia="仿宋" w:cs="仿宋"/>
          <w:b w:val="0"/>
          <w:bCs/>
          <w:color w:val="auto"/>
          <w:sz w:val="32"/>
          <w:szCs w:val="32"/>
          <w:shd w:val="clear"/>
          <w:lang w:eastAsia="zh-CN"/>
        </w:rPr>
        <w:t>调</w:t>
      </w:r>
      <w:r>
        <w:rPr>
          <w:rFonts w:hint="eastAsia" w:ascii="仿宋" w:hAnsi="仿宋" w:eastAsia="仿宋" w:cs="仿宋"/>
          <w:b w:val="0"/>
          <w:bCs/>
          <w:color w:val="auto"/>
          <w:sz w:val="32"/>
          <w:szCs w:val="32"/>
          <w:shd w:val="clear"/>
        </w:rPr>
        <w:t>查</w:t>
      </w:r>
      <w:r>
        <w:rPr>
          <w:rFonts w:hint="eastAsia" w:ascii="仿宋" w:hAnsi="仿宋" w:eastAsia="仿宋" w:cs="仿宋"/>
          <w:b w:val="0"/>
          <w:bCs/>
          <w:color w:val="auto"/>
          <w:sz w:val="32"/>
          <w:szCs w:val="32"/>
          <w:shd w:val="clear"/>
          <w:lang w:eastAsia="zh-CN"/>
        </w:rPr>
        <w:t>，</w:t>
      </w:r>
      <w:r>
        <w:rPr>
          <w:rFonts w:hint="eastAsia" w:ascii="仿宋" w:hAnsi="仿宋" w:eastAsia="仿宋" w:cs="仿宋"/>
          <w:b w:val="0"/>
          <w:bCs/>
          <w:color w:val="auto"/>
          <w:sz w:val="32"/>
          <w:szCs w:val="32"/>
          <w:shd w:val="clear"/>
        </w:rPr>
        <w:t>建立种质资源</w:t>
      </w:r>
      <w:r>
        <w:rPr>
          <w:rFonts w:hint="eastAsia" w:ascii="仿宋" w:hAnsi="仿宋" w:eastAsia="仿宋" w:cs="仿宋"/>
          <w:b w:val="0"/>
          <w:bCs/>
          <w:color w:val="auto"/>
          <w:sz w:val="32"/>
          <w:szCs w:val="32"/>
          <w:shd w:val="clear"/>
          <w:lang w:eastAsia="zh-CN"/>
        </w:rPr>
        <w:t>档案</w:t>
      </w:r>
      <w:r>
        <w:rPr>
          <w:rFonts w:hint="eastAsia" w:ascii="仿宋" w:hAnsi="仿宋" w:eastAsia="仿宋" w:cs="仿宋"/>
          <w:b w:val="0"/>
          <w:bCs/>
          <w:color w:val="auto"/>
          <w:sz w:val="32"/>
          <w:szCs w:val="32"/>
          <w:shd w:val="clear"/>
        </w:rPr>
        <w:t>，制定自治区重点保护的和可供利用的种质资源目录。</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bCs/>
          <w:color w:val="auto"/>
          <w:sz w:val="32"/>
          <w:szCs w:val="32"/>
        </w:rPr>
        <w:t>【种质资源保护制度】 自治区人民政府农业农村、林业草原主管部门根据需要建立种质资源库（圃）、种质资源保护区和种质资源保护地，划定和公布保护范围，设置保护标志。</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自治区农业农村、林业草原主管部门负责确定种质资源库（圃）、种质资源保护区、种质资源保护地等的种质资源保护单位。</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种质资源保护单位应当按照职责或者服务协议开展种质资源保护与利用相关工作，县级以上农业农村、林业草原主管部门应当提供相应支持和保障。</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第十二条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种质资源</w:t>
      </w:r>
      <w:r>
        <w:rPr>
          <w:rFonts w:hint="eastAsia" w:ascii="仿宋" w:hAnsi="仿宋" w:eastAsia="仿宋" w:cs="仿宋"/>
          <w:bCs/>
          <w:color w:val="auto"/>
          <w:sz w:val="32"/>
          <w:szCs w:val="32"/>
        </w:rPr>
        <w:t>保护</w:t>
      </w:r>
      <w:r>
        <w:rPr>
          <w:rFonts w:hint="eastAsia" w:ascii="仿宋" w:hAnsi="仿宋" w:eastAsia="仿宋" w:cs="仿宋"/>
          <w:bCs/>
          <w:color w:val="auto"/>
          <w:sz w:val="32"/>
          <w:szCs w:val="32"/>
          <w:lang w:eastAsia="zh-CN"/>
        </w:rPr>
        <w:t>范围</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县级以上人民政府农业农村、林业</w:t>
      </w:r>
      <w:r>
        <w:rPr>
          <w:rFonts w:hint="eastAsia" w:ascii="仿宋" w:hAnsi="仿宋" w:eastAsia="仿宋" w:cs="仿宋"/>
          <w:bCs/>
          <w:color w:val="auto"/>
          <w:sz w:val="32"/>
          <w:szCs w:val="32"/>
          <w:lang w:eastAsia="zh-CN"/>
        </w:rPr>
        <w:t>草原</w:t>
      </w:r>
      <w:r>
        <w:rPr>
          <w:rFonts w:hint="eastAsia" w:ascii="仿宋" w:hAnsi="仿宋" w:eastAsia="仿宋" w:cs="仿宋"/>
          <w:bCs/>
          <w:color w:val="auto"/>
          <w:sz w:val="32"/>
          <w:szCs w:val="32"/>
        </w:rPr>
        <w:t>主管部门对下列种质资源应当重点收集并加强保护：</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（一）列入国家和</w:t>
      </w:r>
      <w:r>
        <w:rPr>
          <w:rFonts w:hint="eastAsia" w:ascii="仿宋" w:hAnsi="仿宋" w:eastAsia="仿宋" w:cs="仿宋"/>
          <w:bCs/>
          <w:color w:val="auto"/>
          <w:sz w:val="32"/>
          <w:szCs w:val="32"/>
          <w:lang w:eastAsia="zh-CN"/>
        </w:rPr>
        <w:t>自治区</w:t>
      </w:r>
      <w:r>
        <w:rPr>
          <w:rFonts w:hint="eastAsia" w:ascii="仿宋" w:hAnsi="仿宋" w:eastAsia="仿宋" w:cs="仿宋"/>
          <w:bCs/>
          <w:color w:val="auto"/>
          <w:sz w:val="32"/>
          <w:szCs w:val="32"/>
        </w:rPr>
        <w:t>重点保护天然种质资源目录的；</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（二）珍稀、濒危的；</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w:t>
      </w:r>
      <w:r>
        <w:rPr>
          <w:rFonts w:hint="eastAsia" w:ascii="仿宋" w:hAnsi="仿宋" w:eastAsia="仿宋" w:cs="仿宋"/>
          <w:bCs/>
          <w:color w:val="auto"/>
          <w:sz w:val="32"/>
          <w:szCs w:val="32"/>
          <w:lang w:eastAsia="zh-CN"/>
        </w:rPr>
        <w:t>自治区</w:t>
      </w:r>
      <w:r>
        <w:rPr>
          <w:rFonts w:hint="eastAsia" w:ascii="仿宋" w:hAnsi="仿宋" w:eastAsia="仿宋" w:cs="仿宋"/>
          <w:bCs/>
          <w:color w:val="auto"/>
          <w:sz w:val="32"/>
          <w:szCs w:val="32"/>
        </w:rPr>
        <w:t>特有和地方特色农作物种质资源、乡土树种</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草种</w:t>
      </w:r>
      <w:r>
        <w:rPr>
          <w:rFonts w:hint="eastAsia" w:ascii="仿宋" w:hAnsi="仿宋" w:eastAsia="仿宋" w:cs="仿宋"/>
          <w:bCs/>
          <w:color w:val="auto"/>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（四）其他需要重点收集和保护的。</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对农作物种质资源，实行原生境保存和非原生境保存相结合的保存制度。根据林</w:t>
      </w:r>
      <w:r>
        <w:rPr>
          <w:rFonts w:hint="eastAsia" w:ascii="仿宋" w:hAnsi="仿宋" w:eastAsia="仿宋" w:cs="仿宋"/>
          <w:bCs/>
          <w:color w:val="auto"/>
          <w:sz w:val="32"/>
          <w:szCs w:val="32"/>
          <w:lang w:val="en-US" w:eastAsia="zh-CN"/>
        </w:rPr>
        <w:t>草</w:t>
      </w:r>
      <w:r>
        <w:rPr>
          <w:rFonts w:hint="eastAsia" w:ascii="仿宋" w:hAnsi="仿宋" w:eastAsia="仿宋" w:cs="仿宋"/>
          <w:bCs/>
          <w:color w:val="auto"/>
          <w:sz w:val="32"/>
          <w:szCs w:val="32"/>
        </w:rPr>
        <w:t>种质资源的生长环境、濒危程度等情况，对林</w:t>
      </w:r>
      <w:r>
        <w:rPr>
          <w:rFonts w:hint="eastAsia" w:ascii="仿宋" w:hAnsi="仿宋" w:eastAsia="仿宋" w:cs="仿宋"/>
          <w:bCs/>
          <w:color w:val="auto"/>
          <w:sz w:val="32"/>
          <w:szCs w:val="32"/>
          <w:lang w:val="en-US" w:eastAsia="zh-CN"/>
        </w:rPr>
        <w:t>草</w:t>
      </w:r>
      <w:r>
        <w:rPr>
          <w:rFonts w:hint="eastAsia" w:ascii="仿宋" w:hAnsi="仿宋" w:eastAsia="仿宋" w:cs="仿宋"/>
          <w:bCs/>
          <w:color w:val="auto"/>
          <w:sz w:val="32"/>
          <w:szCs w:val="32"/>
        </w:rPr>
        <w:t>种质资源采取原地保存、异地保存和设施保存等方式予以保护。</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rPr>
        <w:t>【抢救性保护】</w:t>
      </w:r>
      <w:r>
        <w:rPr>
          <w:rFonts w:hint="eastAsia" w:ascii="仿宋" w:hAnsi="仿宋" w:eastAsia="仿宋" w:cs="仿宋"/>
          <w:b w:val="0"/>
          <w:bCs w:val="0"/>
          <w:color w:val="auto"/>
          <w:sz w:val="32"/>
          <w:szCs w:val="32"/>
          <w:lang w:val="en-US" w:eastAsia="zh-CN"/>
        </w:rPr>
        <w:t xml:space="preserve"> 自治区</w:t>
      </w:r>
      <w:r>
        <w:rPr>
          <w:rFonts w:hint="eastAsia" w:ascii="仿宋" w:hAnsi="仿宋" w:eastAsia="仿宋" w:cs="仿宋"/>
          <w:b w:val="0"/>
          <w:bCs w:val="0"/>
          <w:color w:val="auto"/>
          <w:sz w:val="32"/>
          <w:szCs w:val="32"/>
        </w:rPr>
        <w:t>人民政府农业农村、林业</w:t>
      </w:r>
      <w:r>
        <w:rPr>
          <w:rFonts w:hint="eastAsia" w:ascii="仿宋" w:hAnsi="仿宋" w:eastAsia="仿宋" w:cs="仿宋"/>
          <w:b w:val="0"/>
          <w:bCs w:val="0"/>
          <w:color w:val="auto"/>
          <w:sz w:val="32"/>
          <w:szCs w:val="32"/>
          <w:lang w:val="en-US" w:eastAsia="zh-CN"/>
        </w:rPr>
        <w:t>草原</w:t>
      </w:r>
      <w:r>
        <w:rPr>
          <w:rFonts w:hint="eastAsia" w:ascii="仿宋" w:hAnsi="仿宋" w:eastAsia="仿宋" w:cs="仿宋"/>
          <w:b w:val="0"/>
          <w:bCs w:val="0"/>
          <w:color w:val="auto"/>
          <w:sz w:val="32"/>
          <w:szCs w:val="32"/>
        </w:rPr>
        <w:t>主管部门应当根据种质资源普查结果建立监测评价体系，并根据监测评价结果对珍稀濒危等种质资源发布动态变化和预警信息。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与种质资源保护无关的工程建设应当避开种质资源保护区、保护地和种质资源库。确需占用的，应当说明占用必要性和占用后对种质资源的影响，并制定恢复或者补救方案。</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因环境变化、自然灾害等情况致使种质资源受到威胁的，县级以上人民政府农业农村、林业</w:t>
      </w:r>
      <w:r>
        <w:rPr>
          <w:rFonts w:hint="eastAsia" w:ascii="仿宋" w:hAnsi="仿宋" w:eastAsia="仿宋" w:cs="仿宋"/>
          <w:b w:val="0"/>
          <w:bCs w:val="0"/>
          <w:color w:val="auto"/>
          <w:sz w:val="32"/>
          <w:szCs w:val="32"/>
          <w:lang w:val="en-US" w:eastAsia="zh-CN"/>
        </w:rPr>
        <w:t>草原</w:t>
      </w:r>
      <w:r>
        <w:rPr>
          <w:rFonts w:hint="eastAsia" w:ascii="仿宋" w:hAnsi="仿宋" w:eastAsia="仿宋" w:cs="仿宋"/>
          <w:b w:val="0"/>
          <w:bCs w:val="0"/>
          <w:color w:val="auto"/>
          <w:sz w:val="32"/>
          <w:szCs w:val="32"/>
        </w:rPr>
        <w:t>主管部门应当及时组织抢救性收集、保护。</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第十四条</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种质资源交流</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鼓励和支持科研机构、高等院校、种子企业及其他单位和个人参与种质资源保护，并按照规定登记其保存的种质资源信息。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因科研和育种需要使用本</w:t>
      </w:r>
      <w:r>
        <w:rPr>
          <w:rFonts w:hint="eastAsia" w:ascii="仿宋" w:hAnsi="仿宋" w:eastAsia="仿宋" w:cs="仿宋"/>
          <w:b w:val="0"/>
          <w:bCs w:val="0"/>
          <w:color w:val="auto"/>
          <w:sz w:val="32"/>
          <w:szCs w:val="32"/>
          <w:lang w:eastAsia="zh-CN"/>
        </w:rPr>
        <w:t>自治区</w:t>
      </w:r>
      <w:r>
        <w:rPr>
          <w:rFonts w:hint="eastAsia" w:ascii="仿宋" w:hAnsi="仿宋" w:eastAsia="仿宋" w:cs="仿宋"/>
          <w:b w:val="0"/>
          <w:bCs w:val="0"/>
          <w:color w:val="auto"/>
          <w:sz w:val="32"/>
          <w:szCs w:val="32"/>
        </w:rPr>
        <w:t>可供利用的种质资源的，有关单位和个人可以向种质资源保护单位提出申请。种质资源保护单位具备提供条件的，应当提供，签署种质资源获取与利用协议并做好跟踪记录；不具备提供条件的，应当说明理由。</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种质资源保护单位应当定期将种质资源提供和利用情况向</w:t>
      </w:r>
      <w:r>
        <w:rPr>
          <w:rFonts w:hint="eastAsia" w:ascii="仿宋" w:hAnsi="仿宋" w:eastAsia="仿宋" w:cs="仿宋"/>
          <w:b w:val="0"/>
          <w:bCs w:val="0"/>
          <w:color w:val="auto"/>
          <w:sz w:val="32"/>
          <w:szCs w:val="32"/>
          <w:lang w:val="en-US" w:eastAsia="zh-CN"/>
        </w:rPr>
        <w:t>自治区</w:t>
      </w:r>
      <w:r>
        <w:rPr>
          <w:rFonts w:hint="eastAsia" w:ascii="仿宋" w:hAnsi="仿宋" w:eastAsia="仿宋" w:cs="仿宋"/>
          <w:b w:val="0"/>
          <w:bCs w:val="0"/>
          <w:color w:val="auto"/>
          <w:sz w:val="32"/>
          <w:szCs w:val="32"/>
        </w:rPr>
        <w:t>农业农村或者林业</w:t>
      </w:r>
      <w:r>
        <w:rPr>
          <w:rFonts w:hint="eastAsia" w:ascii="仿宋" w:hAnsi="仿宋" w:eastAsia="仿宋" w:cs="仿宋"/>
          <w:b w:val="0"/>
          <w:bCs w:val="0"/>
          <w:color w:val="auto"/>
          <w:sz w:val="32"/>
          <w:szCs w:val="32"/>
          <w:lang w:val="en-US" w:eastAsia="zh-CN"/>
        </w:rPr>
        <w:t>草原</w:t>
      </w:r>
      <w:r>
        <w:rPr>
          <w:rFonts w:hint="eastAsia" w:ascii="仿宋" w:hAnsi="仿宋" w:eastAsia="仿宋" w:cs="仿宋"/>
          <w:b w:val="0"/>
          <w:bCs w:val="0"/>
          <w:color w:val="auto"/>
          <w:sz w:val="32"/>
          <w:szCs w:val="32"/>
        </w:rPr>
        <w:t>主管部门报告。</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rPr>
      </w:pPr>
      <w:r>
        <w:rPr>
          <w:rFonts w:hint="eastAsia" w:ascii="仿宋" w:hAnsi="仿宋" w:eastAsia="仿宋" w:cs="仿宋"/>
          <w:b w:val="0"/>
          <w:bCs w:val="0"/>
          <w:color w:val="auto"/>
          <w:sz w:val="32"/>
          <w:szCs w:val="32"/>
        </w:rPr>
        <w:t>涉及向境外提供种质资源，或者与境外机构、个人开展合作研究利用种质资源的，严格按照国家有关规定执行。</w:t>
      </w:r>
    </w:p>
    <w:p>
      <w:pPr>
        <w:widowControl/>
        <w:spacing w:beforeLines="50" w:afterLines="50" w:line="540" w:lineRule="exact"/>
        <w:jc w:val="center"/>
        <w:rPr>
          <w:rFonts w:hint="default" w:ascii="Times New Roman" w:hAnsi="Times New Roman" w:eastAsia="仿宋_GB2312" w:cs="Times New Roman"/>
          <w:b/>
          <w:bCs w:val="0"/>
          <w:color w:val="auto"/>
          <w:sz w:val="32"/>
          <w:szCs w:val="32"/>
          <w:lang w:val="en-US" w:eastAsia="zh-CN"/>
        </w:rPr>
      </w:pPr>
      <w:r>
        <w:rPr>
          <w:rFonts w:hint="default" w:ascii="黑体" w:hAnsi="黑体" w:eastAsia="黑体" w:cs="黑体"/>
          <w:color w:val="auto"/>
          <w:sz w:val="32"/>
          <w:szCs w:val="32"/>
        </w:rPr>
        <w:t>第三章 品种选育、审定与登记</w:t>
      </w:r>
    </w:p>
    <w:p>
      <w:pPr>
        <w:keepNext w:val="0"/>
        <w:keepLines w:val="0"/>
        <w:pageBreakBefore w:val="0"/>
        <w:widowControl/>
        <w:shd w:val="clear"/>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第十五条</w:t>
      </w:r>
      <w:r>
        <w:rPr>
          <w:rFonts w:hint="eastAsia" w:ascii="仿宋" w:hAnsi="仿宋" w:eastAsia="仿宋" w:cs="仿宋"/>
          <w:bCs/>
          <w:color w:val="auto"/>
          <w:sz w:val="32"/>
          <w:szCs w:val="32"/>
        </w:rPr>
        <w:t>【支持育种研发】 县级以上人民政府支持种子企业与科研机构、高等院校在育种关键共性技术创新、优异基因挖掘、新种质创制、新品种培育等方面开展创新合作。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sz w:val="32"/>
          <w:szCs w:val="32"/>
          <w:lang w:val="en-US" w:eastAsia="zh-CN"/>
        </w:rPr>
        <w:t>第十六条</w:t>
      </w:r>
      <w:r>
        <w:rPr>
          <w:rFonts w:hint="eastAsia" w:ascii="仿宋" w:hAnsi="仿宋" w:eastAsia="仿宋" w:cs="仿宋"/>
          <w:b/>
          <w:bCs/>
          <w:color w:val="auto"/>
          <w:sz w:val="32"/>
          <w:szCs w:val="32"/>
        </w:rPr>
        <w:t>【</w:t>
      </w:r>
      <w:r>
        <w:rPr>
          <w:rFonts w:hint="eastAsia" w:ascii="仿宋" w:hAnsi="仿宋" w:eastAsia="仿宋" w:cs="仿宋"/>
          <w:color w:val="auto"/>
          <w:sz w:val="32"/>
          <w:szCs w:val="32"/>
        </w:rPr>
        <w:t>品种审定</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主要农作物品种和主要林木、草品种推广应用前，应当通过国家或者自治区农作物、林木、草品种审定委员会的审定。自治区农业农村、林业草原主管部门分别设立农作物品种和林木、草品种审定委员会，依法承担主要农作物品种</w:t>
      </w:r>
      <w:r>
        <w:rPr>
          <w:rFonts w:hint="eastAsia" w:ascii="仿宋" w:hAnsi="仿宋" w:eastAsia="仿宋" w:cs="仿宋"/>
          <w:color w:val="auto"/>
          <w:sz w:val="32"/>
          <w:szCs w:val="32"/>
          <w:lang w:val="en-US" w:eastAsia="zh-CN"/>
        </w:rPr>
        <w:t>和主要林</w:t>
      </w:r>
      <w:r>
        <w:rPr>
          <w:rFonts w:hint="eastAsia" w:ascii="仿宋" w:hAnsi="仿宋" w:eastAsia="仿宋" w:cs="仿宋"/>
          <w:color w:val="auto"/>
          <w:sz w:val="32"/>
          <w:szCs w:val="32"/>
          <w:lang w:eastAsia="zh-CN"/>
        </w:rPr>
        <w:t>木、</w:t>
      </w:r>
      <w:r>
        <w:rPr>
          <w:rFonts w:hint="eastAsia" w:ascii="仿宋" w:hAnsi="仿宋" w:eastAsia="仿宋" w:cs="仿宋"/>
          <w:color w:val="auto"/>
          <w:sz w:val="32"/>
          <w:szCs w:val="32"/>
          <w:lang w:val="en-US" w:eastAsia="zh-CN"/>
        </w:rPr>
        <w:t>草品种的审定</w:t>
      </w:r>
      <w:r>
        <w:rPr>
          <w:rFonts w:hint="eastAsia" w:ascii="仿宋" w:hAnsi="仿宋" w:eastAsia="仿宋" w:cs="仿宋"/>
          <w:color w:val="auto"/>
          <w:sz w:val="32"/>
          <w:szCs w:val="32"/>
        </w:rPr>
        <w:t>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第十七条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林木品种</w:t>
      </w:r>
      <w:r>
        <w:rPr>
          <w:rFonts w:hint="eastAsia" w:ascii="仿宋" w:hAnsi="仿宋" w:eastAsia="仿宋" w:cs="仿宋"/>
          <w:bCs/>
          <w:color w:val="auto"/>
          <w:sz w:val="32"/>
          <w:szCs w:val="32"/>
        </w:rPr>
        <w:t>认定】</w:t>
      </w:r>
      <w:r>
        <w:rPr>
          <w:rFonts w:hint="eastAsia" w:ascii="仿宋" w:hAnsi="仿宋" w:eastAsia="仿宋" w:cs="仿宋"/>
          <w:bCs/>
          <w:color w:val="auto"/>
          <w:sz w:val="32"/>
          <w:szCs w:val="32"/>
          <w:lang w:val="en-US" w:eastAsia="zh-CN"/>
        </w:rPr>
        <w:t xml:space="preserve"> </w:t>
      </w:r>
      <w:r>
        <w:rPr>
          <w:rFonts w:hint="eastAsia" w:ascii="仿宋" w:hAnsi="仿宋" w:eastAsia="仿宋" w:cs="仿宋"/>
          <w:color w:val="auto"/>
          <w:sz w:val="32"/>
          <w:szCs w:val="32"/>
          <w:lang w:val="en-US" w:eastAsia="zh-CN"/>
        </w:rPr>
        <w:t>对审定未通过或者尚不完全具备林木良种审</w:t>
      </w:r>
      <w:r>
        <w:rPr>
          <w:rFonts w:hint="eastAsia" w:ascii="仿宋" w:hAnsi="仿宋" w:eastAsia="仿宋" w:cs="仿宋"/>
          <w:bCs/>
          <w:color w:val="auto"/>
          <w:sz w:val="32"/>
          <w:szCs w:val="32"/>
        </w:rPr>
        <w:t>定条件的，因生产确需使用的，应当经自治区林木品种审定委员会认定。</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对认定通过的林木</w:t>
      </w:r>
      <w:r>
        <w:rPr>
          <w:rFonts w:hint="eastAsia" w:ascii="仿宋" w:hAnsi="仿宋" w:eastAsia="仿宋" w:cs="仿宋"/>
          <w:bCs/>
          <w:color w:val="auto"/>
          <w:sz w:val="32"/>
          <w:szCs w:val="32"/>
          <w:lang w:eastAsia="zh-CN"/>
        </w:rPr>
        <w:t>品</w:t>
      </w:r>
      <w:r>
        <w:rPr>
          <w:rFonts w:hint="eastAsia" w:ascii="仿宋" w:hAnsi="仿宋" w:eastAsia="仿宋" w:cs="仿宋"/>
          <w:bCs/>
          <w:color w:val="auto"/>
          <w:sz w:val="32"/>
          <w:szCs w:val="32"/>
        </w:rPr>
        <w:t>种，由自治区林木品种审定委员会颁发认定证书，明确使用期限，并由自治区林业草原主管部门予以公告。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val="en-US" w:eastAsia="zh-CN"/>
        </w:rPr>
        <w:t>第十八条</w:t>
      </w:r>
      <w:r>
        <w:rPr>
          <w:rFonts w:hint="eastAsia" w:ascii="仿宋" w:hAnsi="仿宋" w:eastAsia="仿宋" w:cs="仿宋"/>
          <w:bCs/>
          <w:color w:val="auto"/>
          <w:sz w:val="32"/>
          <w:szCs w:val="32"/>
        </w:rPr>
        <w:t xml:space="preserve">【审定、认定的撤销】 </w:t>
      </w:r>
      <w:r>
        <w:rPr>
          <w:rFonts w:hint="eastAsia" w:ascii="仿宋" w:hAnsi="仿宋" w:eastAsia="仿宋" w:cs="仿宋"/>
          <w:color w:val="auto"/>
          <w:sz w:val="32"/>
          <w:szCs w:val="32"/>
          <w:lang w:val="en-US" w:eastAsia="zh-CN"/>
        </w:rPr>
        <w:t>自治区审定通过的农作物、林草品种和认定通过的林木品种存在下列情形之一的，经原品种审定委员会审核确认后，撤销审定、认定，由自治区人民政府农业农村、林业草原主管部门发布公告，停止推广销售：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（一）在使用过程中出现不可克服严重缺陷的；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（二）种性严重退化或者失去生产利用价值的；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（三）未按要求提供品种标准样品或者标准样品不真实的；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（四）以欺骗、伪造试验数据等不正当方式通过审定、认定</w:t>
      </w:r>
      <w:r>
        <w:rPr>
          <w:rFonts w:hint="eastAsia" w:ascii="仿宋" w:hAnsi="仿宋" w:eastAsia="仿宋" w:cs="仿宋"/>
          <w:strike w:val="0"/>
          <w:dstrike w:val="0"/>
          <w:color w:val="auto"/>
          <w:sz w:val="32"/>
          <w:szCs w:val="32"/>
          <w:shd w:val="clear" w:color="auto" w:fill="auto"/>
          <w:lang w:val="en-US" w:eastAsia="zh-CN"/>
        </w:rPr>
        <w:t>的</w:t>
      </w:r>
      <w:r>
        <w:rPr>
          <w:rFonts w:hint="eastAsia" w:ascii="仿宋" w:hAnsi="仿宋" w:eastAsia="仿宋" w:cs="仿宋"/>
          <w:color w:val="auto"/>
          <w:sz w:val="32"/>
          <w:szCs w:val="32"/>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color w:val="auto"/>
          <w:lang w:eastAsia="zh-CN"/>
        </w:rPr>
      </w:pPr>
      <w:r>
        <w:rPr>
          <w:rFonts w:hint="eastAsia" w:ascii="仿宋" w:hAnsi="仿宋" w:eastAsia="仿宋" w:cs="仿宋"/>
          <w:color w:val="auto"/>
          <w:kern w:val="0"/>
          <w:sz w:val="32"/>
          <w:szCs w:val="32"/>
          <w:lang w:val="en-US" w:eastAsia="zh-CN" w:bidi="ar-SA"/>
        </w:rPr>
        <w:t>（五）法律、法规规定的其他情形。</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第十九条</w:t>
      </w:r>
      <w:r>
        <w:rPr>
          <w:rFonts w:hint="eastAsia" w:ascii="仿宋" w:hAnsi="仿宋" w:eastAsia="仿宋" w:cs="仿宋"/>
          <w:bCs/>
          <w:color w:val="auto"/>
          <w:sz w:val="32"/>
          <w:szCs w:val="32"/>
        </w:rPr>
        <w:t>【引种备案制度】 自治区人民政府农业农村或者林业草原主管部门应当加强同一适宜生态区省际间品种试验数据共享互认机制。</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引种属于同一适宜生态区的其他省、自治区、直辖市审定通过的农作物品种、林</w:t>
      </w:r>
      <w:r>
        <w:rPr>
          <w:rFonts w:hint="eastAsia" w:ascii="仿宋" w:hAnsi="仿宋" w:eastAsia="仿宋" w:cs="仿宋"/>
          <w:bCs/>
          <w:color w:val="auto"/>
          <w:sz w:val="32"/>
          <w:szCs w:val="32"/>
          <w:lang w:eastAsia="zh-CN"/>
        </w:rPr>
        <w:t>木</w:t>
      </w:r>
      <w:r>
        <w:rPr>
          <w:rFonts w:hint="eastAsia" w:ascii="仿宋" w:hAnsi="仿宋" w:eastAsia="仿宋" w:cs="仿宋"/>
          <w:bCs/>
          <w:color w:val="auto"/>
          <w:sz w:val="32"/>
          <w:szCs w:val="32"/>
        </w:rPr>
        <w:t>、草良种的，引种者应当将引种的品种和区域报自治区人民政府农业农村或者林业草原主管部门备案。经备案的，由自治区人民政府农业农村或者林业草原主管部门向社会发布公告。</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strike w:val="0"/>
          <w:dstrike w:val="0"/>
          <w:color w:val="auto"/>
          <w:sz w:val="32"/>
          <w:szCs w:val="32"/>
          <w:shd w:val="clear" w:color="auto" w:fill="auto"/>
          <w:lang w:val="en-US" w:eastAsia="zh-CN"/>
        </w:rPr>
      </w:pPr>
      <w:r>
        <w:rPr>
          <w:rFonts w:hint="eastAsia" w:ascii="仿宋" w:hAnsi="仿宋" w:eastAsia="仿宋" w:cs="仿宋"/>
          <w:b/>
          <w:bCs w:val="0"/>
          <w:strike w:val="0"/>
          <w:dstrike w:val="0"/>
          <w:color w:val="auto"/>
          <w:sz w:val="32"/>
          <w:szCs w:val="32"/>
          <w:shd w:val="clear" w:color="auto" w:fill="auto"/>
          <w:lang w:val="en-US" w:eastAsia="zh-CN"/>
        </w:rPr>
        <w:t>第二十条【引种生产验证制度】</w:t>
      </w:r>
      <w:r>
        <w:rPr>
          <w:rFonts w:hint="eastAsia" w:ascii="仿宋" w:hAnsi="仿宋" w:eastAsia="仿宋" w:cs="仿宋"/>
          <w:bCs/>
          <w:strike w:val="0"/>
          <w:dstrike w:val="0"/>
          <w:color w:val="auto"/>
          <w:sz w:val="32"/>
          <w:szCs w:val="32"/>
          <w:shd w:val="clear" w:color="auto" w:fill="auto"/>
          <w:lang w:val="en-US" w:eastAsia="zh-CN"/>
        </w:rPr>
        <w:t xml:space="preserve"> 引种主要农作物品种的，引种者应当在拟引种区域开展不少于一年的适应性、抗病性试验，并对品种的真实性、安全性和适应性负责。</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strike w:val="0"/>
          <w:color w:val="auto"/>
          <w:shd w:val="clear" w:color="auto" w:fill="auto"/>
          <w:lang w:val="en-US"/>
        </w:rPr>
      </w:pPr>
      <w:r>
        <w:rPr>
          <w:rFonts w:hint="eastAsia" w:ascii="仿宋" w:hAnsi="仿宋" w:eastAsia="仿宋" w:cs="仿宋"/>
          <w:bCs/>
          <w:strike w:val="0"/>
          <w:dstrike w:val="0"/>
          <w:color w:val="auto"/>
          <w:sz w:val="32"/>
          <w:szCs w:val="32"/>
          <w:shd w:val="clear" w:color="auto" w:fill="auto"/>
          <w:lang w:val="en-US" w:eastAsia="zh-CN"/>
        </w:rPr>
        <w:t>引入自治区没有自然分布的林木品种的，应当按照国家引种标准通过试验。</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第四章 植物新品种保护</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highlight w:val="yellow"/>
        </w:rPr>
      </w:pPr>
      <w:r>
        <w:rPr>
          <w:rFonts w:hint="eastAsia" w:ascii="仿宋" w:hAnsi="仿宋" w:eastAsia="仿宋" w:cs="仿宋"/>
          <w:b/>
          <w:bCs w:val="0"/>
          <w:color w:val="auto"/>
          <w:sz w:val="32"/>
          <w:szCs w:val="32"/>
          <w:highlight w:val="none"/>
          <w:lang w:val="en-US" w:eastAsia="zh-CN"/>
        </w:rPr>
        <w:t>第二十一条</w:t>
      </w:r>
      <w:r>
        <w:rPr>
          <w:rFonts w:hint="eastAsia" w:ascii="仿宋" w:hAnsi="仿宋" w:eastAsia="仿宋" w:cs="仿宋"/>
          <w:bCs/>
          <w:color w:val="auto"/>
          <w:sz w:val="32"/>
          <w:szCs w:val="32"/>
          <w:highlight w:val="none"/>
        </w:rPr>
        <w:t>【植物新品种研发】 县级以上人民政府及其有关部门应当落实国家植物新品种保护制度，鼓励、支持单位和个人开展植物新品种研发、选育及成果转化，培育具有自主知识产权的植物新品种，依法申请育种发明专利权、植物新品种权。</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highlight w:val="none"/>
        </w:rPr>
        <w:t>完成育种的单位或者个人对其授权品种，享有排他的独占权。</w:t>
      </w:r>
      <w:r>
        <w:rPr>
          <w:rFonts w:hint="eastAsia" w:ascii="仿宋" w:hAnsi="仿宋" w:eastAsia="仿宋" w:cs="仿宋"/>
          <w:bCs/>
          <w:color w:val="auto"/>
          <w:sz w:val="32"/>
          <w:szCs w:val="32"/>
          <w:highlight w:val="none"/>
          <w:lang w:val="en-US" w:eastAsia="zh-CN"/>
        </w:rPr>
        <w:t>育种单位或个人将授权品种许可他人使用的，应当签订书面协议，载明农作物和林木、草种种类、品种名称、委托期限以及双方的权利义务、违约责任、纠纷处理方式等内容，并按照约定内容提供亲本种子。</w:t>
      </w:r>
      <w:r>
        <w:rPr>
          <w:rFonts w:hint="eastAsia" w:ascii="仿宋" w:hAnsi="仿宋" w:eastAsia="仿宋" w:cs="仿宋"/>
          <w:bCs/>
          <w:color w:val="auto"/>
          <w:sz w:val="32"/>
          <w:szCs w:val="32"/>
          <w:highlight w:val="none"/>
        </w:rPr>
        <w:t>获</w:t>
      </w:r>
      <w:r>
        <w:rPr>
          <w:rFonts w:hint="eastAsia" w:ascii="仿宋" w:hAnsi="仿宋" w:eastAsia="仿宋" w:cs="仿宋"/>
          <w:bCs/>
          <w:color w:val="auto"/>
          <w:sz w:val="32"/>
          <w:szCs w:val="32"/>
        </w:rPr>
        <w:t>得授权的单位或者个人生产、销售的品种要与授权品种一致，不论授权品种的保护期是否届满，销售该授权品种应当使用其注册登记的名称</w:t>
      </w:r>
      <w:r>
        <w:rPr>
          <w:rFonts w:hint="eastAsia" w:ascii="仿宋" w:hAnsi="仿宋" w:eastAsia="仿宋" w:cs="仿宋"/>
          <w:bCs/>
          <w:color w:val="auto"/>
          <w:sz w:val="32"/>
          <w:szCs w:val="32"/>
          <w:lang w:val="en-US" w:eastAsia="zh-CN"/>
        </w:rPr>
        <w:t>。</w:t>
      </w:r>
    </w:p>
    <w:p>
      <w:pPr>
        <w:pStyle w:val="2"/>
        <w:rPr>
          <w:rFonts w:hint="eastAsia" w:ascii="仿宋" w:hAnsi="仿宋" w:eastAsia="仿宋" w:cs="仿宋"/>
          <w:bCs/>
          <w:color w:val="auto"/>
          <w:sz w:val="32"/>
          <w:szCs w:val="32"/>
        </w:rPr>
      </w:pPr>
      <w:r>
        <w:rPr>
          <w:rFonts w:hint="eastAsia" w:ascii="仿宋" w:hAnsi="仿宋" w:eastAsia="仿宋" w:cs="仿宋"/>
          <w:bCs/>
          <w:color w:val="auto"/>
          <w:kern w:val="2"/>
          <w:sz w:val="32"/>
          <w:szCs w:val="32"/>
          <w:lang w:val="en-US" w:eastAsia="zh-CN" w:bidi="ar-SA"/>
        </w:rPr>
        <w:t>农民专业合作社、家庭农场等新型农业生产经营主体使用自繁自用授权品种的繁殖材料用于生产的，应当取得植物新品种权人的许可</w:t>
      </w:r>
      <w:r>
        <w:rPr>
          <w:rFonts w:hint="eastAsia" w:ascii="仿宋" w:hAnsi="仿宋" w:eastAsia="仿宋" w:cs="仿宋"/>
          <w:bCs/>
          <w:color w:val="auto"/>
          <w:sz w:val="32"/>
          <w:szCs w:val="32"/>
        </w:rPr>
        <w:t>。</w:t>
      </w:r>
    </w:p>
    <w:p>
      <w:pPr>
        <w:rPr>
          <w:rFonts w:hint="eastAsia" w:ascii="仿宋" w:hAnsi="仿宋" w:eastAsia="仿宋" w:cs="仿宋"/>
          <w:color w:val="auto"/>
          <w:lang w:val="en-US" w:eastAsia="zh-CN"/>
        </w:rPr>
      </w:pP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第二十二条</w:t>
      </w:r>
      <w:r>
        <w:rPr>
          <w:rFonts w:hint="eastAsia" w:ascii="仿宋" w:hAnsi="仿宋" w:eastAsia="仿宋" w:cs="仿宋"/>
          <w:bCs/>
          <w:color w:val="auto"/>
          <w:sz w:val="32"/>
          <w:szCs w:val="32"/>
        </w:rPr>
        <w:t>【植物新品种权保障与奖励】 取得植物新品种权的品种得到推广应用的，育种者、权利人有权依法获得相应的经济利益。</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对取得植物新品种权或者育种方法发明专利权并得到推广应用的育种者、权利人，县级以上人民政府应当按照国家和自治区有关规定给予奖励。</w:t>
      </w:r>
    </w:p>
    <w:p>
      <w:pPr>
        <w:widowControl/>
        <w:spacing w:beforeLines="50" w:afterLines="50" w:line="540" w:lineRule="exact"/>
        <w:jc w:val="center"/>
        <w:rPr>
          <w:rFonts w:hint="default" w:ascii="Times New Roman" w:hAnsi="Times New Roman" w:eastAsia="仿宋_GB2312" w:cs="Times New Roman"/>
          <w:b/>
          <w:bCs w:val="0"/>
          <w:color w:val="auto"/>
          <w:sz w:val="32"/>
          <w:szCs w:val="32"/>
          <w:lang w:val="en-US" w:eastAsia="zh-CN"/>
        </w:rPr>
      </w:pPr>
      <w:r>
        <w:rPr>
          <w:rFonts w:hint="default" w:ascii="黑体" w:hAnsi="黑体" w:eastAsia="黑体" w:cs="黑体"/>
          <w:color w:val="auto"/>
          <w:sz w:val="32"/>
          <w:szCs w:val="32"/>
        </w:rPr>
        <w:t>第五章 种子生产经营</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第二十三条</w:t>
      </w:r>
      <w:r>
        <w:rPr>
          <w:rFonts w:hint="eastAsia" w:ascii="仿宋" w:hAnsi="仿宋" w:eastAsia="仿宋" w:cs="仿宋"/>
          <w:bCs/>
          <w:color w:val="auto"/>
          <w:sz w:val="32"/>
          <w:szCs w:val="32"/>
        </w:rPr>
        <w:t>【进出口种子生产管理服务】 自治区人民政府农业农村、林业草原主管部门</w:t>
      </w:r>
      <w:r>
        <w:rPr>
          <w:rFonts w:hint="eastAsia" w:ascii="仿宋" w:hAnsi="仿宋" w:eastAsia="仿宋" w:cs="仿宋"/>
          <w:bCs/>
          <w:color w:val="auto"/>
          <w:sz w:val="32"/>
          <w:szCs w:val="32"/>
          <w:lang w:val="en-US" w:eastAsia="zh-CN"/>
        </w:rPr>
        <w:t>根据国务院农业农村、林业草原主管部门委托协助办理进出口种子生产经营许可证，并与海关、动植物检疫、工信等部门</w:t>
      </w:r>
      <w:r>
        <w:rPr>
          <w:rFonts w:hint="eastAsia" w:ascii="仿宋" w:hAnsi="仿宋" w:eastAsia="仿宋" w:cs="仿宋"/>
          <w:bCs/>
          <w:color w:val="auto"/>
          <w:sz w:val="32"/>
          <w:szCs w:val="32"/>
        </w:rPr>
        <w:t>建立协调工作机制，研究解决种子进出口管理工作中的重大问题，为从事种子进出口业务的企业做好服务。</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从事种子进出口业务、转基因农作物种子生产经营的企业和外商投资企业申请领取种子生产经营许可证，还应当遵守有关法律法规和规章的规定。</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strike w:val="0"/>
          <w:dstrike w:val="0"/>
          <w:color w:val="auto"/>
          <w:sz w:val="32"/>
          <w:szCs w:val="32"/>
          <w:shd w:val="clear" w:color="auto" w:fill="auto"/>
          <w:lang w:val="en-US" w:eastAsia="zh-CN"/>
        </w:rPr>
      </w:pPr>
      <w:r>
        <w:rPr>
          <w:rFonts w:hint="eastAsia" w:ascii="仿宋" w:hAnsi="仿宋" w:eastAsia="仿宋" w:cs="仿宋"/>
          <w:b/>
          <w:bCs w:val="0"/>
          <w:strike w:val="0"/>
          <w:dstrike w:val="0"/>
          <w:color w:val="auto"/>
          <w:sz w:val="32"/>
          <w:szCs w:val="32"/>
          <w:shd w:val="clear" w:color="auto" w:fill="auto"/>
          <w:lang w:val="en-US" w:eastAsia="zh-CN"/>
        </w:rPr>
        <w:t>第二十四条</w:t>
      </w:r>
      <w:r>
        <w:rPr>
          <w:rFonts w:hint="eastAsia" w:ascii="仿宋" w:hAnsi="仿宋" w:eastAsia="仿宋" w:cs="仿宋"/>
          <w:bCs/>
          <w:strike w:val="0"/>
          <w:dstrike w:val="0"/>
          <w:color w:val="auto"/>
          <w:sz w:val="32"/>
          <w:szCs w:val="32"/>
          <w:shd w:val="clear" w:color="auto" w:fill="auto"/>
          <w:lang w:val="en-US" w:eastAsia="zh-CN"/>
        </w:rPr>
        <w:t>【申请办理生产许可证条件】 办理种子生产经营许可证的主要农作物品种应当通过审定，列入非主要农作物登记目录的品种应当登记，授权品种应当经过品种权人的书面许可，并在品种的适宜区域内销售。</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color w:val="auto"/>
        </w:rPr>
      </w:pPr>
      <w:r>
        <w:rPr>
          <w:rFonts w:hint="eastAsia" w:ascii="仿宋" w:hAnsi="仿宋" w:eastAsia="仿宋" w:cs="仿宋"/>
          <w:b/>
          <w:bCs w:val="0"/>
          <w:color w:val="auto"/>
          <w:sz w:val="32"/>
          <w:szCs w:val="32"/>
          <w:lang w:val="en-US" w:eastAsia="zh-CN"/>
        </w:rPr>
        <w:t>第二十五条</w:t>
      </w:r>
      <w:r>
        <w:rPr>
          <w:rFonts w:hint="eastAsia" w:ascii="仿宋" w:hAnsi="仿宋" w:eastAsia="仿宋" w:cs="仿宋"/>
          <w:b/>
          <w:bCs/>
          <w:color w:val="auto"/>
          <w:sz w:val="32"/>
          <w:szCs w:val="32"/>
        </w:rPr>
        <w:t>【</w:t>
      </w:r>
      <w:r>
        <w:rPr>
          <w:rFonts w:hint="eastAsia" w:ascii="仿宋" w:hAnsi="仿宋" w:eastAsia="仿宋" w:cs="仿宋"/>
          <w:color w:val="auto"/>
          <w:sz w:val="32"/>
          <w:szCs w:val="32"/>
        </w:rPr>
        <w:t>种子质量</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Cs/>
          <w:color w:val="auto"/>
          <w:sz w:val="32"/>
          <w:szCs w:val="32"/>
        </w:rPr>
        <w:t>农作物和林草种子生产者经营者应当执行国家和自治区种子生产技术规程和种子检验、检疫规程，建立</w:t>
      </w:r>
      <w:r>
        <w:rPr>
          <w:rFonts w:hint="eastAsia" w:ascii="仿宋" w:hAnsi="仿宋" w:eastAsia="仿宋" w:cs="仿宋"/>
          <w:bCs/>
          <w:color w:val="auto"/>
          <w:sz w:val="32"/>
          <w:szCs w:val="32"/>
          <w:lang w:val="en-US" w:eastAsia="zh-CN"/>
        </w:rPr>
        <w:t>和保存</w:t>
      </w:r>
      <w:r>
        <w:rPr>
          <w:rFonts w:hint="eastAsia" w:ascii="仿宋" w:hAnsi="仿宋" w:eastAsia="仿宋" w:cs="仿宋"/>
          <w:bCs/>
          <w:color w:val="auto"/>
          <w:sz w:val="32"/>
          <w:szCs w:val="32"/>
        </w:rPr>
        <w:t>种子生产经营档案，种子生产经营档案至少保存五年</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保证可追溯。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种子生产经营者应当按批次保存所生产经营的种子样品，不适宜保存的除外。农作物种子样品保存期不得少于该类作物两个生产周期，林木</w:t>
      </w:r>
      <w:r>
        <w:rPr>
          <w:rFonts w:hint="eastAsia" w:ascii="宋体" w:hAnsi="宋体" w:cs="仿宋_GB2312"/>
          <w:bCs/>
          <w:color w:val="auto"/>
          <w:kern w:val="0"/>
          <w:sz w:val="24"/>
          <w:lang w:eastAsia="zh-CN"/>
        </w:rPr>
        <w:t>、</w:t>
      </w:r>
      <w:r>
        <w:rPr>
          <w:rFonts w:hint="eastAsia" w:ascii="仿宋" w:hAnsi="仿宋" w:eastAsia="仿宋" w:cs="仿宋"/>
          <w:bCs/>
          <w:color w:val="auto"/>
          <w:sz w:val="32"/>
          <w:szCs w:val="32"/>
          <w:lang w:val="en-US" w:eastAsia="zh-CN"/>
        </w:rPr>
        <w:t>草种子样品保存期不得少于国家规定的贮藏年限。</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color w:val="auto"/>
        </w:rPr>
      </w:pPr>
      <w:r>
        <w:rPr>
          <w:rFonts w:hint="eastAsia" w:ascii="仿宋" w:hAnsi="仿宋" w:eastAsia="仿宋" w:cs="仿宋"/>
          <w:bCs/>
          <w:color w:val="auto"/>
          <w:sz w:val="32"/>
          <w:szCs w:val="32"/>
        </w:rPr>
        <w:t>销售的种子应当符合国家或者行业标准，附有标签和使用说明。标签和使用说明标注的内容应当与销售的种子相符。种子生产经营者对标注内容的真实性和种子质量负责。销售的种子标签上应当标注种子的质量保质期，标注以月为单位，自检测日期起最长时间不得超过十二个月，超过十二个月要复检，并标注复检日期。</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kern w:val="2"/>
          <w:sz w:val="32"/>
          <w:szCs w:val="32"/>
          <w:lang w:val="en-US" w:eastAsia="zh-CN" w:bidi="ar-SA"/>
        </w:rPr>
        <w:t>第二十六条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委托</w:t>
      </w:r>
      <w:r>
        <w:rPr>
          <w:rFonts w:hint="eastAsia" w:ascii="仿宋" w:hAnsi="仿宋" w:eastAsia="仿宋" w:cs="仿宋"/>
          <w:bCs/>
          <w:color w:val="auto"/>
          <w:sz w:val="32"/>
          <w:szCs w:val="32"/>
        </w:rPr>
        <w:t>生产经营</w:t>
      </w:r>
      <w:r>
        <w:rPr>
          <w:rFonts w:hint="eastAsia" w:ascii="仿宋" w:hAnsi="仿宋" w:eastAsia="仿宋" w:cs="仿宋"/>
          <w:bCs/>
          <w:color w:val="auto"/>
          <w:sz w:val="32"/>
          <w:szCs w:val="32"/>
          <w:lang w:eastAsia="zh-CN"/>
        </w:rPr>
        <w:t>种子</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 xml:space="preserve"> 种子生产经营者委托其他单位或者个人生产、加工、代销其种子的，委托方应当与受委托方签订委托生产、加工、代销书面协议，载明委托生产、加工、代销的农作物和林木、草种种类、品种名称、委托期限以及双方的权利义务、违约责任、纠纷处理方式等内容。同时双方建立健全委托生产、加工、代销台账，载明农作物或林木、草种种类、品种名称、种子数量、来源、去向以及质量要求等信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受委托方应当按照委托协议确定的品种、数量和质量标准，从事生产、加工、代销活动，不得再委托第三方生产、加工、代销种子。</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任何单位和个人不得接受无种子生产经营许可证的单位和个人委托，为其生产、加工、代销种子。</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color w:val="auto"/>
        </w:rPr>
      </w:pPr>
      <w:r>
        <w:rPr>
          <w:rFonts w:hint="eastAsia" w:ascii="仿宋" w:hAnsi="仿宋" w:eastAsia="仿宋" w:cs="仿宋"/>
          <w:b/>
          <w:bCs w:val="0"/>
          <w:color w:val="auto"/>
          <w:sz w:val="32"/>
          <w:szCs w:val="32"/>
          <w:lang w:val="en-US" w:eastAsia="zh-CN"/>
        </w:rPr>
        <w:t>第二十七条</w:t>
      </w:r>
      <w:r>
        <w:rPr>
          <w:rFonts w:hint="eastAsia" w:ascii="仿宋" w:hAnsi="仿宋" w:eastAsia="仿宋" w:cs="仿宋"/>
          <w:bCs/>
          <w:color w:val="auto"/>
          <w:sz w:val="32"/>
          <w:szCs w:val="32"/>
        </w:rPr>
        <w:t>【农民出售种子】 农民</w:t>
      </w:r>
      <w:r>
        <w:rPr>
          <w:rFonts w:hint="eastAsia" w:ascii="仿宋" w:hAnsi="仿宋" w:eastAsia="仿宋" w:cs="仿宋"/>
          <w:bCs/>
          <w:color w:val="auto"/>
          <w:sz w:val="32"/>
          <w:szCs w:val="32"/>
          <w:lang w:val="en-US" w:eastAsia="zh-CN"/>
        </w:rPr>
        <w:t>个人</w:t>
      </w:r>
      <w:r>
        <w:rPr>
          <w:rFonts w:hint="eastAsia" w:ascii="仿宋" w:hAnsi="仿宋" w:eastAsia="仿宋" w:cs="仿宋"/>
          <w:bCs/>
          <w:color w:val="auto"/>
          <w:sz w:val="32"/>
          <w:szCs w:val="32"/>
        </w:rPr>
        <w:t>在其</w:t>
      </w:r>
      <w:r>
        <w:rPr>
          <w:rFonts w:hint="eastAsia" w:ascii="仿宋" w:hAnsi="仿宋" w:eastAsia="仿宋" w:cs="仿宋"/>
          <w:bCs/>
          <w:color w:val="auto"/>
          <w:sz w:val="32"/>
          <w:szCs w:val="32"/>
          <w:lang w:val="en-US" w:eastAsia="zh-CN"/>
        </w:rPr>
        <w:t>家庭联产</w:t>
      </w:r>
      <w:r>
        <w:rPr>
          <w:rFonts w:hint="eastAsia" w:ascii="仿宋" w:hAnsi="仿宋" w:eastAsia="仿宋" w:cs="仿宋"/>
          <w:bCs/>
          <w:color w:val="auto"/>
          <w:sz w:val="32"/>
          <w:szCs w:val="32"/>
        </w:rPr>
        <w:t>承包的责任田上自繁自用常规种子</w:t>
      </w:r>
      <w:r>
        <w:rPr>
          <w:rFonts w:hint="eastAsia" w:ascii="仿宋" w:hAnsi="仿宋" w:eastAsia="仿宋" w:cs="仿宋"/>
          <w:bCs/>
          <w:color w:val="auto"/>
          <w:sz w:val="32"/>
          <w:szCs w:val="32"/>
          <w:lang w:val="en-US" w:eastAsia="zh-CN"/>
        </w:rPr>
        <w:t>有剩余的</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可以</w:t>
      </w:r>
      <w:r>
        <w:rPr>
          <w:rFonts w:hint="eastAsia" w:ascii="仿宋" w:hAnsi="仿宋" w:eastAsia="仿宋" w:cs="仿宋"/>
          <w:bCs/>
          <w:color w:val="auto"/>
          <w:sz w:val="32"/>
          <w:szCs w:val="32"/>
        </w:rPr>
        <w:t>在其承包责任田所在地的村、乡镇集贸市场</w:t>
      </w:r>
      <w:r>
        <w:rPr>
          <w:rFonts w:hint="eastAsia" w:ascii="仿宋" w:hAnsi="仿宋" w:eastAsia="仿宋" w:cs="仿宋"/>
          <w:bCs/>
          <w:color w:val="auto"/>
          <w:sz w:val="32"/>
          <w:szCs w:val="32"/>
          <w:lang w:val="en-US" w:eastAsia="zh-CN"/>
        </w:rPr>
        <w:t>上持有效证件</w:t>
      </w:r>
      <w:r>
        <w:rPr>
          <w:rFonts w:hint="eastAsia" w:ascii="仿宋" w:hAnsi="仿宋" w:eastAsia="仿宋" w:cs="仿宋"/>
          <w:bCs/>
          <w:color w:val="auto"/>
          <w:sz w:val="32"/>
          <w:szCs w:val="32"/>
        </w:rPr>
        <w:t>出售、串换，数量不应超过其家庭联产承包土地的年度用种量</w:t>
      </w:r>
      <w:r>
        <w:rPr>
          <w:rFonts w:hint="eastAsia" w:ascii="仿宋" w:hAnsi="仿宋" w:eastAsia="仿宋" w:cs="仿宋"/>
          <w:bCs/>
          <w:color w:val="auto"/>
          <w:sz w:val="32"/>
          <w:szCs w:val="32"/>
          <w:lang w:eastAsia="zh-CN"/>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第二十八条</w:t>
      </w:r>
      <w:r>
        <w:rPr>
          <w:rFonts w:hint="eastAsia" w:ascii="仿宋" w:hAnsi="仿宋" w:eastAsia="仿宋" w:cs="仿宋"/>
          <w:bCs/>
          <w:color w:val="auto"/>
          <w:sz w:val="32"/>
          <w:szCs w:val="32"/>
        </w:rPr>
        <w:t>【广告宣传】 种子广告的内容应当符合法律、行政法规的规定，广告中关于品种名称、生产性能、生长量或者产量、品质、抗性、特殊使用价值、经济价值、适宜种植的范围和条件等方面的表述应当真实、清楚、明白，并不得含有下列内容：</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(一)作科学上无法验证的断言；</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(二)表示功效的断言或者保证；</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(三)对经济效益进行分析、预测或者作保证性承诺；</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(四)利用科研单位、学术机构、技术推广机构、行业协会或者专业人士、用户的名义或者形象作推荐、证明。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发布虚假种子广告，欺骗和误导购种者，致使其合法权益受到损害的，广告主、广告经营者、广告发布者依法承担相关责任。</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通过品种审定、登记品种，主要性状描述等应当与审定、登记公告一致，其它内容不应超过审定、登记公告的范围。</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第二十九条</w:t>
      </w:r>
      <w:r>
        <w:rPr>
          <w:rFonts w:hint="eastAsia" w:ascii="仿宋" w:hAnsi="仿宋" w:eastAsia="仿宋" w:cs="仿宋"/>
          <w:bCs/>
          <w:color w:val="auto"/>
          <w:sz w:val="32"/>
          <w:szCs w:val="32"/>
        </w:rPr>
        <w:t>【互联网销售种子】 利用互联网等信息网络经营种子的，应当在其首页显著位置持续公示种子生产经营许可证或者备案信息。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电子商务平台经营者应当对平台内种子经营者的身份、联系方式、种子生产经营许可证或者备案信息等进行核验、登记，建立经营者档案，并定期核验更新。</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通过种业大会等展销会销售种子的，展销会承办单位应当对销售者的种子生产经营许可证或者备案信息等进行核验。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第三十条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种子使用人权利</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 xml:space="preserve"> 种子使用者有权按照个人意愿购买种子，任何单位和个人不得非法干预。强迫种子使用者违背个人意愿购买、使用种子造成损失的，应当承担赔偿责任。</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kern w:val="2"/>
          <w:sz w:val="32"/>
          <w:szCs w:val="32"/>
          <w:bdr w:val="single" w:sz="4" w:space="0"/>
          <w:shd w:val="clear" w:color="auto" w:fill="auto"/>
          <w:lang w:val="en-US" w:eastAsia="zh-CN" w:bidi="ar-SA"/>
        </w:rPr>
      </w:pPr>
      <w:r>
        <w:rPr>
          <w:rFonts w:hint="eastAsia" w:ascii="仿宋" w:hAnsi="仿宋" w:eastAsia="仿宋" w:cs="仿宋"/>
          <w:b/>
          <w:bCs w:val="0"/>
          <w:color w:val="auto"/>
          <w:sz w:val="32"/>
          <w:szCs w:val="32"/>
          <w:lang w:val="en-US" w:eastAsia="zh-CN"/>
        </w:rPr>
        <w:t>第三十一条</w:t>
      </w:r>
      <w:r>
        <w:rPr>
          <w:rFonts w:hint="eastAsia" w:ascii="仿宋" w:hAnsi="仿宋" w:eastAsia="仿宋" w:cs="仿宋"/>
          <w:bCs/>
          <w:color w:val="auto"/>
          <w:sz w:val="32"/>
          <w:szCs w:val="32"/>
        </w:rPr>
        <w:t>【种子信息共享】 自治区人民政府农业农村、林业草原主管部门应当加强种子信息化建设，促进种子信息数据与其他公共数据共享开放。</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第三十二条【</w:t>
      </w:r>
      <w:r>
        <w:rPr>
          <w:rFonts w:hint="eastAsia" w:ascii="仿宋" w:hAnsi="仿宋" w:eastAsia="仿宋" w:cs="仿宋"/>
          <w:bCs/>
          <w:color w:val="auto"/>
          <w:sz w:val="32"/>
          <w:szCs w:val="32"/>
          <w:lang w:eastAsia="zh-CN"/>
        </w:rPr>
        <w:t>订单式生产</w:t>
      </w:r>
      <w:r>
        <w:rPr>
          <w:rFonts w:hint="eastAsia" w:ascii="仿宋" w:hAnsi="仿宋" w:eastAsia="仿宋" w:cs="仿宋"/>
          <w:bCs/>
          <w:color w:val="auto"/>
          <w:sz w:val="32"/>
          <w:szCs w:val="32"/>
        </w:rPr>
        <w:t>】</w:t>
      </w:r>
      <w:r>
        <w:rPr>
          <w:rFonts w:hint="eastAsia" w:ascii="仿宋" w:hAnsi="仿宋" w:eastAsia="仿宋" w:cs="仿宋"/>
          <w:bCs/>
          <w:color w:val="auto"/>
          <w:kern w:val="2"/>
          <w:sz w:val="32"/>
          <w:szCs w:val="32"/>
          <w:lang w:val="en-US" w:eastAsia="zh-CN" w:bidi="ar-SA"/>
        </w:rPr>
        <w:t xml:space="preserve"> 通过农业生产订单形式向农民供种的单位或个人，提供的种子应当符合有关法律、法规的规定。供种者应当建立和保存包括种子来源、品种、名称、产地、数量、质量、供种去向、销售日期、有关责任人等内容的管理档案，保证可追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第三十三条</w:t>
      </w:r>
      <w:r>
        <w:rPr>
          <w:rFonts w:hint="eastAsia" w:ascii="仿宋" w:hAnsi="仿宋" w:eastAsia="仿宋" w:cs="仿宋"/>
          <w:bCs/>
          <w:color w:val="auto"/>
          <w:kern w:val="2"/>
          <w:sz w:val="32"/>
          <w:szCs w:val="32"/>
          <w:lang w:val="en-US" w:eastAsia="zh-CN" w:bidi="ar-SA"/>
        </w:rPr>
        <w:t xml:space="preserve">【良种利用】 </w:t>
      </w:r>
      <w:r>
        <w:rPr>
          <w:rFonts w:hint="eastAsia" w:ascii="仿宋" w:hAnsi="仿宋" w:eastAsia="仿宋" w:cs="仿宋"/>
          <w:bCs/>
          <w:strike w:val="0"/>
          <w:dstrike w:val="0"/>
          <w:color w:val="auto"/>
          <w:sz w:val="32"/>
          <w:szCs w:val="32"/>
          <w:shd w:val="clear" w:color="auto" w:fill="auto"/>
          <w:lang w:val="en-US" w:eastAsia="zh-CN"/>
        </w:rPr>
        <w:t>县级以上林业草原主管部门应当对国家投资或者国家投资为主的造林项目和国有林业单位造林，制定计划使用林木良种，提高林木良种使用率。</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第六章 种子监督管理</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第三十四条</w:t>
      </w:r>
      <w:r>
        <w:rPr>
          <w:rFonts w:hint="eastAsia" w:ascii="仿宋" w:hAnsi="仿宋" w:eastAsia="仿宋" w:cs="仿宋"/>
          <w:bCs/>
          <w:color w:val="auto"/>
          <w:sz w:val="32"/>
          <w:szCs w:val="32"/>
        </w:rPr>
        <w:t>【协同执法与监督】 县级以上人民政府应当推动部门间、区域间协作配合，构建多元共治机制，加强对种子的执法与监督管理工作。</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农业农村、林业草原部门与市场监督管理、公安、工业与信息等部门建立联合执法协调机制，实行执法信息共享和案件移送。</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eastAsia="zh-CN"/>
        </w:rPr>
      </w:pPr>
      <w:r>
        <w:rPr>
          <w:rFonts w:hint="eastAsia" w:ascii="仿宋" w:hAnsi="仿宋" w:eastAsia="仿宋" w:cs="仿宋"/>
          <w:b/>
          <w:bCs w:val="0"/>
          <w:color w:val="auto"/>
          <w:sz w:val="32"/>
          <w:szCs w:val="32"/>
          <w:lang w:val="en-US" w:eastAsia="zh-CN"/>
        </w:rPr>
        <w:t>第三十五条</w:t>
      </w:r>
      <w:r>
        <w:rPr>
          <w:rFonts w:hint="eastAsia" w:ascii="仿宋" w:hAnsi="仿宋" w:eastAsia="仿宋" w:cs="仿宋"/>
          <w:bCs/>
          <w:color w:val="auto"/>
          <w:sz w:val="32"/>
          <w:szCs w:val="32"/>
        </w:rPr>
        <w:t>【信用管理制度】 县级以上地方人民政府农业农村、林业草原主管部门应当会同</w:t>
      </w:r>
      <w:r>
        <w:rPr>
          <w:rFonts w:hint="eastAsia" w:ascii="仿宋" w:hAnsi="仿宋" w:eastAsia="仿宋" w:cs="仿宋"/>
          <w:bCs/>
          <w:color w:val="auto"/>
          <w:sz w:val="32"/>
          <w:szCs w:val="32"/>
          <w:lang w:val="en-US" w:eastAsia="zh-CN"/>
        </w:rPr>
        <w:t>发展改革委、市场监管等</w:t>
      </w:r>
      <w:r>
        <w:rPr>
          <w:rFonts w:hint="eastAsia" w:ascii="仿宋" w:hAnsi="仿宋" w:eastAsia="仿宋" w:cs="仿宋"/>
          <w:bCs/>
          <w:color w:val="auto"/>
          <w:sz w:val="32"/>
          <w:szCs w:val="32"/>
        </w:rPr>
        <w:t>有关部门推进种业信用管理制度建设，完善守信激励和失信惩戒机制，建立种子生产经营者信用记录，并依法向社会公开，促进市场主体依法诚信经营。</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strike w:val="0"/>
          <w:dstrike w:val="0"/>
          <w:color w:val="auto"/>
          <w:sz w:val="32"/>
          <w:szCs w:val="32"/>
          <w:shd w:val="clear" w:color="auto" w:fill="auto"/>
          <w:lang w:val="en-US" w:eastAsia="zh-CN"/>
        </w:rPr>
      </w:pPr>
      <w:r>
        <w:rPr>
          <w:rFonts w:hint="eastAsia" w:ascii="仿宋" w:hAnsi="仿宋" w:eastAsia="仿宋" w:cs="仿宋"/>
          <w:b/>
          <w:bCs w:val="0"/>
          <w:strike w:val="0"/>
          <w:dstrike w:val="0"/>
          <w:color w:val="auto"/>
          <w:sz w:val="32"/>
          <w:szCs w:val="32"/>
          <w:shd w:val="clear" w:color="auto" w:fill="auto"/>
          <w:lang w:val="en-US" w:eastAsia="zh-CN"/>
        </w:rPr>
        <w:t>第三十六条</w:t>
      </w:r>
      <w:r>
        <w:rPr>
          <w:rFonts w:hint="eastAsia" w:ascii="仿宋" w:hAnsi="仿宋" w:eastAsia="仿宋" w:cs="仿宋"/>
          <w:bCs/>
          <w:strike w:val="0"/>
          <w:dstrike w:val="0"/>
          <w:color w:val="auto"/>
          <w:sz w:val="32"/>
          <w:szCs w:val="32"/>
          <w:shd w:val="clear" w:color="auto" w:fill="auto"/>
          <w:lang w:val="en-US" w:eastAsia="zh-CN"/>
        </w:rPr>
        <w:t>【储备种子监督】种子承储单位应当按照相关法律、法规履行承储责任，确保种子数量、质量和安全，不得储备不合格种子，不得擅自动用承储种子。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第三十七条</w:t>
      </w:r>
      <w:r>
        <w:rPr>
          <w:rFonts w:hint="eastAsia" w:ascii="仿宋" w:hAnsi="仿宋" w:eastAsia="仿宋" w:cs="仿宋"/>
          <w:bCs/>
          <w:color w:val="auto"/>
          <w:sz w:val="32"/>
          <w:szCs w:val="32"/>
        </w:rPr>
        <w:t>【质量</w:t>
      </w:r>
      <w:r>
        <w:rPr>
          <w:rFonts w:hint="eastAsia" w:ascii="仿宋" w:hAnsi="仿宋" w:eastAsia="仿宋" w:cs="仿宋"/>
          <w:bCs/>
          <w:color w:val="auto"/>
          <w:sz w:val="32"/>
          <w:szCs w:val="32"/>
          <w:lang w:val="en-US" w:eastAsia="zh-CN"/>
        </w:rPr>
        <w:t>监督</w:t>
      </w:r>
      <w:r>
        <w:rPr>
          <w:rFonts w:hint="eastAsia" w:ascii="仿宋" w:hAnsi="仿宋" w:eastAsia="仿宋" w:cs="仿宋"/>
          <w:bCs/>
          <w:color w:val="auto"/>
          <w:sz w:val="32"/>
          <w:szCs w:val="32"/>
        </w:rPr>
        <w:t>】 县级以上人民政府农业农村、林业草原主管部门分别负责农作物、林草种子的质量监督</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建立完善种子质量追溯体系建设，打击生产经营假、劣种子的违法行为，提高监督执法能力，依法惩处侵害农民权益的</w:t>
      </w:r>
      <w:bookmarkStart w:id="0" w:name="_GoBack"/>
      <w:bookmarkEnd w:id="0"/>
      <w:r>
        <w:rPr>
          <w:rFonts w:hint="eastAsia" w:ascii="仿宋" w:hAnsi="仿宋" w:eastAsia="仿宋" w:cs="仿宋"/>
          <w:bCs/>
          <w:color w:val="auto"/>
          <w:sz w:val="32"/>
          <w:szCs w:val="32"/>
          <w:lang w:val="en-US" w:eastAsia="zh-CN"/>
        </w:rPr>
        <w:t>违法行为，保障种子质量安全。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在国家和自治区规定的监督检查周期内，对同一批次的种子，任何部门不得重复监督抽查。监督抽查不得向被检查人收取费用，所需费用由财政列支。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2"/>
          <w:sz w:val="32"/>
          <w:szCs w:val="32"/>
          <w:bdr w:val="single" w:sz="4" w:space="0"/>
          <w:shd w:val="clear" w:color="auto" w:fill="auto"/>
          <w:lang w:val="en-US" w:eastAsia="zh-CN" w:bidi="ar-SA"/>
        </w:rPr>
      </w:pPr>
      <w:r>
        <w:rPr>
          <w:rFonts w:hint="eastAsia" w:ascii="仿宋" w:hAnsi="仿宋" w:eastAsia="仿宋" w:cs="仿宋"/>
          <w:bCs/>
          <w:color w:val="auto"/>
          <w:sz w:val="32"/>
          <w:szCs w:val="32"/>
          <w:lang w:val="en-US" w:eastAsia="zh-CN"/>
        </w:rPr>
        <w:t>种子在生产、包装、贮存、销售、使用等环节不得添加剧毒农药或者法律、法规禁止的其他有害物质。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auto"/>
          <w:kern w:val="2"/>
          <w:sz w:val="32"/>
          <w:szCs w:val="32"/>
          <w:bdr w:val="single" w:sz="4" w:space="0"/>
          <w:shd w:val="clear" w:color="auto" w:fill="auto"/>
          <w:lang w:val="en-US" w:eastAsia="zh-CN" w:bidi="ar-SA"/>
        </w:rPr>
      </w:pPr>
      <w:r>
        <w:rPr>
          <w:rFonts w:hint="eastAsia" w:ascii="仿宋" w:hAnsi="仿宋" w:eastAsia="仿宋" w:cs="仿宋"/>
          <w:b/>
          <w:bCs w:val="0"/>
          <w:color w:val="auto"/>
          <w:sz w:val="32"/>
          <w:szCs w:val="32"/>
          <w:lang w:val="en-US" w:eastAsia="zh-CN"/>
        </w:rPr>
        <w:t>第三十八条</w:t>
      </w:r>
      <w:r>
        <w:rPr>
          <w:rFonts w:hint="eastAsia" w:ascii="仿宋" w:hAnsi="仿宋" w:eastAsia="仿宋" w:cs="仿宋"/>
          <w:bCs/>
          <w:color w:val="auto"/>
          <w:sz w:val="32"/>
          <w:szCs w:val="32"/>
        </w:rPr>
        <w:t>【种子质量纠纷调解】</w:t>
      </w:r>
      <w:r>
        <w:rPr>
          <w:rFonts w:hint="eastAsia" w:ascii="仿宋" w:hAnsi="仿宋" w:eastAsia="仿宋" w:cs="仿宋"/>
          <w:bCs/>
          <w:color w:val="auto"/>
          <w:sz w:val="32"/>
          <w:szCs w:val="32"/>
          <w:lang w:val="en-US" w:eastAsia="zh-CN"/>
        </w:rPr>
        <w:t xml:space="preserve"> 发生农作物种子质量纠纷的，可以向当地农业农村、林业草原主管部门申请调解。县级以上地方人民政府农业农村、林业草原主管部门在调解、处理种子质量纠纷时，可以根据工作需要或者纠纷当事人的申请组织鉴定，并及时作出鉴定结论。鉴定费用由申请者承担。</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eastAsia" w:ascii="仿宋" w:hAnsi="仿宋" w:eastAsia="仿宋" w:cs="仿宋"/>
          <w:b/>
          <w:bCs w:val="0"/>
          <w:color w:val="auto"/>
          <w:sz w:val="32"/>
          <w:szCs w:val="32"/>
          <w:lang w:val="en-US" w:eastAsia="zh-CN"/>
        </w:rPr>
        <w:t>第三十九条</w:t>
      </w:r>
      <w:r>
        <w:rPr>
          <w:rFonts w:hint="eastAsia" w:ascii="仿宋" w:hAnsi="仿宋" w:eastAsia="仿宋" w:cs="仿宋"/>
          <w:bCs/>
          <w:color w:val="auto"/>
          <w:sz w:val="32"/>
          <w:szCs w:val="32"/>
        </w:rPr>
        <w:t>【监督举报】 县级以上人民政府农业农村、林业草原主管部门应当建立种子违法行为投诉举报制度，公开投诉举报电话。</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第七章 扶持措施</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第四十条</w:t>
      </w:r>
      <w:r>
        <w:rPr>
          <w:rFonts w:hint="eastAsia" w:ascii="仿宋" w:hAnsi="仿宋" w:eastAsia="仿宋" w:cs="仿宋"/>
          <w:bCs/>
          <w:color w:val="auto"/>
          <w:sz w:val="32"/>
          <w:szCs w:val="32"/>
        </w:rPr>
        <w:t xml:space="preserve">【政府扶持】 </w:t>
      </w:r>
      <w:r>
        <w:rPr>
          <w:rFonts w:hint="eastAsia" w:ascii="仿宋" w:hAnsi="仿宋" w:eastAsia="仿宋" w:cs="仿宋"/>
          <w:bCs/>
          <w:color w:val="auto"/>
          <w:sz w:val="32"/>
          <w:szCs w:val="32"/>
          <w:lang w:val="en-US" w:eastAsia="zh-CN"/>
        </w:rPr>
        <w:t>县级以上</w:t>
      </w:r>
      <w:r>
        <w:rPr>
          <w:rFonts w:hint="eastAsia" w:ascii="仿宋" w:hAnsi="仿宋" w:eastAsia="仿宋" w:cs="仿宋"/>
          <w:bCs/>
          <w:color w:val="auto"/>
          <w:sz w:val="32"/>
          <w:szCs w:val="32"/>
        </w:rPr>
        <w:t>人民政府综合运用产业布局、合作协同、财税金融、人才培养、营商环境等方面的措施，促进种业振兴。</w:t>
      </w:r>
      <w:r>
        <w:rPr>
          <w:rFonts w:hint="eastAsia" w:ascii="仿宋" w:hAnsi="仿宋" w:eastAsia="仿宋" w:cs="仿宋"/>
          <w:bCs/>
          <w:color w:val="auto"/>
          <w:sz w:val="32"/>
          <w:szCs w:val="32"/>
          <w:lang w:val="en-US" w:eastAsia="zh-CN"/>
        </w:rPr>
        <w:t>县级以上人民政府</w:t>
      </w:r>
      <w:r>
        <w:rPr>
          <w:rFonts w:hint="eastAsia" w:ascii="仿宋" w:hAnsi="仿宋" w:eastAsia="仿宋" w:cs="仿宋"/>
          <w:bCs/>
          <w:color w:val="auto"/>
          <w:sz w:val="32"/>
          <w:szCs w:val="32"/>
          <w:highlight w:val="none"/>
          <w:lang w:eastAsia="zh-CN"/>
        </w:rPr>
        <w:t>应当保障</w:t>
      </w:r>
      <w:r>
        <w:rPr>
          <w:rFonts w:hint="eastAsia" w:ascii="仿宋" w:hAnsi="仿宋" w:eastAsia="仿宋" w:cs="仿宋"/>
          <w:bCs/>
          <w:color w:val="auto"/>
          <w:sz w:val="32"/>
          <w:szCs w:val="32"/>
        </w:rPr>
        <w:t>种质资源保存库</w:t>
      </w:r>
      <w:r>
        <w:rPr>
          <w:rFonts w:hint="eastAsia" w:ascii="仿宋" w:hAnsi="仿宋" w:eastAsia="仿宋" w:cs="仿宋"/>
          <w:bCs/>
          <w:color w:val="auto"/>
          <w:sz w:val="32"/>
          <w:szCs w:val="32"/>
          <w:lang w:eastAsia="zh-CN"/>
        </w:rPr>
        <w:t>（圃）</w:t>
      </w:r>
      <w:r>
        <w:rPr>
          <w:rFonts w:hint="eastAsia" w:ascii="仿宋" w:hAnsi="仿宋" w:eastAsia="仿宋" w:cs="仿宋"/>
          <w:bCs/>
          <w:color w:val="auto"/>
          <w:sz w:val="32"/>
          <w:szCs w:val="32"/>
        </w:rPr>
        <w:t>、林木良种基地、苗圃、</w:t>
      </w:r>
      <w:r>
        <w:rPr>
          <w:rFonts w:hint="eastAsia" w:ascii="仿宋" w:hAnsi="仿宋" w:eastAsia="仿宋" w:cs="仿宋"/>
          <w:bCs/>
          <w:color w:val="auto"/>
          <w:sz w:val="32"/>
          <w:szCs w:val="32"/>
          <w:lang w:val="en-US" w:eastAsia="zh-CN"/>
        </w:rPr>
        <w:t>草种原种基地、草种生产基地</w:t>
      </w:r>
      <w:r>
        <w:rPr>
          <w:rFonts w:hint="eastAsia" w:ascii="仿宋" w:hAnsi="仿宋" w:eastAsia="仿宋" w:cs="仿宋"/>
          <w:bCs/>
          <w:color w:val="auto"/>
          <w:sz w:val="32"/>
          <w:szCs w:val="32"/>
        </w:rPr>
        <w:t>以及规划在现有基本农田范围内的制种基地</w:t>
      </w:r>
      <w:r>
        <w:rPr>
          <w:rFonts w:hint="eastAsia" w:ascii="仿宋" w:hAnsi="仿宋" w:eastAsia="仿宋" w:cs="仿宋"/>
          <w:bCs/>
          <w:color w:val="auto"/>
          <w:sz w:val="32"/>
          <w:szCs w:val="32"/>
          <w:lang w:val="en-US" w:eastAsia="zh-CN"/>
        </w:rPr>
        <w:t>用地和灌溉用水。</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第四十一条</w:t>
      </w:r>
      <w:r>
        <w:rPr>
          <w:rFonts w:hint="eastAsia" w:ascii="仿宋" w:hAnsi="仿宋" w:eastAsia="仿宋" w:cs="仿宋"/>
          <w:bCs/>
          <w:color w:val="auto"/>
          <w:sz w:val="32"/>
          <w:szCs w:val="32"/>
        </w:rPr>
        <w:t>【部门服务】 县级以上人民政府农业农村、林业草原主管部门应当为品种选育者以及种子生产者、经营者、使用者提供下列指导服务：</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（一）引导种子生产者、经营者开展标准化生产和规模经营；</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（二）</w:t>
      </w:r>
      <w:r>
        <w:rPr>
          <w:rFonts w:hint="eastAsia" w:ascii="仿宋" w:hAnsi="仿宋" w:eastAsia="仿宋" w:cs="仿宋"/>
          <w:bCs/>
          <w:color w:val="auto"/>
          <w:sz w:val="32"/>
          <w:szCs w:val="32"/>
          <w:lang w:val="en-US" w:eastAsia="zh-CN"/>
        </w:rPr>
        <w:t>为种子生产者、经营者、使用者提供信息、咨询、技术和纠纷调解等服务；</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（三）组织开展良种</w:t>
      </w:r>
      <w:r>
        <w:rPr>
          <w:rFonts w:hint="eastAsia" w:ascii="仿宋" w:hAnsi="仿宋" w:eastAsia="仿宋" w:cs="仿宋"/>
          <w:bCs/>
          <w:strike w:val="0"/>
          <w:dstrike w:val="0"/>
          <w:color w:val="auto"/>
          <w:sz w:val="32"/>
          <w:szCs w:val="32"/>
        </w:rPr>
        <w:t>良法</w:t>
      </w:r>
      <w:r>
        <w:rPr>
          <w:rFonts w:hint="eastAsia" w:ascii="仿宋" w:hAnsi="仿宋" w:eastAsia="仿宋" w:cs="仿宋"/>
          <w:bCs/>
          <w:color w:val="auto"/>
          <w:sz w:val="32"/>
          <w:szCs w:val="32"/>
        </w:rPr>
        <w:t>技术培训、指导科学试验；</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kern w:val="2"/>
          <w:sz w:val="32"/>
          <w:szCs w:val="32"/>
          <w:bdr w:val="single" w:sz="4" w:space="0"/>
          <w:shd w:val="clear" w:color="auto" w:fill="auto"/>
          <w:lang w:val="en-US" w:eastAsia="zh-CN" w:bidi="ar-SA"/>
        </w:rPr>
      </w:pPr>
      <w:r>
        <w:rPr>
          <w:rFonts w:hint="eastAsia" w:ascii="仿宋" w:hAnsi="仿宋" w:eastAsia="仿宋" w:cs="仿宋"/>
          <w:bCs/>
          <w:color w:val="auto"/>
          <w:sz w:val="32"/>
          <w:szCs w:val="32"/>
        </w:rPr>
        <w:t>（四）</w:t>
      </w:r>
      <w:r>
        <w:rPr>
          <w:rFonts w:hint="eastAsia" w:ascii="仿宋" w:hAnsi="仿宋" w:eastAsia="仿宋" w:cs="仿宋"/>
          <w:bCs/>
          <w:color w:val="auto"/>
          <w:sz w:val="32"/>
          <w:szCs w:val="32"/>
          <w:lang w:val="en-US" w:eastAsia="zh-CN"/>
        </w:rPr>
        <w:t>开展农作物品种和林木、草品种展示示范，促进良种推广应用；</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（五）落实有关良种选育、生产、推广和使用方面的扶持措施。</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第四十二条</w:t>
      </w:r>
      <w:r>
        <w:rPr>
          <w:rFonts w:hint="eastAsia" w:ascii="仿宋" w:hAnsi="仿宋" w:eastAsia="仿宋" w:cs="仿宋"/>
          <w:bCs/>
          <w:color w:val="auto"/>
          <w:sz w:val="32"/>
          <w:szCs w:val="32"/>
        </w:rPr>
        <w:t>【企业扶持】 县级以上人民政府强化种子企业的创新主体作用，推动不同层次和规模的种子企业协调发展，引导资源、技术、人才、资本等要素</w:t>
      </w:r>
      <w:r>
        <w:rPr>
          <w:rFonts w:hint="eastAsia" w:ascii="仿宋" w:hAnsi="仿宋" w:eastAsia="仿宋" w:cs="仿宋"/>
          <w:bCs/>
          <w:color w:val="auto"/>
          <w:sz w:val="32"/>
          <w:szCs w:val="32"/>
          <w:lang w:val="en-US" w:eastAsia="zh-CN"/>
        </w:rPr>
        <w:t>合理流动</w:t>
      </w:r>
      <w:r>
        <w:rPr>
          <w:rFonts w:hint="eastAsia" w:ascii="仿宋" w:hAnsi="仿宋" w:eastAsia="仿宋" w:cs="仿宋"/>
          <w:bCs/>
          <w:color w:val="auto"/>
          <w:sz w:val="32"/>
          <w:szCs w:val="32"/>
        </w:rPr>
        <w:t>，建立健全科研单位、金融机构、种业基地与优势企业对接机制。</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符合国家规定条件的创新型种业企业总部、试验室、加工厂等建设用地列入地方政府年度土地供应计划并给予支持，可以按照规定享受国家支持科技创新的研发费用税前加计扣除等税收和政策优惠。</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第四十三条</w:t>
      </w:r>
      <w:r>
        <w:rPr>
          <w:rFonts w:hint="eastAsia" w:ascii="仿宋" w:hAnsi="仿宋" w:eastAsia="仿宋" w:cs="仿宋"/>
          <w:bCs/>
          <w:color w:val="auto"/>
          <w:sz w:val="32"/>
          <w:szCs w:val="32"/>
        </w:rPr>
        <w:t>【对外发展扶持】 县级以上人民政府应当支持开展种子进出口和对外合作。</w:t>
      </w:r>
      <w:r>
        <w:rPr>
          <w:rFonts w:hint="eastAsia" w:ascii="仿宋" w:hAnsi="仿宋" w:eastAsia="仿宋" w:cs="仿宋"/>
          <w:bCs/>
          <w:color w:val="auto"/>
          <w:sz w:val="32"/>
          <w:szCs w:val="32"/>
          <w:lang w:val="en-US" w:eastAsia="zh-CN"/>
        </w:rPr>
        <w:t>对开展种子进出口的产业，在本地注册的与国外合作带动经济的种子企业的发展，提供帮助和扶持。</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eastAsia" w:ascii="仿宋" w:hAnsi="仿宋" w:eastAsia="仿宋" w:cs="仿宋"/>
          <w:b/>
          <w:bCs w:val="0"/>
          <w:color w:val="auto"/>
          <w:sz w:val="32"/>
          <w:szCs w:val="32"/>
          <w:lang w:val="en-US" w:eastAsia="zh-CN"/>
        </w:rPr>
        <w:t>第四十四条</w:t>
      </w:r>
      <w:r>
        <w:rPr>
          <w:rFonts w:hint="eastAsia" w:ascii="仿宋" w:hAnsi="仿宋" w:eastAsia="仿宋" w:cs="仿宋"/>
          <w:bCs/>
          <w:color w:val="auto"/>
          <w:sz w:val="32"/>
          <w:szCs w:val="32"/>
        </w:rPr>
        <w:t>【制种采种机械扶持】 鼓励推广使用安全高效的制种采种技术和先进实用的制种采种机械</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并按照国家有关规定</w:t>
      </w:r>
      <w:r>
        <w:rPr>
          <w:rFonts w:hint="eastAsia" w:ascii="仿宋" w:hAnsi="仿宋" w:eastAsia="仿宋" w:cs="仿宋"/>
          <w:bCs/>
          <w:color w:val="auto"/>
          <w:sz w:val="32"/>
          <w:szCs w:val="32"/>
        </w:rPr>
        <w:t>将育种（苗）</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制种（苗）</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采种（苗）机械和种子加工机械纳入农机购置补贴范围。</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第八章 法律责任</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
          <w:color w:val="auto"/>
          <w:kern w:val="0"/>
          <w:sz w:val="24"/>
        </w:rPr>
      </w:pPr>
      <w:r>
        <w:rPr>
          <w:rFonts w:hint="eastAsia" w:ascii="仿宋" w:hAnsi="仿宋" w:eastAsia="仿宋" w:cs="仿宋"/>
          <w:b/>
          <w:bCs w:val="0"/>
          <w:color w:val="auto"/>
          <w:sz w:val="32"/>
          <w:szCs w:val="32"/>
          <w:lang w:val="en-US" w:eastAsia="zh-CN"/>
        </w:rPr>
        <w:t>第四十五条</w:t>
      </w:r>
      <w:r>
        <w:rPr>
          <w:rFonts w:hint="eastAsia" w:ascii="仿宋" w:hAnsi="仿宋" w:eastAsia="仿宋" w:cs="仿宋"/>
          <w:bCs/>
          <w:color w:val="auto"/>
          <w:sz w:val="32"/>
          <w:szCs w:val="32"/>
        </w:rPr>
        <w:t>【种质资源法律责任】 违反本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highlight w:val="none"/>
          <w:lang w:val="en-US" w:eastAsia="zh-CN"/>
        </w:rPr>
        <w:t>第九条</w:t>
      </w:r>
      <w:r>
        <w:rPr>
          <w:rFonts w:hint="eastAsia" w:ascii="仿宋" w:hAnsi="仿宋" w:eastAsia="仿宋" w:cs="仿宋"/>
          <w:bCs/>
          <w:color w:val="auto"/>
          <w:sz w:val="32"/>
          <w:szCs w:val="32"/>
          <w:highlight w:val="none"/>
        </w:rPr>
        <w:t>第二款规定，</w:t>
      </w:r>
      <w:r>
        <w:rPr>
          <w:rFonts w:hint="eastAsia" w:ascii="仿宋" w:hAnsi="仿宋" w:eastAsia="仿宋" w:cs="仿宋"/>
          <w:bCs/>
          <w:color w:val="auto"/>
          <w:sz w:val="32"/>
          <w:szCs w:val="32"/>
          <w:highlight w:val="none"/>
          <w:lang w:val="en-US" w:eastAsia="zh-CN"/>
        </w:rPr>
        <w:t>未经批准擅自采集或者采伐国家或自治区重点保护</w:t>
      </w:r>
      <w:r>
        <w:rPr>
          <w:rFonts w:hint="eastAsia" w:ascii="仿宋" w:hAnsi="仿宋" w:eastAsia="仿宋" w:cs="仿宋"/>
          <w:bCs/>
          <w:color w:val="auto"/>
          <w:sz w:val="32"/>
          <w:szCs w:val="32"/>
          <w:lang w:val="en-US" w:eastAsia="zh-CN"/>
        </w:rPr>
        <w:t>的天然种质资源的，由县级以上人民政府农业农村或者林业草原主管部门责令停止违法行为，没收种质资源和违法所得，处五千元以上三万元以下罚款；造成损失的，依法承担赔偿责任。</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第四十六条</w:t>
      </w:r>
      <w:r>
        <w:rPr>
          <w:rFonts w:hint="eastAsia" w:ascii="仿宋" w:hAnsi="仿宋" w:eastAsia="仿宋" w:cs="仿宋"/>
          <w:bCs/>
          <w:color w:val="auto"/>
          <w:sz w:val="32"/>
          <w:szCs w:val="32"/>
          <w:lang w:val="en-US" w:eastAsia="zh-CN"/>
        </w:rPr>
        <w:t>【品种审定、认定、引种许可申请】 申请者在申请品种审定、登记、认定和引种备案过程中有欺骗、贿赂等</w:t>
      </w:r>
      <w:r>
        <w:rPr>
          <w:rFonts w:hint="eastAsia" w:ascii="仿宋" w:hAnsi="仿宋" w:eastAsia="仿宋" w:cs="仿宋"/>
          <w:bCs/>
          <w:strike w:val="0"/>
          <w:color w:val="auto"/>
          <w:sz w:val="32"/>
          <w:szCs w:val="32"/>
          <w:lang w:val="en-US" w:eastAsia="zh-CN"/>
        </w:rPr>
        <w:t>不正当</w:t>
      </w:r>
      <w:r>
        <w:rPr>
          <w:rFonts w:hint="eastAsia" w:ascii="仿宋" w:hAnsi="仿宋" w:eastAsia="仿宋" w:cs="仿宋"/>
          <w:bCs/>
          <w:color w:val="auto"/>
          <w:sz w:val="32"/>
          <w:szCs w:val="32"/>
          <w:lang w:val="en-US" w:eastAsia="zh-CN"/>
        </w:rPr>
        <w:t>行为的，记入信用记录，三年内不受理其申请。</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第四十七条</w:t>
      </w:r>
      <w:r>
        <w:rPr>
          <w:rFonts w:hint="eastAsia" w:ascii="仿宋" w:hAnsi="仿宋" w:eastAsia="仿宋" w:cs="仿宋"/>
          <w:bCs/>
          <w:color w:val="auto"/>
          <w:sz w:val="32"/>
          <w:szCs w:val="32"/>
          <w:lang w:val="en-US" w:eastAsia="zh-CN"/>
        </w:rPr>
        <w:t>【备案】 种子生产经营者在异地设立分支机构、专门经营不再分装的包装种子或者受委托生产、</w:t>
      </w:r>
      <w:r>
        <w:rPr>
          <w:rFonts w:hint="eastAsia" w:ascii="仿宋" w:hAnsi="仿宋" w:eastAsia="仿宋" w:cs="仿宋"/>
          <w:bCs/>
          <w:strike w:val="0"/>
          <w:dstrike w:val="0"/>
          <w:color w:val="auto"/>
          <w:sz w:val="32"/>
          <w:szCs w:val="32"/>
          <w:lang w:val="en-US" w:eastAsia="zh-CN"/>
        </w:rPr>
        <w:t>加工、</w:t>
      </w:r>
      <w:r>
        <w:rPr>
          <w:rFonts w:hint="eastAsia" w:ascii="仿宋" w:hAnsi="仿宋" w:eastAsia="仿宋" w:cs="仿宋"/>
          <w:bCs/>
          <w:color w:val="auto"/>
          <w:sz w:val="32"/>
          <w:szCs w:val="32"/>
          <w:lang w:val="en-US" w:eastAsia="zh-CN"/>
        </w:rPr>
        <w:t>代销种子，未按规定备案的，由县级以上人民政府农业农村、林业草原主管部门责令改正，处二千元以上二万元以下罚款。</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
          <w:bCs w:val="0"/>
          <w:color w:val="auto"/>
          <w:sz w:val="32"/>
          <w:szCs w:val="32"/>
          <w:lang w:val="en-US" w:eastAsia="zh-CN"/>
        </w:rPr>
        <w:t>第四十八条</w:t>
      </w:r>
      <w:r>
        <w:rPr>
          <w:rFonts w:hint="eastAsia" w:ascii="仿宋" w:hAnsi="仿宋" w:eastAsia="仿宋" w:cs="仿宋"/>
          <w:bCs/>
          <w:color w:val="auto"/>
          <w:sz w:val="32"/>
          <w:szCs w:val="32"/>
          <w:lang w:val="en-US" w:eastAsia="zh-CN"/>
        </w:rPr>
        <w:t>【档案和样品法律责任】 违反本条例</w:t>
      </w:r>
      <w:r>
        <w:rPr>
          <w:rFonts w:hint="eastAsia" w:ascii="仿宋" w:hAnsi="仿宋" w:eastAsia="仿宋" w:cs="仿宋"/>
          <w:bCs/>
          <w:color w:val="auto"/>
          <w:sz w:val="32"/>
          <w:szCs w:val="32"/>
          <w:highlight w:val="none"/>
          <w:lang w:val="en-US" w:eastAsia="zh-CN"/>
        </w:rPr>
        <w:t>第二十五条规</w:t>
      </w:r>
      <w:r>
        <w:rPr>
          <w:rFonts w:hint="eastAsia" w:ascii="仿宋" w:hAnsi="仿宋" w:eastAsia="仿宋" w:cs="仿宋"/>
          <w:bCs/>
          <w:color w:val="auto"/>
          <w:sz w:val="32"/>
          <w:szCs w:val="32"/>
          <w:lang w:val="en-US" w:eastAsia="zh-CN"/>
        </w:rPr>
        <w:t>定，未建立和保存生产经营档案或者未按批次保存所生产经营种子样品的，由县级以上地方人民政府农业农</w:t>
      </w:r>
      <w:r>
        <w:rPr>
          <w:rFonts w:hint="eastAsia" w:ascii="仿宋" w:hAnsi="仿宋" w:eastAsia="仿宋" w:cs="仿宋"/>
          <w:bCs/>
          <w:color w:val="auto"/>
          <w:sz w:val="32"/>
          <w:szCs w:val="32"/>
          <w:highlight w:val="none"/>
          <w:lang w:val="en-US" w:eastAsia="zh-CN"/>
        </w:rPr>
        <w:t>村、林业草原主管部门责令限期改正，并处</w:t>
      </w:r>
      <w:r>
        <w:rPr>
          <w:rFonts w:hint="eastAsia" w:ascii="仿宋" w:hAnsi="仿宋" w:eastAsia="仿宋" w:cs="仿宋"/>
          <w:bCs/>
          <w:color w:val="auto"/>
          <w:sz w:val="32"/>
          <w:szCs w:val="32"/>
          <w:lang w:val="en-US" w:eastAsia="zh-CN"/>
        </w:rPr>
        <w:t>五千元以上二万元以下</w:t>
      </w:r>
      <w:r>
        <w:rPr>
          <w:rFonts w:hint="eastAsia" w:ascii="仿宋" w:hAnsi="仿宋" w:eastAsia="仿宋" w:cs="仿宋"/>
          <w:bCs/>
          <w:color w:val="auto"/>
          <w:sz w:val="32"/>
          <w:szCs w:val="32"/>
          <w:highlight w:val="none"/>
          <w:lang w:val="en-US" w:eastAsia="zh-CN"/>
        </w:rPr>
        <w:t>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Cs/>
          <w:color w:val="auto"/>
          <w:sz w:val="32"/>
          <w:szCs w:val="32"/>
        </w:rPr>
      </w:pPr>
      <w:r>
        <w:rPr>
          <w:rFonts w:hint="eastAsia" w:ascii="仿宋" w:hAnsi="仿宋" w:eastAsia="仿宋" w:cs="仿宋"/>
          <w:b/>
          <w:bCs w:val="0"/>
          <w:color w:val="auto"/>
          <w:sz w:val="32"/>
          <w:szCs w:val="32"/>
          <w:highlight w:val="none"/>
          <w:lang w:val="en-US" w:eastAsia="zh-CN"/>
        </w:rPr>
        <w:t>第四十九条</w:t>
      </w:r>
      <w:r>
        <w:rPr>
          <w:rFonts w:hint="eastAsia" w:ascii="仿宋" w:hAnsi="仿宋" w:eastAsia="仿宋" w:cs="仿宋"/>
          <w:bCs/>
          <w:color w:val="auto"/>
          <w:sz w:val="32"/>
          <w:szCs w:val="32"/>
          <w:highlight w:val="none"/>
        </w:rPr>
        <w:t>【互联网销售责任】 违反本</w:t>
      </w:r>
      <w:r>
        <w:rPr>
          <w:rFonts w:hint="eastAsia" w:ascii="仿宋" w:hAnsi="仿宋" w:eastAsia="仿宋" w:cs="仿宋"/>
          <w:bCs/>
          <w:color w:val="auto"/>
          <w:sz w:val="32"/>
          <w:szCs w:val="32"/>
          <w:highlight w:val="none"/>
          <w:lang w:val="en-US" w:eastAsia="zh-CN"/>
        </w:rPr>
        <w:t>条例第二十九条</w:t>
      </w:r>
      <w:r>
        <w:rPr>
          <w:rFonts w:hint="eastAsia" w:ascii="仿宋" w:hAnsi="仿宋" w:eastAsia="仿宋" w:cs="仿宋"/>
          <w:bCs/>
          <w:color w:val="auto"/>
          <w:sz w:val="32"/>
          <w:szCs w:val="32"/>
          <w:highlight w:val="none"/>
        </w:rPr>
        <w:t>第一款规定，利用互联网等信息网络经营种子的种子经营者未在首页显著位置持续公示种子生产经营许可证或者备案信息的，由市场监督管理部门责令限期改正，可以处二千元以上一万元以下罚款；电子商务平台经营者对平台内种子经营</w:t>
      </w:r>
      <w:r>
        <w:rPr>
          <w:rFonts w:hint="eastAsia" w:ascii="仿宋" w:hAnsi="仿宋" w:eastAsia="仿宋" w:cs="仿宋"/>
          <w:bCs/>
          <w:color w:val="auto"/>
          <w:sz w:val="32"/>
          <w:szCs w:val="32"/>
        </w:rPr>
        <w:t>者未依法采取必要措施的，由市场监督管理部门责令限期改正，可以处二万元以上十万元以下罚款。</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违反本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highlight w:val="none"/>
          <w:lang w:val="en-US" w:eastAsia="zh-CN"/>
        </w:rPr>
        <w:t>第二十九条</w:t>
      </w:r>
      <w:r>
        <w:rPr>
          <w:rFonts w:hint="eastAsia" w:ascii="仿宋" w:hAnsi="仿宋" w:eastAsia="仿宋" w:cs="仿宋"/>
          <w:bCs/>
          <w:color w:val="auto"/>
          <w:sz w:val="32"/>
          <w:szCs w:val="32"/>
          <w:highlight w:val="none"/>
        </w:rPr>
        <w:t>第二款规定，电子商务平台经营者未核验、登记平台内种子经营者有关信息或者未建立经营者档案的，由市场监督管理部门责</w:t>
      </w:r>
      <w:r>
        <w:rPr>
          <w:rFonts w:hint="eastAsia" w:ascii="仿宋" w:hAnsi="仿宋" w:eastAsia="仿宋" w:cs="仿宋"/>
          <w:bCs/>
          <w:color w:val="auto"/>
          <w:sz w:val="32"/>
          <w:szCs w:val="32"/>
        </w:rPr>
        <w:t>令限期改正；逾期不改正的，处二万元以上十万元以下罚款；情节严重的，责令停业整顿，并处十万元以上五十万元以下罚款。</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第五十条</w:t>
      </w:r>
      <w:r>
        <w:rPr>
          <w:rFonts w:hint="eastAsia" w:ascii="仿宋" w:hAnsi="仿宋" w:eastAsia="仿宋" w:cs="仿宋"/>
          <w:bCs/>
          <w:color w:val="auto"/>
          <w:sz w:val="32"/>
          <w:szCs w:val="32"/>
          <w:lang w:val="en-US" w:eastAsia="zh-CN"/>
        </w:rPr>
        <w:t>【生产经营责任】 向无主要农作物种子生产经营许可证者提供主要农作物亲本种子的，由县级以上地方人民政府农业农村主管部门责令限期改正，没收种子和违法所得；逾期未改正的，处五千元以上三万元以下罚款。</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eastAsia" w:ascii="仿宋" w:hAnsi="仿宋" w:eastAsia="仿宋" w:cs="仿宋"/>
          <w:b/>
          <w:bCs w:val="0"/>
          <w:color w:val="auto"/>
          <w:sz w:val="32"/>
          <w:szCs w:val="32"/>
          <w:lang w:val="en-US" w:eastAsia="zh-CN"/>
        </w:rPr>
        <w:t>第五十一条</w:t>
      </w:r>
      <w:r>
        <w:rPr>
          <w:rFonts w:hint="eastAsia" w:ascii="仿宋" w:hAnsi="仿宋" w:eastAsia="仿宋" w:cs="仿宋"/>
          <w:bCs/>
          <w:color w:val="auto"/>
          <w:sz w:val="32"/>
          <w:szCs w:val="32"/>
        </w:rPr>
        <w:t>【责任指引条款】 违反本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规定的其他行为，应当承担法律责任的，依照有关法律法规执行。</w:t>
      </w:r>
    </w:p>
    <w:p>
      <w:pPr>
        <w:widowControl/>
        <w:spacing w:beforeLines="50" w:afterLines="50" w:line="54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第九章 附 则</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第五十二条</w:t>
      </w:r>
      <w:r>
        <w:rPr>
          <w:rFonts w:hint="eastAsia" w:ascii="仿宋" w:hAnsi="仿宋" w:eastAsia="仿宋" w:cs="仿宋"/>
          <w:bCs/>
          <w:color w:val="auto"/>
          <w:sz w:val="32"/>
          <w:szCs w:val="32"/>
        </w:rPr>
        <w:t>【定义】 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所称主要农作物、主要林</w:t>
      </w:r>
      <w:r>
        <w:rPr>
          <w:rFonts w:hint="eastAsia" w:ascii="仿宋" w:hAnsi="仿宋" w:eastAsia="仿宋" w:cs="仿宋"/>
          <w:bCs/>
          <w:color w:val="auto"/>
          <w:sz w:val="32"/>
          <w:szCs w:val="32"/>
          <w:lang w:eastAsia="zh-CN"/>
        </w:rPr>
        <w:t>木和主要草种</w:t>
      </w:r>
      <w:r>
        <w:rPr>
          <w:rFonts w:hint="eastAsia" w:ascii="仿宋" w:hAnsi="仿宋" w:eastAsia="仿宋" w:cs="仿宋"/>
          <w:bCs/>
          <w:color w:val="auto"/>
          <w:sz w:val="32"/>
          <w:szCs w:val="32"/>
        </w:rPr>
        <w:t>是指国务院农业农村、林业草原主管部门和自治区农业农村、林业草原主管部门确定并公布的主要农作物、主要林</w:t>
      </w:r>
      <w:r>
        <w:rPr>
          <w:rFonts w:hint="eastAsia" w:ascii="仿宋" w:hAnsi="仿宋" w:eastAsia="仿宋" w:cs="仿宋"/>
          <w:bCs/>
          <w:color w:val="auto"/>
          <w:sz w:val="32"/>
          <w:szCs w:val="32"/>
          <w:lang w:eastAsia="zh-CN"/>
        </w:rPr>
        <w:t>木和主要草种</w:t>
      </w:r>
      <w:r>
        <w:rPr>
          <w:rFonts w:hint="eastAsia" w:ascii="仿宋" w:hAnsi="仿宋" w:eastAsia="仿宋" w:cs="仿宋"/>
          <w:bCs/>
          <w:color w:val="auto"/>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第五十三条</w:t>
      </w:r>
      <w:r>
        <w:rPr>
          <w:rFonts w:hint="eastAsia" w:ascii="仿宋" w:hAnsi="仿宋" w:eastAsia="仿宋" w:cs="仿宋"/>
          <w:bCs/>
          <w:color w:val="auto"/>
          <w:sz w:val="32"/>
          <w:szCs w:val="32"/>
        </w:rPr>
        <w:t>【兵团适用】新疆生产建设兵团的种子选育、生产、经营、使用和管理等活动适用本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eastAsia" w:ascii="仿宋" w:hAnsi="仿宋" w:eastAsia="仿宋" w:cs="仿宋"/>
          <w:b/>
          <w:bCs w:val="0"/>
          <w:color w:val="auto"/>
          <w:sz w:val="32"/>
          <w:szCs w:val="32"/>
          <w:lang w:val="en-US" w:eastAsia="zh-CN"/>
        </w:rPr>
        <w:t>第五十四条</w:t>
      </w:r>
      <w:r>
        <w:rPr>
          <w:rFonts w:hint="eastAsia" w:ascii="仿宋" w:hAnsi="仿宋" w:eastAsia="仿宋" w:cs="仿宋"/>
          <w:bCs/>
          <w:color w:val="auto"/>
          <w:sz w:val="32"/>
          <w:szCs w:val="32"/>
        </w:rPr>
        <w:t>【实施】 本</w:t>
      </w:r>
      <w:r>
        <w:rPr>
          <w:rFonts w:hint="eastAsia" w:ascii="仿宋" w:hAnsi="仿宋" w:eastAsia="仿宋" w:cs="仿宋"/>
          <w:bCs/>
          <w:color w:val="auto"/>
          <w:sz w:val="32"/>
          <w:szCs w:val="32"/>
          <w:lang w:val="en-US" w:eastAsia="zh-CN"/>
        </w:rPr>
        <w:t>条例</w:t>
      </w:r>
      <w:r>
        <w:rPr>
          <w:rFonts w:hint="eastAsia" w:ascii="仿宋" w:hAnsi="仿宋" w:eastAsia="仿宋" w:cs="仿宋"/>
          <w:bCs/>
          <w:color w:val="auto"/>
          <w:sz w:val="32"/>
          <w:szCs w:val="32"/>
        </w:rPr>
        <w:t>自XXXX年XX月XX日起施行。</w:t>
      </w:r>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141D46-EFBB-42AA-B93A-DA8B6FE06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BFF1220F-9E71-4BEC-8EAA-0BF450CB2097}"/>
  </w:font>
  <w:font w:name="楷体">
    <w:panose1 w:val="02010609060101010101"/>
    <w:charset w:val="86"/>
    <w:family w:val="modern"/>
    <w:pitch w:val="default"/>
    <w:sig w:usb0="800002BF" w:usb1="38CF7CFA" w:usb2="00000016" w:usb3="00000000" w:csb0="00040001" w:csb1="00000000"/>
    <w:embedRegular r:id="rId3" w:fontKey="{756F6F27-6BA7-4CDB-B11C-640DBBBED174}"/>
  </w:font>
  <w:font w:name="方正楷体_GBK">
    <w:panose1 w:val="02000000000000000000"/>
    <w:charset w:val="86"/>
    <w:family w:val="auto"/>
    <w:pitch w:val="default"/>
    <w:sig w:usb0="A00002BF" w:usb1="38CF7CFA" w:usb2="00082016" w:usb3="00000000" w:csb0="00040001" w:csb1="00000000"/>
    <w:embedRegular r:id="rId4" w:fontKey="{2968735F-1376-49DE-BCCD-031284139454}"/>
  </w:font>
  <w:font w:name="仿宋_GB2312">
    <w:panose1 w:val="02010609030101010101"/>
    <w:charset w:val="86"/>
    <w:family w:val="auto"/>
    <w:pitch w:val="default"/>
    <w:sig w:usb0="00000001" w:usb1="080E0000" w:usb2="00000000" w:usb3="00000000" w:csb0="00040000" w:csb1="00000000"/>
    <w:embedRegular r:id="rId5" w:fontKey="{C6B418EB-B127-48F5-ADE1-4E483EF37101}"/>
  </w:font>
  <w:font w:name="仿宋">
    <w:panose1 w:val="02010609060101010101"/>
    <w:charset w:val="86"/>
    <w:family w:val="auto"/>
    <w:pitch w:val="default"/>
    <w:sig w:usb0="800002BF" w:usb1="38CF7CFA" w:usb2="00000016" w:usb3="00000000" w:csb0="00040001" w:csb1="00000000"/>
    <w:embedRegular r:id="rId6" w:fontKey="{10A7EFA4-F3FE-4672-B74E-0400B05F59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CFF0A27"/>
    <w:rsid w:val="00010007"/>
    <w:rsid w:val="000918F1"/>
    <w:rsid w:val="00093DCA"/>
    <w:rsid w:val="00140AAB"/>
    <w:rsid w:val="001521D2"/>
    <w:rsid w:val="001C5CE1"/>
    <w:rsid w:val="001E6060"/>
    <w:rsid w:val="001E7DCA"/>
    <w:rsid w:val="002B2C93"/>
    <w:rsid w:val="003950C5"/>
    <w:rsid w:val="00605DCB"/>
    <w:rsid w:val="00765842"/>
    <w:rsid w:val="007757B1"/>
    <w:rsid w:val="0079211E"/>
    <w:rsid w:val="00816A0F"/>
    <w:rsid w:val="00A80A55"/>
    <w:rsid w:val="00AD4DE8"/>
    <w:rsid w:val="00BF25DB"/>
    <w:rsid w:val="00CF2793"/>
    <w:rsid w:val="00E039D7"/>
    <w:rsid w:val="00EA6A80"/>
    <w:rsid w:val="00ED17F4"/>
    <w:rsid w:val="00FC00F6"/>
    <w:rsid w:val="00FF03D8"/>
    <w:rsid w:val="0117495B"/>
    <w:rsid w:val="01CA3F1A"/>
    <w:rsid w:val="01E039E1"/>
    <w:rsid w:val="02390E0A"/>
    <w:rsid w:val="024737BC"/>
    <w:rsid w:val="02643F7D"/>
    <w:rsid w:val="02CB1CF7"/>
    <w:rsid w:val="037203C5"/>
    <w:rsid w:val="03C5653F"/>
    <w:rsid w:val="04B435F5"/>
    <w:rsid w:val="04EE6267"/>
    <w:rsid w:val="050E411D"/>
    <w:rsid w:val="05FA6F48"/>
    <w:rsid w:val="06163BD1"/>
    <w:rsid w:val="063666CA"/>
    <w:rsid w:val="06A05249"/>
    <w:rsid w:val="06D7510F"/>
    <w:rsid w:val="074470C2"/>
    <w:rsid w:val="07697D31"/>
    <w:rsid w:val="07AA351D"/>
    <w:rsid w:val="07D3467C"/>
    <w:rsid w:val="07DD49A7"/>
    <w:rsid w:val="09532A47"/>
    <w:rsid w:val="096E7880"/>
    <w:rsid w:val="09860A43"/>
    <w:rsid w:val="0A42031A"/>
    <w:rsid w:val="0A9E35C0"/>
    <w:rsid w:val="0B106E41"/>
    <w:rsid w:val="0C993FF8"/>
    <w:rsid w:val="0CFF0A27"/>
    <w:rsid w:val="0D2128C5"/>
    <w:rsid w:val="0D335069"/>
    <w:rsid w:val="0DA71C50"/>
    <w:rsid w:val="0DBE0DD6"/>
    <w:rsid w:val="0DEB7993"/>
    <w:rsid w:val="0E462B7A"/>
    <w:rsid w:val="0F2A424A"/>
    <w:rsid w:val="0F8A2197"/>
    <w:rsid w:val="10F843D2"/>
    <w:rsid w:val="110F1949"/>
    <w:rsid w:val="136A2E67"/>
    <w:rsid w:val="13815A44"/>
    <w:rsid w:val="138E2E2D"/>
    <w:rsid w:val="13F2324A"/>
    <w:rsid w:val="140E1800"/>
    <w:rsid w:val="14D42C8D"/>
    <w:rsid w:val="159E5049"/>
    <w:rsid w:val="165B2F3A"/>
    <w:rsid w:val="16924BAE"/>
    <w:rsid w:val="1693797F"/>
    <w:rsid w:val="16946B78"/>
    <w:rsid w:val="17C43DD0"/>
    <w:rsid w:val="182C4B8E"/>
    <w:rsid w:val="18821833"/>
    <w:rsid w:val="18A91723"/>
    <w:rsid w:val="19962C07"/>
    <w:rsid w:val="1A785175"/>
    <w:rsid w:val="1B8875AF"/>
    <w:rsid w:val="1B93782D"/>
    <w:rsid w:val="1C4E77C9"/>
    <w:rsid w:val="1C6F6E01"/>
    <w:rsid w:val="1CAB69CA"/>
    <w:rsid w:val="1D2C6969"/>
    <w:rsid w:val="1D4B1F5B"/>
    <w:rsid w:val="1D530C7D"/>
    <w:rsid w:val="1DD9065C"/>
    <w:rsid w:val="1F50043A"/>
    <w:rsid w:val="20A472CE"/>
    <w:rsid w:val="20D1195D"/>
    <w:rsid w:val="20DB067E"/>
    <w:rsid w:val="21016B53"/>
    <w:rsid w:val="210F7457"/>
    <w:rsid w:val="211F239D"/>
    <w:rsid w:val="237A0EA4"/>
    <w:rsid w:val="241237D2"/>
    <w:rsid w:val="24B52B0F"/>
    <w:rsid w:val="24DA4D22"/>
    <w:rsid w:val="24EF8954"/>
    <w:rsid w:val="2538314E"/>
    <w:rsid w:val="260C5FD2"/>
    <w:rsid w:val="26681488"/>
    <w:rsid w:val="26EC030B"/>
    <w:rsid w:val="272F1FA5"/>
    <w:rsid w:val="28AF3699"/>
    <w:rsid w:val="2A090507"/>
    <w:rsid w:val="2A587FF4"/>
    <w:rsid w:val="2A77438F"/>
    <w:rsid w:val="2A8A6B0C"/>
    <w:rsid w:val="2AA704F8"/>
    <w:rsid w:val="2AD43590"/>
    <w:rsid w:val="2AE31997"/>
    <w:rsid w:val="2BB745DD"/>
    <w:rsid w:val="2BDD6474"/>
    <w:rsid w:val="2BEE3C56"/>
    <w:rsid w:val="2BFF4FE5"/>
    <w:rsid w:val="2C123F87"/>
    <w:rsid w:val="2D1C121E"/>
    <w:rsid w:val="2DC820A0"/>
    <w:rsid w:val="2E0E0DF7"/>
    <w:rsid w:val="2E3369D8"/>
    <w:rsid w:val="2ECD0A22"/>
    <w:rsid w:val="2F7E7B48"/>
    <w:rsid w:val="2F9358AF"/>
    <w:rsid w:val="30B579BF"/>
    <w:rsid w:val="311444B8"/>
    <w:rsid w:val="32B137CF"/>
    <w:rsid w:val="33315F57"/>
    <w:rsid w:val="33323549"/>
    <w:rsid w:val="33503FEE"/>
    <w:rsid w:val="341151D7"/>
    <w:rsid w:val="34366C11"/>
    <w:rsid w:val="3437693D"/>
    <w:rsid w:val="34980AC4"/>
    <w:rsid w:val="356B2D42"/>
    <w:rsid w:val="35957DBF"/>
    <w:rsid w:val="35BC70FA"/>
    <w:rsid w:val="35DFB34C"/>
    <w:rsid w:val="35FB686D"/>
    <w:rsid w:val="36B83D65"/>
    <w:rsid w:val="379A16BD"/>
    <w:rsid w:val="37B3452D"/>
    <w:rsid w:val="37C4A94F"/>
    <w:rsid w:val="384F4255"/>
    <w:rsid w:val="386A72E1"/>
    <w:rsid w:val="39877746"/>
    <w:rsid w:val="3BCF0667"/>
    <w:rsid w:val="3C411875"/>
    <w:rsid w:val="3C814BF9"/>
    <w:rsid w:val="3C9E39FD"/>
    <w:rsid w:val="3C9F32D2"/>
    <w:rsid w:val="3CCF1089"/>
    <w:rsid w:val="3CE24F7E"/>
    <w:rsid w:val="3D3760D2"/>
    <w:rsid w:val="3D6469F5"/>
    <w:rsid w:val="3EA66B56"/>
    <w:rsid w:val="3EEA117C"/>
    <w:rsid w:val="3F42234C"/>
    <w:rsid w:val="3F7A944E"/>
    <w:rsid w:val="3FB817D0"/>
    <w:rsid w:val="3FE45D0C"/>
    <w:rsid w:val="3FF43934"/>
    <w:rsid w:val="412070D7"/>
    <w:rsid w:val="41263FC1"/>
    <w:rsid w:val="42B21FB1"/>
    <w:rsid w:val="46115240"/>
    <w:rsid w:val="462E64E5"/>
    <w:rsid w:val="467632F5"/>
    <w:rsid w:val="46B33000"/>
    <w:rsid w:val="46B843E3"/>
    <w:rsid w:val="47490A0A"/>
    <w:rsid w:val="47DA33BE"/>
    <w:rsid w:val="48F777F2"/>
    <w:rsid w:val="49526E5E"/>
    <w:rsid w:val="4A36574C"/>
    <w:rsid w:val="4ADF76BB"/>
    <w:rsid w:val="4B0826B6"/>
    <w:rsid w:val="4B195C4B"/>
    <w:rsid w:val="4B7B5D52"/>
    <w:rsid w:val="4BEE1B43"/>
    <w:rsid w:val="4DB72116"/>
    <w:rsid w:val="4DD86643"/>
    <w:rsid w:val="4DDE67F4"/>
    <w:rsid w:val="4DFACB10"/>
    <w:rsid w:val="4FD367C3"/>
    <w:rsid w:val="4FFF64DC"/>
    <w:rsid w:val="508D1967"/>
    <w:rsid w:val="50B27620"/>
    <w:rsid w:val="517D0BB8"/>
    <w:rsid w:val="51AC1E88"/>
    <w:rsid w:val="51FE2CAC"/>
    <w:rsid w:val="520E775F"/>
    <w:rsid w:val="524A3649"/>
    <w:rsid w:val="524B2175"/>
    <w:rsid w:val="52725F07"/>
    <w:rsid w:val="536431DD"/>
    <w:rsid w:val="54B0031A"/>
    <w:rsid w:val="55292DFE"/>
    <w:rsid w:val="557C4515"/>
    <w:rsid w:val="559F77EC"/>
    <w:rsid w:val="5686087D"/>
    <w:rsid w:val="56DD208A"/>
    <w:rsid w:val="575B3839"/>
    <w:rsid w:val="57DBCD1F"/>
    <w:rsid w:val="587D7B3A"/>
    <w:rsid w:val="58BD4DB3"/>
    <w:rsid w:val="59320B7F"/>
    <w:rsid w:val="5AD563E4"/>
    <w:rsid w:val="5AEA0E1D"/>
    <w:rsid w:val="5B11076C"/>
    <w:rsid w:val="5BB47877"/>
    <w:rsid w:val="5C8BF9ED"/>
    <w:rsid w:val="5CCC1A69"/>
    <w:rsid w:val="5CCF60D1"/>
    <w:rsid w:val="5D437F7D"/>
    <w:rsid w:val="5D453FA5"/>
    <w:rsid w:val="5DFD5EC8"/>
    <w:rsid w:val="5FF5630B"/>
    <w:rsid w:val="601C5F0E"/>
    <w:rsid w:val="60A01243"/>
    <w:rsid w:val="637864A7"/>
    <w:rsid w:val="63C00F7C"/>
    <w:rsid w:val="64CD1AD5"/>
    <w:rsid w:val="64E44AA8"/>
    <w:rsid w:val="64ED387A"/>
    <w:rsid w:val="654E79D9"/>
    <w:rsid w:val="65516FAF"/>
    <w:rsid w:val="655A5E64"/>
    <w:rsid w:val="65DE55BC"/>
    <w:rsid w:val="6662009D"/>
    <w:rsid w:val="66C7237B"/>
    <w:rsid w:val="674C5C80"/>
    <w:rsid w:val="67BF914F"/>
    <w:rsid w:val="67DF125C"/>
    <w:rsid w:val="68F517B7"/>
    <w:rsid w:val="6A116D0D"/>
    <w:rsid w:val="6ABC25D5"/>
    <w:rsid w:val="6B4910AB"/>
    <w:rsid w:val="6B9366F7"/>
    <w:rsid w:val="6D773EA2"/>
    <w:rsid w:val="6E6264F1"/>
    <w:rsid w:val="6E661D1D"/>
    <w:rsid w:val="6FA348AB"/>
    <w:rsid w:val="70BD6212"/>
    <w:rsid w:val="71A30B93"/>
    <w:rsid w:val="726447C6"/>
    <w:rsid w:val="72864B53"/>
    <w:rsid w:val="72DF1F49"/>
    <w:rsid w:val="73247AB1"/>
    <w:rsid w:val="73F7A49E"/>
    <w:rsid w:val="74423BA5"/>
    <w:rsid w:val="7447614D"/>
    <w:rsid w:val="749A44CF"/>
    <w:rsid w:val="74AE7F7A"/>
    <w:rsid w:val="754B07EB"/>
    <w:rsid w:val="755F6E10"/>
    <w:rsid w:val="76410150"/>
    <w:rsid w:val="76571F4C"/>
    <w:rsid w:val="7690677F"/>
    <w:rsid w:val="77605783"/>
    <w:rsid w:val="77D942B0"/>
    <w:rsid w:val="77DF4FA8"/>
    <w:rsid w:val="78804535"/>
    <w:rsid w:val="78D07459"/>
    <w:rsid w:val="78E7C582"/>
    <w:rsid w:val="798544F8"/>
    <w:rsid w:val="79BF4FC7"/>
    <w:rsid w:val="79C470E5"/>
    <w:rsid w:val="79EB1263"/>
    <w:rsid w:val="7AF10BC1"/>
    <w:rsid w:val="7B172634"/>
    <w:rsid w:val="7BFB6FFF"/>
    <w:rsid w:val="7C7C44BA"/>
    <w:rsid w:val="7CF7DD74"/>
    <w:rsid w:val="7D715FE9"/>
    <w:rsid w:val="7D851A94"/>
    <w:rsid w:val="7D900C69"/>
    <w:rsid w:val="7D9121E7"/>
    <w:rsid w:val="7DBFBCF6"/>
    <w:rsid w:val="7DF435BA"/>
    <w:rsid w:val="7F9F7770"/>
    <w:rsid w:val="7FE41073"/>
    <w:rsid w:val="7FEF1DD5"/>
    <w:rsid w:val="8BEC7470"/>
    <w:rsid w:val="8BFB18FC"/>
    <w:rsid w:val="ACFC21ED"/>
    <w:rsid w:val="B7BC6348"/>
    <w:rsid w:val="B7BF42FC"/>
    <w:rsid w:val="BADC4031"/>
    <w:rsid w:val="BBF3AE30"/>
    <w:rsid w:val="BF0EAF6E"/>
    <w:rsid w:val="BF7E3FD4"/>
    <w:rsid w:val="BFDF46BA"/>
    <w:rsid w:val="C5BEEF77"/>
    <w:rsid w:val="C7590774"/>
    <w:rsid w:val="C897C69B"/>
    <w:rsid w:val="CCD53763"/>
    <w:rsid w:val="D5FD84BA"/>
    <w:rsid w:val="DD7FE028"/>
    <w:rsid w:val="DDFF677E"/>
    <w:rsid w:val="DEFFB099"/>
    <w:rsid w:val="DF5F52C2"/>
    <w:rsid w:val="DF6E13C7"/>
    <w:rsid w:val="DFEBF5DA"/>
    <w:rsid w:val="E6C587B7"/>
    <w:rsid w:val="EFDF2448"/>
    <w:rsid w:val="EFEFC1B6"/>
    <w:rsid w:val="F3763CF7"/>
    <w:rsid w:val="FACBE5D7"/>
    <w:rsid w:val="FAD3F10E"/>
    <w:rsid w:val="FB55E9B7"/>
    <w:rsid w:val="FCFFF4C3"/>
    <w:rsid w:val="FE8E816C"/>
    <w:rsid w:val="FF3FFD0C"/>
    <w:rsid w:val="FF8ED741"/>
    <w:rsid w:val="FFADD5EE"/>
    <w:rsid w:val="FFDD781F"/>
    <w:rsid w:val="FFEB7A9D"/>
    <w:rsid w:val="FFFE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beforeLines="50" w:afterLines="50"/>
      <w:jc w:val="center"/>
      <w:outlineLvl w:val="0"/>
    </w:pPr>
    <w:rPr>
      <w:rFonts w:hint="eastAsia" w:ascii="宋体" w:hAnsi="宋体" w:eastAsia="黑体"/>
      <w:kern w:val="44"/>
      <w:sz w:val="32"/>
      <w:szCs w:val="48"/>
    </w:rPr>
  </w:style>
  <w:style w:type="paragraph" w:styleId="4">
    <w:name w:val="heading 2"/>
    <w:basedOn w:val="1"/>
    <w:next w:val="1"/>
    <w:semiHidden/>
    <w:unhideWhenUsed/>
    <w:qFormat/>
    <w:uiPriority w:val="0"/>
    <w:pPr>
      <w:spacing w:beforeLines="100" w:afterLines="100" w:line="360" w:lineRule="auto"/>
      <w:jc w:val="center"/>
      <w:outlineLvl w:val="1"/>
    </w:pPr>
    <w:rPr>
      <w:rFonts w:hint="eastAsia" w:ascii="宋体" w:hAnsi="宋体" w:eastAsia="黑体"/>
      <w:kern w:val="0"/>
      <w:sz w:val="32"/>
      <w:szCs w:val="36"/>
    </w:rPr>
  </w:style>
  <w:style w:type="paragraph" w:styleId="5">
    <w:name w:val="heading 3"/>
    <w:basedOn w:val="1"/>
    <w:next w:val="1"/>
    <w:semiHidden/>
    <w:unhideWhenUsed/>
    <w:qFormat/>
    <w:uiPriority w:val="0"/>
    <w:pPr>
      <w:spacing w:beforeLines="50" w:afterLines="50" w:line="360" w:lineRule="auto"/>
      <w:ind w:firstLine="643" w:firstLineChars="200"/>
      <w:jc w:val="left"/>
      <w:outlineLvl w:val="2"/>
    </w:pPr>
    <w:rPr>
      <w:rFonts w:hint="eastAsia" w:ascii="宋体" w:hAnsi="宋体" w:eastAsia="宋体"/>
      <w:b/>
      <w:kern w:val="0"/>
      <w:sz w:val="28"/>
      <w:szCs w:val="27"/>
    </w:rPr>
  </w:style>
  <w:style w:type="paragraph" w:styleId="6">
    <w:name w:val="heading 4"/>
    <w:basedOn w:val="1"/>
    <w:next w:val="1"/>
    <w:semiHidden/>
    <w:unhideWhenUsed/>
    <w:qFormat/>
    <w:uiPriority w:val="0"/>
    <w:pPr>
      <w:keepNext/>
      <w:keepLines/>
      <w:spacing w:line="360" w:lineRule="auto"/>
      <w:ind w:left="17" w:firstLine="403"/>
      <w:outlineLvl w:val="3"/>
    </w:pPr>
    <w:rPr>
      <w:rFonts w:ascii="Arial" w:hAnsi="Arial" w:eastAsia="宋体"/>
      <w:b/>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7">
    <w:name w:val="footer"/>
    <w:basedOn w:val="1"/>
    <w:next w:val="1"/>
    <w:qFormat/>
    <w:uiPriority w:val="99"/>
    <w:pPr>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style>
  <w:style w:type="paragraph" w:styleId="10">
    <w:name w:val="footnote text"/>
    <w:basedOn w:val="1"/>
    <w:link w:val="15"/>
    <w:qFormat/>
    <w:uiPriority w:val="0"/>
    <w:pPr>
      <w:wordWrap w:val="0"/>
      <w:snapToGrid w:val="0"/>
      <w:jc w:val="left"/>
    </w:pPr>
    <w:rPr>
      <w:rFonts w:ascii="Times New Roman" w:hAnsi="Times New Roman" w:eastAsia="宋体"/>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脚注文本 Char"/>
    <w:link w:val="10"/>
    <w:qFormat/>
    <w:uiPriority w:val="99"/>
    <w:rPr>
      <w:rFonts w:ascii="Times New Roman" w:hAnsi="Times New Roman" w:eastAsia="宋体"/>
      <w:kern w:val="2"/>
      <w:sz w:val="18"/>
      <w:szCs w:val="18"/>
      <w:lang w:bidi="ar-SA"/>
    </w:rPr>
  </w:style>
  <w:style w:type="paragraph" w:customStyle="1" w:styleId="16">
    <w:name w:val="div"/>
    <w:basedOn w:val="1"/>
    <w:qFormat/>
    <w:uiPriority w:val="0"/>
    <w:pPr>
      <w:textAlignment w:val="baseline"/>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7855</Words>
  <Characters>7860</Characters>
  <Lines>45</Lines>
  <Paragraphs>12</Paragraphs>
  <TotalTime>44</TotalTime>
  <ScaleCrop>false</ScaleCrop>
  <LinksUpToDate>false</LinksUpToDate>
  <CharactersWithSpaces>7944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2022-10-04T02:41:00Z</dcterms:created>
  <dc:creator>Nirvāṇa</dc:creator>
  <cp:lastModifiedBy>Administrator</cp:lastModifiedBy>
  <cp:lastPrinted>2024-12-07T03:01:00Z</cp:lastPrinted>
  <dcterms:modified xsi:type="dcterms:W3CDTF">2024-12-16T01:45:24Z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0034F675800D49928989B944E33E5A29_13</vt:lpwstr>
  </property>
</Properties>
</file>