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77687D">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left"/>
        <w:rPr>
          <w:rFonts w:ascii="宋体" w:eastAsia="宋体"/>
          <w:sz w:val="32"/>
          <w:szCs w:val="32"/>
        </w:rPr>
      </w:pPr>
    </w:p>
    <w:p w14:paraId="56B08409">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left"/>
        <w:rPr>
          <w:rFonts w:ascii="宋体" w:eastAsia="宋体"/>
          <w:sz w:val="44"/>
          <w:szCs w:val="44"/>
        </w:rPr>
      </w:pPr>
    </w:p>
    <w:p w14:paraId="4E738424">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left"/>
        <w:rPr>
          <w:rFonts w:ascii="宋体" w:eastAsia="宋体"/>
          <w:sz w:val="44"/>
          <w:szCs w:val="44"/>
        </w:rPr>
      </w:pPr>
    </w:p>
    <w:p w14:paraId="32FD6663">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left"/>
        <w:rPr>
          <w:rFonts w:ascii="宋体" w:eastAsia="宋体"/>
          <w:sz w:val="44"/>
          <w:szCs w:val="44"/>
        </w:rPr>
      </w:pPr>
    </w:p>
    <w:p w14:paraId="39F6BB3B">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center"/>
        <w:outlineLvl w:val="0"/>
        <w:rPr>
          <w:rFonts w:ascii="宋体" w:eastAsia="黑体"/>
          <w:spacing w:val="-20"/>
          <w:sz w:val="44"/>
          <w:szCs w:val="44"/>
        </w:rPr>
      </w:pPr>
      <w:r>
        <w:rPr>
          <w:rFonts w:ascii="宋体" w:eastAsia="黑体"/>
          <w:b w:val="0"/>
          <w:spacing w:val="-20"/>
          <w:sz w:val="44"/>
          <w:szCs w:val="44"/>
        </w:rPr>
        <w:t>新疆维吾尔自治区乡村振兴局宣传教育培训中心</w:t>
      </w:r>
    </w:p>
    <w:p w14:paraId="67A3ADAB">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center"/>
        <w:outlineLvl w:val="0"/>
        <w:rPr>
          <w:rFonts w:ascii="黑体" w:eastAsia="黑体"/>
          <w:sz w:val="44"/>
          <w:szCs w:val="44"/>
        </w:rPr>
      </w:pPr>
      <w:r>
        <w:rPr>
          <w:rFonts w:ascii="黑体" w:eastAsia="黑体"/>
          <w:b w:val="0"/>
          <w:sz w:val="44"/>
          <w:szCs w:val="44"/>
        </w:rPr>
        <w:t>2024年度部门决算公开说明</w:t>
      </w:r>
    </w:p>
    <w:p w14:paraId="4BB587AB">
      <w:pPr>
        <w:keepNext w:val="0"/>
        <w:keepLines w:val="0"/>
        <w:pageBreakBefore w:val="0"/>
        <w:widowControl w:val="0"/>
        <w:kinsoku/>
        <w:wordWrap/>
        <w:overflowPunct w:val="0"/>
        <w:topLinePunct/>
        <w:autoSpaceDE w:val="0"/>
        <w:autoSpaceDN/>
        <w:bidi w:val="0"/>
        <w:adjustRightInd/>
        <w:snapToGrid/>
        <w:spacing w:line="560" w:lineRule="exact"/>
        <w:jc w:val="center"/>
        <w:textAlignment w:val="auto"/>
        <w:rPr>
          <w:rFonts w:ascii="黑体" w:eastAsia="黑体"/>
          <w:b/>
          <w:sz w:val="32"/>
          <w:szCs w:val="32"/>
        </w:rPr>
        <w:sectPr>
          <w:pgSz w:w="12240" w:h="15840"/>
          <w:pgMar w:top="2098" w:right="1531" w:bottom="1814" w:left="1587" w:header="720" w:footer="720" w:gutter="0"/>
          <w:cols w:equalWidth="0" w:num="1">
            <w:col w:w="8640"/>
          </w:cols>
          <w:rtlGutter w:val="0"/>
          <w:docGrid w:linePitch="0" w:charSpace="0"/>
        </w:sectPr>
      </w:pPr>
    </w:p>
    <w:p w14:paraId="0EC3ADD8">
      <w:pPr>
        <w:keepNext w:val="0"/>
        <w:keepLines w:val="0"/>
        <w:pageBreakBefore w:val="0"/>
        <w:widowControl w:val="0"/>
        <w:kinsoku/>
        <w:wordWrap/>
        <w:overflowPunct w:val="0"/>
        <w:topLinePunct/>
        <w:autoSpaceDE w:val="0"/>
        <w:autoSpaceDN/>
        <w:bidi w:val="0"/>
        <w:adjustRightInd/>
        <w:snapToGrid/>
        <w:spacing w:line="560" w:lineRule="exact"/>
        <w:jc w:val="center"/>
        <w:textAlignment w:val="auto"/>
        <w:rPr>
          <w:rFonts w:ascii="黑体" w:eastAsia="黑体"/>
          <w:sz w:val="32"/>
          <w:szCs w:val="32"/>
        </w:rPr>
      </w:pPr>
      <w:r>
        <w:rPr>
          <w:rFonts w:ascii="黑体" w:eastAsia="黑体"/>
          <w:b/>
          <w:sz w:val="32"/>
          <w:szCs w:val="32"/>
        </w:rPr>
        <w:t>目</w:t>
      </w:r>
      <w:r>
        <w:rPr>
          <w:rFonts w:hint="eastAsia" w:ascii="黑体" w:eastAsia="黑体"/>
          <w:b/>
          <w:sz w:val="32"/>
          <w:szCs w:val="32"/>
          <w:lang w:val="en-US" w:eastAsia="zh-CN"/>
        </w:rPr>
        <w:t xml:space="preserve">  </w:t>
      </w:r>
      <w:r>
        <w:rPr>
          <w:rFonts w:ascii="黑体" w:eastAsia="黑体"/>
          <w:b/>
          <w:sz w:val="32"/>
          <w:szCs w:val="32"/>
        </w:rPr>
        <w:t>录</w:t>
      </w:r>
    </w:p>
    <w:p w14:paraId="2A8ADEF9">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sz w:val="32"/>
          <w:szCs w:val="32"/>
        </w:rPr>
        <w:t>第一部分单位概况</w:t>
      </w:r>
    </w:p>
    <w:p w14:paraId="61EF56EF">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一、主要职能</w:t>
      </w:r>
    </w:p>
    <w:p w14:paraId="5EFBF7F0">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二、机构设置及人员情况</w:t>
      </w:r>
    </w:p>
    <w:p w14:paraId="216C6013">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sz w:val="32"/>
          <w:szCs w:val="32"/>
        </w:rPr>
        <w:t>第二部分部门决算情况说明</w:t>
      </w:r>
    </w:p>
    <w:p w14:paraId="46AC8794">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一、收入支出决算总体情况说明</w:t>
      </w:r>
    </w:p>
    <w:p w14:paraId="1DB8BED3">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二、收入决算情况说明</w:t>
      </w:r>
    </w:p>
    <w:p w14:paraId="3BA58F33">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三、支出决算情况说明</w:t>
      </w:r>
    </w:p>
    <w:p w14:paraId="4809C4F1">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四、财政拨款收入支出决算总体情况说明</w:t>
      </w:r>
    </w:p>
    <w:p w14:paraId="0658B33D">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五、一般公共预算财政拨款支出决算情况说明</w:t>
      </w:r>
    </w:p>
    <w:p w14:paraId="05D32525">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（一）一般公共预算财政拨款支出决算总体情况</w:t>
      </w:r>
    </w:p>
    <w:p w14:paraId="6D6116DC">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（二）一般公共预算财政拨款支出决算结构情况</w:t>
      </w:r>
    </w:p>
    <w:p w14:paraId="6868F513">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（三）一般公共预算财政拨款支出决算具体情况</w:t>
      </w:r>
    </w:p>
    <w:p w14:paraId="3A9CB9F8">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六、一般公共预算财政拨款基本支出决算情况说明</w:t>
      </w:r>
    </w:p>
    <w:p w14:paraId="0A87A327">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七、政府性基金预算财政拨款收入支出决算情况说明</w:t>
      </w:r>
    </w:p>
    <w:p w14:paraId="2494690F">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八、国有资本经营预算财政拨款收入支出决算情况说明</w:t>
      </w:r>
    </w:p>
    <w:p w14:paraId="7DC4B35F">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九、财政拨款“三公”经费支出决算情况说明</w:t>
      </w:r>
    </w:p>
    <w:p w14:paraId="54A476FA">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十、其他重要事项的情况说明</w:t>
      </w:r>
    </w:p>
    <w:p w14:paraId="07570F75">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（一）机关运行经费及公用经费支出情况</w:t>
      </w:r>
    </w:p>
    <w:p w14:paraId="5A1ED25C">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（二）政府采购情况</w:t>
      </w:r>
    </w:p>
    <w:p w14:paraId="5ACD2425">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（三）国有资产占用情况说明</w:t>
      </w:r>
    </w:p>
    <w:p w14:paraId="62FF821D">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十一、预算绩效的情况说明</w:t>
      </w:r>
    </w:p>
    <w:p w14:paraId="3EB52DE6">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十二、其他需说明的事项</w:t>
      </w:r>
    </w:p>
    <w:p w14:paraId="55BEAE11">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sz w:val="32"/>
          <w:szCs w:val="32"/>
        </w:rPr>
        <w:t>第三部分专业名词解释</w:t>
      </w:r>
    </w:p>
    <w:p w14:paraId="4B2309C0">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sz w:val="32"/>
          <w:szCs w:val="32"/>
        </w:rPr>
        <w:t>第四部分部门决算报表（见附表）</w:t>
      </w:r>
    </w:p>
    <w:p w14:paraId="564378C3">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一、《收入支出决算总表》</w:t>
      </w:r>
    </w:p>
    <w:p w14:paraId="3392A752">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二、《收入决算表》</w:t>
      </w:r>
    </w:p>
    <w:p w14:paraId="7EB81ABF">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三、《支出决算表》</w:t>
      </w:r>
    </w:p>
    <w:p w14:paraId="6D91BDE0">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四、《财政拨款收入支出决算总表》</w:t>
      </w:r>
    </w:p>
    <w:p w14:paraId="0BB01305">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五、《一般公共预算财政拨款支出决算表》</w:t>
      </w:r>
    </w:p>
    <w:p w14:paraId="0D11F8C7">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六、《一般公共预算财政拨款基本支出决算表》</w:t>
      </w:r>
    </w:p>
    <w:p w14:paraId="19119647">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七、《政府性基金预算财政拨款收入支出决算表》</w:t>
      </w:r>
    </w:p>
    <w:p w14:paraId="401D47CE">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八、《国有资本经营预算财政拨款收入支出决算表》</w:t>
      </w:r>
    </w:p>
    <w:p w14:paraId="6E828089">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九、《财政拨款“三公”经费支出决算表》</w:t>
      </w:r>
    </w:p>
    <w:p w14:paraId="3FF45B51">
      <w:pPr>
        <w:keepNext w:val="0"/>
        <w:keepLines w:val="0"/>
        <w:pageBreakBefore w:val="0"/>
        <w:widowControl w:val="0"/>
        <w:kinsoku/>
        <w:wordWrap/>
        <w:overflowPunct w:val="0"/>
        <w:topLinePunct/>
        <w:autoSpaceDE w:val="0"/>
        <w:autoSpaceDN/>
        <w:bidi w:val="0"/>
        <w:adjustRightInd/>
        <w:snapToGrid/>
        <w:spacing w:line="560" w:lineRule="exact"/>
        <w:jc w:val="center"/>
        <w:textAlignment w:val="auto"/>
        <w:rPr>
          <w:rFonts w:ascii="黑体" w:eastAsia="黑体"/>
          <w:sz w:val="32"/>
          <w:szCs w:val="32"/>
        </w:rPr>
      </w:pPr>
      <w:r>
        <w:rPr>
          <w:b w:val="0"/>
          <w:sz w:val="0"/>
          <w:szCs w:val="0"/>
        </w:rPr>
        <w:br w:type="page"/>
      </w:r>
      <w:r>
        <w:rPr>
          <w:rFonts w:ascii="黑体" w:eastAsia="黑体"/>
          <w:b w:val="0"/>
          <w:sz w:val="32"/>
          <w:szCs w:val="32"/>
        </w:rPr>
        <w:t>第一部分单位概况</w:t>
      </w:r>
    </w:p>
    <w:p w14:paraId="5E0579C2">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一、主要职能</w:t>
      </w:r>
    </w:p>
    <w:p w14:paraId="61A216B1">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ind w:firstLine="640" w:firstLineChars="200"/>
        <w:jc w:val="both"/>
        <w:textAlignment w:val="auto"/>
        <w:rPr>
          <w:rFonts w:ascii="仿宋_GB2312" w:eastAsia="仿宋_GB2312"/>
          <w:color w:val="auto"/>
          <w:sz w:val="32"/>
          <w:szCs w:val="32"/>
        </w:rPr>
      </w:pPr>
      <w:r>
        <w:rPr>
          <w:rFonts w:ascii="仿宋_GB2312" w:eastAsia="仿宋_GB2312"/>
          <w:b w:val="0"/>
          <w:color w:val="auto"/>
          <w:sz w:val="32"/>
          <w:szCs w:val="32"/>
        </w:rPr>
        <w:t>负责为</w:t>
      </w:r>
      <w:r>
        <w:rPr>
          <w:rFonts w:hint="eastAsia" w:ascii="仿宋_GB2312" w:eastAsia="仿宋_GB2312"/>
          <w:b w:val="0"/>
          <w:color w:val="auto"/>
          <w:sz w:val="32"/>
          <w:szCs w:val="32"/>
          <w:lang w:eastAsia="zh-CN"/>
        </w:rPr>
        <w:t>乡村振兴</w:t>
      </w:r>
      <w:r>
        <w:rPr>
          <w:rFonts w:ascii="仿宋_GB2312" w:eastAsia="仿宋_GB2312"/>
          <w:b w:val="0"/>
          <w:color w:val="auto"/>
          <w:sz w:val="32"/>
          <w:szCs w:val="32"/>
        </w:rPr>
        <w:t>系统干部和贫困地区提供政治理论、职业技能、实用技术等方面的培训；组织开展扶贫理论、扶贫政策和扶贫问题等重大课题的调查研究等。</w:t>
      </w:r>
    </w:p>
    <w:p w14:paraId="6B900AE4">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二、机构设置及人员情况</w:t>
      </w:r>
    </w:p>
    <w:p w14:paraId="163BF3BE">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新疆维吾尔自治区乡村振兴局宣传教育培训中心2024年度，实有人数4人，其中：在职人员3人，较上年无变化；离休人员0人，较上年无变化；退休人员1人，较上年无变化；</w:t>
      </w:r>
    </w:p>
    <w:p w14:paraId="52968458">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新疆维吾尔自治区乡村振兴局宣传教育培训中心无下属预算单位，下设</w:t>
      </w:r>
      <w:r>
        <w:rPr>
          <w:rFonts w:hint="eastAsia" w:ascii="仿宋_GB2312" w:eastAsia="仿宋_GB2312"/>
          <w:b w:val="0"/>
          <w:sz w:val="32"/>
          <w:szCs w:val="32"/>
          <w:lang w:val="en-US" w:eastAsia="zh-CN"/>
        </w:rPr>
        <w:t>0</w:t>
      </w:r>
      <w:r>
        <w:rPr>
          <w:rFonts w:ascii="仿宋_GB2312" w:eastAsia="仿宋_GB2312"/>
          <w:b w:val="0"/>
          <w:sz w:val="32"/>
          <w:szCs w:val="32"/>
        </w:rPr>
        <w:t>个</w:t>
      </w:r>
      <w:r>
        <w:rPr>
          <w:rFonts w:hint="eastAsia" w:ascii="仿宋_GB2312" w:eastAsia="仿宋_GB2312"/>
          <w:b w:val="0"/>
          <w:sz w:val="32"/>
          <w:szCs w:val="32"/>
          <w:lang w:eastAsia="zh-CN"/>
        </w:rPr>
        <w:t>处室</w:t>
      </w:r>
      <w:r>
        <w:rPr>
          <w:rFonts w:ascii="仿宋_GB2312" w:eastAsia="仿宋_GB2312"/>
          <w:b w:val="0"/>
          <w:sz w:val="32"/>
          <w:szCs w:val="32"/>
        </w:rPr>
        <w:t>。</w:t>
      </w:r>
    </w:p>
    <w:p w14:paraId="3E899A27">
      <w:pPr>
        <w:keepNext w:val="0"/>
        <w:keepLines w:val="0"/>
        <w:pageBreakBefore w:val="0"/>
        <w:widowControl w:val="0"/>
        <w:kinsoku/>
        <w:wordWrap/>
        <w:overflowPunct w:val="0"/>
        <w:topLinePunct/>
        <w:autoSpaceDE w:val="0"/>
        <w:autoSpaceDN/>
        <w:bidi w:val="0"/>
        <w:adjustRightInd/>
        <w:snapToGrid/>
        <w:spacing w:line="560" w:lineRule="exact"/>
        <w:jc w:val="center"/>
        <w:textAlignment w:val="auto"/>
        <w:rPr>
          <w:rFonts w:ascii="黑体" w:eastAsia="黑体"/>
          <w:sz w:val="32"/>
          <w:szCs w:val="32"/>
        </w:rPr>
      </w:pPr>
      <w:r>
        <w:rPr>
          <w:b w:val="0"/>
          <w:sz w:val="0"/>
          <w:szCs w:val="0"/>
        </w:rPr>
        <w:br w:type="page"/>
      </w:r>
      <w:r>
        <w:rPr>
          <w:rFonts w:ascii="黑体" w:eastAsia="黑体"/>
          <w:b w:val="0"/>
          <w:sz w:val="32"/>
          <w:szCs w:val="32"/>
        </w:rPr>
        <w:t>第二部分部门决算情况说明</w:t>
      </w:r>
    </w:p>
    <w:p w14:paraId="7264AB35">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一、收入支出决算总体情况说明</w:t>
      </w:r>
    </w:p>
    <w:p w14:paraId="6DD0BC16">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2024年度收入总计223.07万元，其中：本年收入合计221.50万元，使用非财政拨款结余（含专用结余）0.00万元，年初结转和结余1.57万元。</w:t>
      </w:r>
    </w:p>
    <w:p w14:paraId="0DD919E6">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2024年度支出总计223.07万元，其中：本年支出合计221.50万元，结余分配0.00万元，年末结转和结余1.57万元。</w:t>
      </w:r>
    </w:p>
    <w:p w14:paraId="549DB1C0">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收入支出总体与上年相比，增加29.36万元，增长15.16%，主要原因是</w:t>
      </w:r>
      <w:r>
        <w:rPr>
          <w:rFonts w:hint="eastAsia" w:ascii="仿宋_GB2312" w:eastAsia="仿宋_GB2312"/>
          <w:b w:val="0"/>
          <w:sz w:val="32"/>
          <w:szCs w:val="32"/>
          <w:lang w:eastAsia="zh-CN"/>
        </w:rPr>
        <w:t>：</w:t>
      </w:r>
      <w:r>
        <w:rPr>
          <w:rFonts w:hint="eastAsia" w:ascii="仿宋" w:hAnsi="仿宋" w:eastAsia="仿宋"/>
          <w:color w:val="auto"/>
          <w:sz w:val="32"/>
          <w:szCs w:val="32"/>
          <w:lang w:val="en-US" w:eastAsia="zh-CN"/>
        </w:rPr>
        <w:t>2024年培训费增加</w:t>
      </w:r>
      <w:r>
        <w:rPr>
          <w:rFonts w:hint="eastAsia" w:ascii="仿宋_GB2312" w:eastAsia="仿宋_GB2312"/>
          <w:b w:val="0"/>
          <w:sz w:val="32"/>
          <w:szCs w:val="32"/>
          <w:lang w:eastAsia="zh-CN"/>
        </w:rPr>
        <w:t>，</w:t>
      </w:r>
      <w:r>
        <w:rPr>
          <w:rFonts w:hint="eastAsia" w:ascii="仿宋_GB2312" w:eastAsia="仿宋_GB2312"/>
          <w:b w:val="0"/>
          <w:color w:val="auto"/>
          <w:sz w:val="32"/>
          <w:szCs w:val="32"/>
          <w:u w:val="none"/>
          <w:lang w:val="en-US" w:eastAsia="zh-CN"/>
        </w:rPr>
        <w:t>2024年发放2023年度</w:t>
      </w:r>
      <w:r>
        <w:rPr>
          <w:rFonts w:hint="eastAsia" w:ascii="仿宋" w:hAnsi="仿宋" w:eastAsia="仿宋" w:cs="仿宋_GB2312"/>
          <w:color w:val="auto"/>
          <w:spacing w:val="-2"/>
          <w:sz w:val="32"/>
          <w:szCs w:val="32"/>
          <w:u w:val="none"/>
        </w:rPr>
        <w:t>绩效考核奖</w:t>
      </w:r>
      <w:r>
        <w:rPr>
          <w:rFonts w:hint="eastAsia" w:ascii="仿宋" w:hAnsi="仿宋" w:eastAsia="仿宋" w:cs="仿宋_GB2312"/>
          <w:color w:val="auto"/>
          <w:spacing w:val="-2"/>
          <w:sz w:val="32"/>
          <w:szCs w:val="32"/>
          <w:u w:val="none"/>
          <w:lang w:eastAsia="zh-CN"/>
        </w:rPr>
        <w:t>较上年额度增加以及人员普调工资</w:t>
      </w:r>
      <w:r>
        <w:rPr>
          <w:rFonts w:ascii="仿宋_GB2312" w:eastAsia="仿宋_GB2312"/>
          <w:b w:val="0"/>
          <w:color w:val="auto"/>
          <w:sz w:val="32"/>
          <w:szCs w:val="32"/>
          <w:u w:val="none"/>
        </w:rPr>
        <w:t>。</w:t>
      </w:r>
    </w:p>
    <w:p w14:paraId="04BA2D29">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二、收入决算情况说明</w:t>
      </w:r>
    </w:p>
    <w:p w14:paraId="4398DBF5">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本年收入221.50万元，其中：财政拨款收入221.48万元</w:t>
      </w:r>
      <w:r>
        <w:rPr>
          <w:rFonts w:hint="eastAsia" w:ascii="仿宋_GB2312" w:eastAsia="仿宋_GB2312"/>
          <w:b w:val="0"/>
          <w:sz w:val="32"/>
          <w:szCs w:val="32"/>
          <w:lang w:eastAsia="zh-CN"/>
        </w:rPr>
        <w:t>，</w:t>
      </w:r>
      <w:r>
        <w:rPr>
          <w:rFonts w:ascii="仿宋_GB2312" w:eastAsia="仿宋_GB2312"/>
          <w:b w:val="0"/>
          <w:sz w:val="32"/>
          <w:szCs w:val="32"/>
        </w:rPr>
        <w:t>占99.99%；上级补助收入0.00万元</w:t>
      </w:r>
      <w:r>
        <w:rPr>
          <w:rFonts w:hint="eastAsia" w:ascii="仿宋_GB2312" w:eastAsia="仿宋_GB2312"/>
          <w:b w:val="0"/>
          <w:sz w:val="32"/>
          <w:szCs w:val="32"/>
          <w:lang w:eastAsia="zh-CN"/>
        </w:rPr>
        <w:t>，</w:t>
      </w:r>
      <w:r>
        <w:rPr>
          <w:rFonts w:ascii="仿宋_GB2312" w:eastAsia="仿宋_GB2312"/>
          <w:b w:val="0"/>
          <w:sz w:val="32"/>
          <w:szCs w:val="32"/>
        </w:rPr>
        <w:t>占0.00%；事业收入0.00万元，占0.00%；经营收入0.00万元</w:t>
      </w:r>
      <w:r>
        <w:rPr>
          <w:rFonts w:hint="eastAsia" w:ascii="仿宋_GB2312" w:eastAsia="仿宋_GB2312"/>
          <w:b w:val="0"/>
          <w:sz w:val="32"/>
          <w:szCs w:val="32"/>
          <w:lang w:eastAsia="zh-CN"/>
        </w:rPr>
        <w:t>，</w:t>
      </w:r>
      <w:r>
        <w:rPr>
          <w:rFonts w:ascii="仿宋_GB2312" w:eastAsia="仿宋_GB2312"/>
          <w:b w:val="0"/>
          <w:sz w:val="32"/>
          <w:szCs w:val="32"/>
        </w:rPr>
        <w:t>占0.00%；附属单位上缴收入0.00万元，占0.00%；其他收入0.02万元，占0.01%。</w:t>
      </w:r>
    </w:p>
    <w:p w14:paraId="58780088">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三、支出决算情况说明</w:t>
      </w:r>
    </w:p>
    <w:p w14:paraId="62E3110B">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本年支出221.50万元，其中：基本支出221.50万元，占100.00%；项目支出0.00万元，占0.00%；上缴上级支出0.00万元，占0.00%；经营支出0.00万元，占0.00%；对附属单位补助支出0.00万元，占0.00%。</w:t>
      </w:r>
    </w:p>
    <w:p w14:paraId="25480027">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四、财政拨款收入支出决算总体情况说明</w:t>
      </w:r>
    </w:p>
    <w:p w14:paraId="0051F3EA">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2024年度财政拨款收入总计223.05万元，其中：年初财政拨款结转和结余1.57万元，本年财政拨款收入221.48万元。财政拨款支出总计223.05万元，其中：年末财政拨款结转和结余1.57万元，本年财政拨款支出221.48万元。</w:t>
      </w:r>
    </w:p>
    <w:p w14:paraId="6D7511B3">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ind w:firstLine="640" w:firstLineChars="200"/>
        <w:jc w:val="both"/>
        <w:textAlignment w:val="auto"/>
        <w:rPr>
          <w:rFonts w:ascii="仿宋_GB2312" w:eastAsia="仿宋_GB2312"/>
          <w:color w:val="auto"/>
          <w:sz w:val="32"/>
          <w:szCs w:val="32"/>
        </w:rPr>
      </w:pPr>
      <w:r>
        <w:rPr>
          <w:rFonts w:ascii="仿宋_GB2312" w:eastAsia="仿宋_GB2312"/>
          <w:b w:val="0"/>
          <w:sz w:val="32"/>
          <w:szCs w:val="32"/>
        </w:rPr>
        <w:t>财政拨款收入支出总体与上年相比，增加29.36万元，增长15.16%，主要原因是：</w:t>
      </w:r>
      <w:r>
        <w:rPr>
          <w:rFonts w:hint="eastAsia" w:ascii="仿宋" w:hAnsi="仿宋" w:eastAsia="仿宋"/>
          <w:color w:val="auto"/>
          <w:sz w:val="32"/>
          <w:szCs w:val="32"/>
          <w:lang w:val="en-US" w:eastAsia="zh-CN"/>
        </w:rPr>
        <w:t>2024年培训费额度增加</w:t>
      </w:r>
      <w:r>
        <w:rPr>
          <w:rFonts w:hint="eastAsia" w:ascii="仿宋_GB2312" w:eastAsia="仿宋_GB2312"/>
          <w:b w:val="0"/>
          <w:sz w:val="32"/>
          <w:szCs w:val="32"/>
          <w:lang w:eastAsia="zh-CN"/>
        </w:rPr>
        <w:t>，</w:t>
      </w:r>
      <w:r>
        <w:rPr>
          <w:rFonts w:hint="eastAsia" w:ascii="仿宋_GB2312" w:eastAsia="仿宋_GB2312"/>
          <w:b w:val="0"/>
          <w:color w:val="auto"/>
          <w:sz w:val="32"/>
          <w:szCs w:val="32"/>
          <w:u w:val="none"/>
          <w:lang w:val="en-US" w:eastAsia="zh-CN"/>
        </w:rPr>
        <w:t>2024年发放2023年度</w:t>
      </w:r>
      <w:r>
        <w:rPr>
          <w:rFonts w:hint="eastAsia" w:ascii="仿宋" w:hAnsi="仿宋" w:eastAsia="仿宋" w:cs="仿宋_GB2312"/>
          <w:color w:val="auto"/>
          <w:spacing w:val="-2"/>
          <w:sz w:val="32"/>
          <w:szCs w:val="32"/>
          <w:u w:val="none"/>
        </w:rPr>
        <w:t>绩效考核奖</w:t>
      </w:r>
      <w:r>
        <w:rPr>
          <w:rFonts w:hint="eastAsia" w:ascii="仿宋" w:hAnsi="仿宋" w:eastAsia="仿宋" w:cs="仿宋_GB2312"/>
          <w:color w:val="auto"/>
          <w:spacing w:val="-2"/>
          <w:sz w:val="32"/>
          <w:szCs w:val="32"/>
          <w:u w:val="none"/>
          <w:lang w:eastAsia="zh-CN"/>
        </w:rPr>
        <w:t>较上年额度增加</w:t>
      </w:r>
      <w:r>
        <w:rPr>
          <w:rFonts w:hint="eastAsia" w:ascii="仿宋" w:hAnsi="仿宋" w:eastAsia="仿宋" w:cs="仿宋_GB2312"/>
          <w:color w:val="auto"/>
          <w:spacing w:val="-2"/>
          <w:sz w:val="32"/>
          <w:szCs w:val="32"/>
          <w:u w:val="none"/>
          <w:lang w:val="en-US" w:eastAsia="zh-CN"/>
        </w:rPr>
        <w:t>以及</w:t>
      </w:r>
      <w:r>
        <w:rPr>
          <w:rFonts w:hint="eastAsia" w:ascii="仿宋" w:hAnsi="仿宋" w:eastAsia="仿宋" w:cs="仿宋_GB2312"/>
          <w:color w:val="auto"/>
          <w:spacing w:val="-2"/>
          <w:sz w:val="32"/>
          <w:szCs w:val="32"/>
          <w:u w:val="none"/>
          <w:lang w:eastAsia="zh-CN"/>
        </w:rPr>
        <w:t>人员普调工资</w:t>
      </w:r>
      <w:r>
        <w:rPr>
          <w:rFonts w:ascii="仿宋_GB2312" w:eastAsia="仿宋_GB2312"/>
          <w:b w:val="0"/>
          <w:color w:val="auto"/>
          <w:sz w:val="32"/>
          <w:szCs w:val="32"/>
          <w:u w:val="none"/>
        </w:rPr>
        <w:t>。</w:t>
      </w:r>
      <w:r>
        <w:rPr>
          <w:rFonts w:ascii="仿宋_GB2312" w:eastAsia="仿宋_GB2312"/>
          <w:b w:val="0"/>
          <w:sz w:val="32"/>
          <w:szCs w:val="32"/>
        </w:rPr>
        <w:t>与年初预算相比，年初预算数152.65万元，决算数223.05万元，预决算差异率46.12%，主要原因是：</w:t>
      </w:r>
      <w:r>
        <w:rPr>
          <w:rFonts w:hint="eastAsia" w:ascii="仿宋" w:hAnsi="仿宋" w:eastAsia="仿宋"/>
          <w:color w:val="auto"/>
          <w:sz w:val="32"/>
          <w:szCs w:val="32"/>
          <w:lang w:val="en-US" w:eastAsia="zh-CN"/>
        </w:rPr>
        <w:t>追加培训费、年终绩效考核奖和人员增资。</w:t>
      </w:r>
    </w:p>
    <w:p w14:paraId="4CF3AD92">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五、一般公共预算财政拨款支出决算情况说明</w:t>
      </w:r>
    </w:p>
    <w:p w14:paraId="6EB33E0B">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ind w:firstLine="643" w:firstLineChars="200"/>
        <w:jc w:val="left"/>
        <w:textAlignment w:val="auto"/>
        <w:outlineLvl w:val="2"/>
        <w:rPr>
          <w:rFonts w:ascii="仿宋_GB2312" w:eastAsia="仿宋_GB2312"/>
          <w:sz w:val="32"/>
          <w:szCs w:val="32"/>
        </w:rPr>
      </w:pPr>
      <w:r>
        <w:rPr>
          <w:rFonts w:ascii="仿宋_GB2312" w:eastAsia="仿宋_GB2312"/>
          <w:b/>
          <w:sz w:val="32"/>
          <w:szCs w:val="32"/>
        </w:rPr>
        <w:t>（一）一般公共预算财政拨款支出决算总体情况</w:t>
      </w:r>
    </w:p>
    <w:p w14:paraId="7AB50FA2">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ind w:firstLine="640" w:firstLineChars="200"/>
        <w:jc w:val="both"/>
        <w:textAlignment w:val="auto"/>
        <w:rPr>
          <w:rFonts w:ascii="仿宋_GB2312" w:eastAsia="仿宋_GB2312"/>
          <w:color w:val="auto"/>
          <w:sz w:val="32"/>
          <w:szCs w:val="32"/>
        </w:rPr>
      </w:pPr>
      <w:r>
        <w:rPr>
          <w:rFonts w:ascii="仿宋_GB2312" w:eastAsia="仿宋_GB2312"/>
          <w:b w:val="0"/>
          <w:sz w:val="32"/>
          <w:szCs w:val="32"/>
        </w:rPr>
        <w:t>2024年度一般公共预算财政拨款支出221.48万元，占本年支出合计的99.99%。与上年相比，增加29.35万元，增长15.28%，主要原因是：</w:t>
      </w:r>
      <w:r>
        <w:rPr>
          <w:rFonts w:hint="eastAsia" w:ascii="仿宋" w:hAnsi="仿宋" w:eastAsia="仿宋"/>
          <w:color w:val="auto"/>
          <w:sz w:val="32"/>
          <w:szCs w:val="32"/>
          <w:lang w:val="en-US" w:eastAsia="zh-CN"/>
        </w:rPr>
        <w:t>2024年培训费额度增加</w:t>
      </w:r>
      <w:r>
        <w:rPr>
          <w:rFonts w:hint="eastAsia" w:ascii="仿宋_GB2312" w:eastAsia="仿宋_GB2312"/>
          <w:b w:val="0"/>
          <w:sz w:val="32"/>
          <w:szCs w:val="32"/>
          <w:lang w:eastAsia="zh-CN"/>
        </w:rPr>
        <w:t>，</w:t>
      </w:r>
      <w:r>
        <w:rPr>
          <w:rFonts w:hint="eastAsia" w:ascii="仿宋_GB2312" w:eastAsia="仿宋_GB2312"/>
          <w:b w:val="0"/>
          <w:color w:val="auto"/>
          <w:sz w:val="32"/>
          <w:szCs w:val="32"/>
          <w:u w:val="none"/>
          <w:lang w:val="en-US" w:eastAsia="zh-CN"/>
        </w:rPr>
        <w:t>2024年发放2023年度</w:t>
      </w:r>
      <w:r>
        <w:rPr>
          <w:rFonts w:hint="eastAsia" w:ascii="仿宋" w:hAnsi="仿宋" w:eastAsia="仿宋" w:cs="仿宋_GB2312"/>
          <w:color w:val="auto"/>
          <w:spacing w:val="-2"/>
          <w:sz w:val="32"/>
          <w:szCs w:val="32"/>
          <w:u w:val="none"/>
        </w:rPr>
        <w:t>绩效考核奖</w:t>
      </w:r>
      <w:r>
        <w:rPr>
          <w:rFonts w:hint="eastAsia" w:ascii="仿宋" w:hAnsi="仿宋" w:eastAsia="仿宋" w:cs="仿宋_GB2312"/>
          <w:color w:val="auto"/>
          <w:spacing w:val="-2"/>
          <w:sz w:val="32"/>
          <w:szCs w:val="32"/>
          <w:u w:val="none"/>
          <w:lang w:eastAsia="zh-CN"/>
        </w:rPr>
        <w:t>较上年额度增加</w:t>
      </w:r>
      <w:r>
        <w:rPr>
          <w:rFonts w:hint="eastAsia" w:ascii="仿宋" w:hAnsi="仿宋" w:eastAsia="仿宋"/>
          <w:color w:val="auto"/>
          <w:sz w:val="32"/>
          <w:szCs w:val="32"/>
          <w:lang w:val="en-US" w:eastAsia="zh-CN"/>
        </w:rPr>
        <w:t>以及</w:t>
      </w:r>
      <w:r>
        <w:rPr>
          <w:rFonts w:hint="eastAsia" w:ascii="仿宋" w:hAnsi="仿宋" w:eastAsia="仿宋" w:cs="仿宋_GB2312"/>
          <w:color w:val="auto"/>
          <w:spacing w:val="-2"/>
          <w:sz w:val="32"/>
          <w:szCs w:val="32"/>
          <w:u w:val="none"/>
          <w:lang w:eastAsia="zh-CN"/>
        </w:rPr>
        <w:t>人员普调工资</w:t>
      </w:r>
      <w:r>
        <w:rPr>
          <w:rFonts w:ascii="仿宋_GB2312" w:eastAsia="仿宋_GB2312"/>
          <w:b w:val="0"/>
          <w:sz w:val="32"/>
          <w:szCs w:val="32"/>
        </w:rPr>
        <w:t>。与年初预算相比，年初预算数152.65万元，决算数221.48万元，预决算差异率45.09%，主要原因是：</w:t>
      </w:r>
      <w:r>
        <w:rPr>
          <w:rFonts w:hint="eastAsia" w:ascii="仿宋" w:hAnsi="仿宋" w:eastAsia="仿宋"/>
          <w:color w:val="auto"/>
          <w:sz w:val="32"/>
          <w:szCs w:val="32"/>
          <w:lang w:val="en-US" w:eastAsia="zh-CN"/>
        </w:rPr>
        <w:t>追加培训费、年终绩效考核奖和人员增资。</w:t>
      </w:r>
    </w:p>
    <w:p w14:paraId="2ED3E40B">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ind w:firstLine="643" w:firstLineChars="200"/>
        <w:jc w:val="left"/>
        <w:textAlignment w:val="auto"/>
        <w:outlineLvl w:val="2"/>
        <w:rPr>
          <w:rFonts w:ascii="仿宋_GB2312" w:eastAsia="仿宋_GB2312"/>
          <w:sz w:val="32"/>
          <w:szCs w:val="32"/>
        </w:rPr>
      </w:pPr>
      <w:r>
        <w:rPr>
          <w:rFonts w:ascii="仿宋_GB2312" w:eastAsia="仿宋_GB2312"/>
          <w:b/>
          <w:sz w:val="32"/>
          <w:szCs w:val="32"/>
        </w:rPr>
        <w:t>（二）一般公共预算财政拨款支出决算结构情况</w:t>
      </w:r>
    </w:p>
    <w:p w14:paraId="08825D20">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社会保障和就业支出（类）6.99万元，占3.16%。</w:t>
      </w:r>
    </w:p>
    <w:p w14:paraId="0307BB29">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卫生健康支出（类）5.06万元，占2.28%。</w:t>
      </w:r>
    </w:p>
    <w:p w14:paraId="01F4409D">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农林水支出（类）205.25万元，占92.67%。</w:t>
      </w:r>
    </w:p>
    <w:p w14:paraId="69B987C2">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住房保障支出（类）4.18万元，占1.89%。</w:t>
      </w:r>
    </w:p>
    <w:p w14:paraId="33036924">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ind w:firstLine="643" w:firstLineChars="200"/>
        <w:jc w:val="left"/>
        <w:textAlignment w:val="auto"/>
        <w:outlineLvl w:val="2"/>
        <w:rPr>
          <w:rFonts w:ascii="仿宋_GB2312" w:eastAsia="仿宋_GB2312"/>
          <w:sz w:val="32"/>
          <w:szCs w:val="32"/>
        </w:rPr>
      </w:pPr>
      <w:r>
        <w:rPr>
          <w:rFonts w:ascii="仿宋_GB2312" w:eastAsia="仿宋_GB2312"/>
          <w:b/>
          <w:sz w:val="32"/>
          <w:szCs w:val="32"/>
        </w:rPr>
        <w:t>（三）一般公共预算财政拨款支出决算具体情况</w:t>
      </w:r>
    </w:p>
    <w:p w14:paraId="4740A4D9">
      <w:pPr>
        <w:keepNext w:val="0"/>
        <w:keepLines w:val="0"/>
        <w:pageBreakBefore w:val="0"/>
        <w:widowControl w:val="0"/>
        <w:numPr>
          <w:ilvl w:val="0"/>
          <w:numId w:val="0"/>
        </w:numPr>
        <w:kinsoku/>
        <w:wordWrap/>
        <w:overflowPunct w:val="0"/>
        <w:topLinePunct/>
        <w:autoSpaceDE w:val="0"/>
        <w:autoSpaceDN/>
        <w:bidi w:val="0"/>
        <w:adjustRightInd/>
        <w:snapToGrid/>
        <w:spacing w:before="0" w:beforeAutospacing="0" w:after="0" w:afterAutospacing="0" w:line="560" w:lineRule="exact"/>
        <w:ind w:firstLine="640" w:firstLineChars="200"/>
        <w:textAlignment w:val="auto"/>
        <w:rPr>
          <w:rFonts w:hint="eastAsia" w:ascii="仿宋_GB2312" w:eastAsia="仿宋_GB2312"/>
          <w:color w:val="FF0000"/>
          <w:sz w:val="32"/>
          <w:szCs w:val="32"/>
          <w:lang w:eastAsia="zh-CN"/>
        </w:rPr>
      </w:pPr>
      <w:r>
        <w:rPr>
          <w:rFonts w:ascii="仿宋_GB2312" w:eastAsia="仿宋_GB2312"/>
          <w:b w:val="0"/>
          <w:sz w:val="32"/>
          <w:szCs w:val="32"/>
        </w:rPr>
        <w:t>社会保障和就业支出（类）行政事业单位养老支出（款）事业单位离退休（项）：支出决算数为1.41万元，比上年决算增加1.41万元，增长</w:t>
      </w:r>
      <w:r>
        <w:rPr>
          <w:rFonts w:hint="eastAsia" w:ascii="仿宋_GB2312" w:eastAsia="仿宋_GB2312"/>
          <w:b w:val="0"/>
          <w:sz w:val="32"/>
          <w:szCs w:val="32"/>
          <w:lang w:val="en-US" w:eastAsia="zh-CN"/>
        </w:rPr>
        <w:t>10</w:t>
      </w:r>
      <w:r>
        <w:rPr>
          <w:rFonts w:ascii="仿宋_GB2312" w:eastAsia="仿宋_GB2312"/>
          <w:b w:val="0"/>
          <w:sz w:val="32"/>
          <w:szCs w:val="32"/>
        </w:rPr>
        <w:t>0.00%，主要原因是：</w:t>
      </w:r>
      <w:r>
        <w:rPr>
          <w:rFonts w:hint="eastAsia" w:ascii="仿宋_GB2312" w:hAnsi="宋体" w:eastAsia="仿宋_GB2312" w:cs="仿宋_GB2312"/>
          <w:i w:val="0"/>
          <w:iCs w:val="0"/>
          <w:color w:val="auto"/>
          <w:kern w:val="0"/>
          <w:sz w:val="32"/>
          <w:szCs w:val="32"/>
          <w:u w:val="none"/>
          <w:lang w:val="en-US" w:eastAsia="zh-CN" w:bidi="ar"/>
        </w:rPr>
        <w:t>2023年6月退休人员，在2024年新增退休人员经费。</w:t>
      </w:r>
    </w:p>
    <w:p w14:paraId="023EC4D1">
      <w:pPr>
        <w:snapToGrid w:val="0"/>
        <w:spacing w:line="520" w:lineRule="exact"/>
        <w:ind w:firstLine="640" w:firstLineChars="200"/>
        <w:rPr>
          <w:rFonts w:hint="eastAsia" w:ascii="仿宋_GB2312" w:hAnsi="宋体" w:eastAsia="仿宋_GB2312" w:cs="仿宋_GB2312"/>
          <w:i w:val="0"/>
          <w:iCs w:val="0"/>
          <w:color w:val="auto"/>
          <w:kern w:val="0"/>
          <w:sz w:val="32"/>
          <w:szCs w:val="32"/>
          <w:u w:val="none"/>
          <w:lang w:val="en-US" w:eastAsia="zh-CN" w:bidi="ar"/>
        </w:rPr>
      </w:pPr>
      <w:r>
        <w:rPr>
          <w:rFonts w:ascii="仿宋_GB2312" w:eastAsia="仿宋_GB2312"/>
          <w:b w:val="0"/>
          <w:sz w:val="32"/>
          <w:szCs w:val="32"/>
        </w:rPr>
        <w:t>社会保障和就业支出（类）行政事业单位养老支出（款）机关事业单位基本养老保险缴费支出（项）：支出决算数为5.58万元，比上年决算减少0.33万元，下降5.58%，主要原因是：</w:t>
      </w:r>
      <w:r>
        <w:rPr>
          <w:rFonts w:hint="eastAsia" w:ascii="仿宋_GB2312" w:hAnsi="宋体" w:eastAsia="仿宋_GB2312" w:cs="仿宋_GB2312"/>
          <w:i w:val="0"/>
          <w:iCs w:val="0"/>
          <w:color w:val="auto"/>
          <w:kern w:val="0"/>
          <w:sz w:val="32"/>
          <w:szCs w:val="32"/>
          <w:u w:val="none"/>
          <w:lang w:val="en-US" w:eastAsia="zh-CN" w:bidi="ar"/>
        </w:rPr>
        <w:t>2023年6月退休人员，在2024年预算时减少此人机关事业单位基本养老保险缴费预算，导致本年决算数较上年决算数减少。</w:t>
      </w:r>
    </w:p>
    <w:p w14:paraId="7BFC1FF0">
      <w:pPr>
        <w:keepNext w:val="0"/>
        <w:keepLines w:val="0"/>
        <w:pageBreakBefore w:val="0"/>
        <w:widowControl w:val="0"/>
        <w:numPr>
          <w:ilvl w:val="0"/>
          <w:numId w:val="0"/>
        </w:numPr>
        <w:kinsoku/>
        <w:wordWrap/>
        <w:overflowPunct w:val="0"/>
        <w:topLinePunct/>
        <w:autoSpaceDE w:val="0"/>
        <w:autoSpaceDN/>
        <w:bidi w:val="0"/>
        <w:adjustRightInd/>
        <w:snapToGrid/>
        <w:spacing w:before="0" w:beforeAutospacing="0" w:after="0" w:afterAutospacing="0" w:line="560" w:lineRule="exact"/>
        <w:ind w:firstLine="640" w:firstLineChars="200"/>
        <w:textAlignment w:val="auto"/>
        <w:rPr>
          <w:rFonts w:hint="eastAsia" w:ascii="仿宋_GB2312" w:eastAsia="仿宋_GB2312"/>
          <w:color w:val="auto"/>
          <w:sz w:val="32"/>
          <w:szCs w:val="32"/>
          <w:u w:val="none"/>
          <w:lang w:eastAsia="zh-CN"/>
        </w:rPr>
      </w:pPr>
      <w:r>
        <w:rPr>
          <w:rFonts w:ascii="仿宋_GB2312" w:eastAsia="仿宋_GB2312"/>
          <w:b w:val="0"/>
          <w:sz w:val="32"/>
          <w:szCs w:val="32"/>
        </w:rPr>
        <w:t>社会保障和就业支出（类）行政事业单位养老支出（款）机关事业单位职业年金缴费支出（项）：支出决算数为0.00万元，比上年决算减少6.10万元，下降100.00%，主要原因是</w:t>
      </w:r>
      <w:r>
        <w:rPr>
          <w:rFonts w:ascii="仿宋_GB2312" w:eastAsia="仿宋_GB2312"/>
          <w:b w:val="0"/>
          <w:color w:val="auto"/>
          <w:sz w:val="32"/>
          <w:szCs w:val="32"/>
          <w:u w:val="none"/>
        </w:rPr>
        <w:t>：</w:t>
      </w:r>
      <w:r>
        <w:rPr>
          <w:rFonts w:hint="eastAsia" w:ascii="仿宋_GB2312" w:eastAsia="仿宋_GB2312"/>
          <w:b w:val="0"/>
          <w:color w:val="auto"/>
          <w:sz w:val="32"/>
          <w:szCs w:val="32"/>
          <w:u w:val="none"/>
          <w:lang w:val="en-US" w:eastAsia="zh-CN"/>
        </w:rPr>
        <w:t>2023年补发退休人员计实职业年金，2024年无此项经费</w:t>
      </w:r>
      <w:r>
        <w:rPr>
          <w:rFonts w:hint="eastAsia" w:ascii="仿宋_GB2312" w:eastAsia="仿宋_GB2312"/>
          <w:b w:val="0"/>
          <w:color w:val="auto"/>
          <w:sz w:val="32"/>
          <w:szCs w:val="32"/>
          <w:u w:val="none"/>
          <w:lang w:eastAsia="zh-CN"/>
        </w:rPr>
        <w:t>。</w:t>
      </w:r>
    </w:p>
    <w:p w14:paraId="6E7D3429">
      <w:pPr>
        <w:keepNext w:val="0"/>
        <w:keepLines w:val="0"/>
        <w:pageBreakBefore w:val="0"/>
        <w:widowControl w:val="0"/>
        <w:numPr>
          <w:ilvl w:val="0"/>
          <w:numId w:val="0"/>
        </w:numPr>
        <w:kinsoku/>
        <w:wordWrap/>
        <w:overflowPunct w:val="0"/>
        <w:topLinePunct/>
        <w:autoSpaceDE w:val="0"/>
        <w:autoSpaceDN/>
        <w:bidi w:val="0"/>
        <w:adjustRightInd/>
        <w:snapToGrid/>
        <w:spacing w:before="0" w:beforeAutospacing="0" w:after="0" w:afterAutospacing="0" w:line="560" w:lineRule="exact"/>
        <w:ind w:firstLine="640" w:firstLineChars="200"/>
        <w:textAlignment w:val="auto"/>
        <w:rPr>
          <w:rFonts w:hint="eastAsia" w:ascii="仿宋_GB2312" w:eastAsia="仿宋_GB2312"/>
          <w:color w:val="FF0000"/>
          <w:sz w:val="32"/>
          <w:szCs w:val="32"/>
          <w:lang w:eastAsia="zh-CN"/>
        </w:rPr>
      </w:pPr>
      <w:r>
        <w:rPr>
          <w:rFonts w:ascii="仿宋_GB2312" w:eastAsia="仿宋_GB2312"/>
          <w:b w:val="0"/>
          <w:sz w:val="32"/>
          <w:szCs w:val="32"/>
        </w:rPr>
        <w:t>卫生健康支出（类）行政事业单位医疗（款）事业单位医疗（项）：支出决算数为2.61万元，比上年决算减少0.51万元，下降16.35%，主要原因是：</w:t>
      </w:r>
      <w:r>
        <w:rPr>
          <w:rFonts w:hint="eastAsia" w:ascii="仿宋_GB2312" w:hAnsi="宋体" w:eastAsia="仿宋_GB2312" w:cs="仿宋_GB2312"/>
          <w:i w:val="0"/>
          <w:iCs w:val="0"/>
          <w:color w:val="auto"/>
          <w:kern w:val="0"/>
          <w:sz w:val="32"/>
          <w:szCs w:val="32"/>
          <w:u w:val="none"/>
          <w:lang w:val="en-US" w:eastAsia="zh-CN" w:bidi="ar"/>
        </w:rPr>
        <w:t>2023年6月退休人员，在2024年减少此人事业单位医疗费。</w:t>
      </w:r>
    </w:p>
    <w:p w14:paraId="4872C998">
      <w:pPr>
        <w:snapToGrid w:val="0"/>
        <w:spacing w:line="520" w:lineRule="exact"/>
        <w:ind w:firstLine="640" w:firstLineChars="200"/>
        <w:rPr>
          <w:rFonts w:hint="eastAsia" w:ascii="仿宋_GB2312" w:hAnsi="宋体" w:eastAsia="仿宋_GB2312" w:cs="仿宋_GB2312"/>
          <w:i w:val="0"/>
          <w:iCs w:val="0"/>
          <w:color w:val="FF0000"/>
          <w:kern w:val="0"/>
          <w:sz w:val="32"/>
          <w:szCs w:val="32"/>
          <w:u w:val="none"/>
          <w:lang w:val="en-US" w:eastAsia="zh-CN" w:bidi="ar"/>
        </w:rPr>
      </w:pPr>
      <w:r>
        <w:rPr>
          <w:rFonts w:ascii="仿宋_GB2312" w:eastAsia="仿宋_GB2312"/>
          <w:b w:val="0"/>
          <w:sz w:val="32"/>
          <w:szCs w:val="32"/>
        </w:rPr>
        <w:t>卫生健康支出（类）行政事业单位医疗（款）公务员医疗补助（项）：支出决算数为2.44万元，比上年决算减少0.47万元，下降16.15%，主要原因是：</w:t>
      </w:r>
      <w:r>
        <w:rPr>
          <w:rFonts w:hint="eastAsia" w:ascii="仿宋_GB2312" w:hAnsi="宋体" w:eastAsia="仿宋_GB2312" w:cs="仿宋_GB2312"/>
          <w:i w:val="0"/>
          <w:iCs w:val="0"/>
          <w:color w:val="auto"/>
          <w:kern w:val="0"/>
          <w:sz w:val="32"/>
          <w:szCs w:val="32"/>
          <w:u w:val="none"/>
          <w:lang w:val="en-US" w:eastAsia="zh-CN" w:bidi="ar"/>
        </w:rPr>
        <w:t>2023年6月退休人员，在2024年减少此人此项经费。</w:t>
      </w:r>
    </w:p>
    <w:p w14:paraId="3229474A">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ind w:firstLine="640" w:firstLineChars="200"/>
        <w:jc w:val="both"/>
        <w:textAlignment w:val="auto"/>
        <w:rPr>
          <w:rFonts w:ascii="仿宋_GB2312" w:eastAsia="仿宋_GB2312"/>
          <w:color w:val="FF0000"/>
          <w:sz w:val="32"/>
          <w:szCs w:val="32"/>
          <w:u w:val="none"/>
        </w:rPr>
      </w:pPr>
      <w:r>
        <w:rPr>
          <w:rFonts w:ascii="仿宋_GB2312" w:eastAsia="仿宋_GB2312"/>
          <w:b w:val="0"/>
          <w:sz w:val="32"/>
          <w:szCs w:val="32"/>
        </w:rPr>
        <w:t>农林水支出（类）巩固脱贫攻坚成果衔接乡村振兴（款）事业运行（项）：支出决算数为205.25万元，比上年决算增加156.17万元，增长318</w:t>
      </w:r>
      <w:r>
        <w:rPr>
          <w:rFonts w:ascii="仿宋_GB2312" w:eastAsia="仿宋_GB2312"/>
          <w:b w:val="0"/>
          <w:sz w:val="32"/>
          <w:szCs w:val="32"/>
          <w:highlight w:val="none"/>
        </w:rPr>
        <w:t>.19%，主要原因是：</w:t>
      </w:r>
      <w:r>
        <w:rPr>
          <w:rFonts w:hint="eastAsia" w:ascii="仿宋_GB2312" w:eastAsia="仿宋_GB2312"/>
          <w:b w:val="0"/>
          <w:color w:val="auto"/>
          <w:sz w:val="32"/>
          <w:szCs w:val="32"/>
          <w:lang w:val="en-US" w:eastAsia="zh-CN"/>
        </w:rPr>
        <w:t>宣传培训费2023年使用2130599（其他巩固脱贫衔接乡村振兴支出）功能科目，2024年调整使用2130550（事业运行）功能科目</w:t>
      </w:r>
      <w:r>
        <w:rPr>
          <w:rFonts w:hint="eastAsia" w:ascii="仿宋_GB2312" w:eastAsia="仿宋_GB2312"/>
          <w:b w:val="0"/>
          <w:color w:val="auto"/>
          <w:sz w:val="32"/>
          <w:szCs w:val="32"/>
          <w:u w:val="none"/>
          <w:lang w:eastAsia="zh-CN"/>
        </w:rPr>
        <w:t>导致事业运行（项）支出</w:t>
      </w:r>
      <w:r>
        <w:rPr>
          <w:rFonts w:hint="eastAsia" w:ascii="仿宋_GB2312" w:eastAsia="仿宋_GB2312"/>
          <w:b w:val="0"/>
          <w:color w:val="auto"/>
          <w:sz w:val="32"/>
          <w:szCs w:val="32"/>
          <w:u w:val="none"/>
          <w:lang w:val="en-US" w:eastAsia="zh-CN"/>
        </w:rPr>
        <w:t>决算较上年</w:t>
      </w:r>
      <w:r>
        <w:rPr>
          <w:rFonts w:hint="eastAsia" w:ascii="仿宋_GB2312" w:eastAsia="仿宋_GB2312"/>
          <w:b w:val="0"/>
          <w:color w:val="auto"/>
          <w:sz w:val="32"/>
          <w:szCs w:val="32"/>
          <w:u w:val="none"/>
          <w:lang w:eastAsia="zh-CN"/>
        </w:rPr>
        <w:t>增长</w:t>
      </w:r>
      <w:r>
        <w:rPr>
          <w:rFonts w:hint="eastAsia" w:ascii="仿宋_GB2312" w:eastAsia="仿宋_GB2312"/>
          <w:b w:val="0"/>
          <w:color w:val="auto"/>
          <w:sz w:val="32"/>
          <w:szCs w:val="32"/>
          <w:u w:val="none"/>
          <w:lang w:val="en-US" w:eastAsia="zh-CN"/>
        </w:rPr>
        <w:t>；二是培训费增加</w:t>
      </w:r>
      <w:r>
        <w:rPr>
          <w:rFonts w:hint="eastAsia" w:ascii="仿宋" w:hAnsi="仿宋" w:eastAsia="仿宋"/>
          <w:color w:val="auto"/>
          <w:sz w:val="32"/>
          <w:szCs w:val="32"/>
          <w:lang w:val="en-US" w:eastAsia="zh-CN"/>
        </w:rPr>
        <w:t>、年终绩效考核奖和人员增资。</w:t>
      </w:r>
    </w:p>
    <w:p w14:paraId="39AB9693">
      <w:pPr>
        <w:keepNext w:val="0"/>
        <w:keepLines w:val="0"/>
        <w:pageBreakBefore w:val="0"/>
        <w:widowControl w:val="0"/>
        <w:numPr>
          <w:ilvl w:val="0"/>
          <w:numId w:val="0"/>
        </w:numPr>
        <w:kinsoku/>
        <w:wordWrap/>
        <w:overflowPunct w:val="0"/>
        <w:topLinePunct/>
        <w:autoSpaceDE/>
        <w:autoSpaceDN/>
        <w:bidi w:val="0"/>
        <w:adjustRightInd/>
        <w:snapToGrid/>
        <w:spacing w:before="0" w:beforeAutospacing="0" w:after="0" w:afterAutospacing="0" w:line="560" w:lineRule="exact"/>
        <w:ind w:firstLine="640" w:firstLineChars="200"/>
        <w:jc w:val="both"/>
        <w:textAlignment w:val="auto"/>
        <w:rPr>
          <w:rFonts w:hint="default" w:ascii="仿宋_GB2312" w:eastAsia="仿宋"/>
          <w:color w:val="FF0000"/>
          <w:sz w:val="32"/>
          <w:szCs w:val="32"/>
          <w:lang w:val="en-US" w:eastAsia="zh-CN"/>
        </w:rPr>
      </w:pPr>
      <w:r>
        <w:rPr>
          <w:rFonts w:ascii="仿宋_GB2312" w:eastAsia="仿宋_GB2312"/>
          <w:b w:val="0"/>
          <w:sz w:val="32"/>
          <w:szCs w:val="32"/>
        </w:rPr>
        <w:t>农林水支出（类）巩固脱贫攻坚成果衔接乡村振兴（款）其他巩固脱贫攻坚成果衔接乡村振兴支出（项）：</w:t>
      </w:r>
      <w:r>
        <w:rPr>
          <w:rFonts w:ascii="仿宋_GB2312" w:eastAsia="仿宋_GB2312"/>
          <w:b w:val="0"/>
          <w:color w:val="auto"/>
          <w:sz w:val="32"/>
          <w:szCs w:val="32"/>
        </w:rPr>
        <w:t>支出决算数为0.00万元，比上年决算减少120.00万元，下降100.00%，主要原因是：</w:t>
      </w:r>
      <w:r>
        <w:rPr>
          <w:rFonts w:hint="eastAsia" w:ascii="仿宋_GB2312" w:eastAsia="仿宋_GB2312"/>
          <w:b w:val="0"/>
          <w:color w:val="auto"/>
          <w:sz w:val="32"/>
          <w:szCs w:val="32"/>
          <w:lang w:val="en-US" w:eastAsia="zh-CN"/>
        </w:rPr>
        <w:t>宣传培训费2023年使用2130599（其他巩固脱贫衔接乡村振兴支出）功能科目，2024年调整使用2130550（事业运行）功能科目</w:t>
      </w:r>
      <w:r>
        <w:rPr>
          <w:rFonts w:hint="eastAsia" w:ascii="仿宋_GB2312" w:eastAsia="仿宋_GB2312"/>
          <w:b w:val="0"/>
          <w:color w:val="auto"/>
          <w:sz w:val="32"/>
          <w:szCs w:val="32"/>
          <w:u w:val="none"/>
          <w:lang w:eastAsia="zh-CN"/>
        </w:rPr>
        <w:t>导致其他巩固脱贫攻坚成果乡村振兴支出（项）支出</w:t>
      </w:r>
      <w:r>
        <w:rPr>
          <w:rFonts w:hint="eastAsia" w:ascii="仿宋_GB2312" w:eastAsia="仿宋_GB2312"/>
          <w:b w:val="0"/>
          <w:color w:val="auto"/>
          <w:sz w:val="32"/>
          <w:szCs w:val="32"/>
          <w:u w:val="none"/>
          <w:lang w:val="en-US" w:eastAsia="zh-CN"/>
        </w:rPr>
        <w:t>较上年决算</w:t>
      </w:r>
      <w:r>
        <w:rPr>
          <w:rFonts w:hint="eastAsia" w:ascii="仿宋_GB2312" w:eastAsia="仿宋_GB2312"/>
          <w:b w:val="0"/>
          <w:color w:val="auto"/>
          <w:sz w:val="32"/>
          <w:szCs w:val="32"/>
          <w:u w:val="none"/>
          <w:lang w:eastAsia="zh-CN"/>
        </w:rPr>
        <w:t>减少。</w:t>
      </w:r>
    </w:p>
    <w:p w14:paraId="2B0A7A4E">
      <w:pPr>
        <w:snapToGrid w:val="0"/>
        <w:spacing w:line="520" w:lineRule="exact"/>
        <w:ind w:firstLine="640" w:firstLineChars="200"/>
        <w:rPr>
          <w:rFonts w:hint="eastAsia" w:ascii="仿宋_GB2312" w:hAnsi="宋体" w:eastAsia="仿宋_GB2312" w:cs="仿宋_GB2312"/>
          <w:i w:val="0"/>
          <w:iCs w:val="0"/>
          <w:color w:val="FF0000"/>
          <w:kern w:val="0"/>
          <w:sz w:val="32"/>
          <w:szCs w:val="32"/>
          <w:u w:val="none"/>
          <w:lang w:val="en-US" w:eastAsia="zh-CN" w:bidi="ar"/>
        </w:rPr>
      </w:pPr>
      <w:r>
        <w:rPr>
          <w:rFonts w:ascii="仿宋_GB2312" w:eastAsia="仿宋_GB2312"/>
          <w:b w:val="0"/>
          <w:sz w:val="32"/>
          <w:szCs w:val="32"/>
        </w:rPr>
        <w:t>住房保障支出（类）住房改革支出（款）住房公积金（项）：支出决算数为4.18万元，比上年决算减少0.82万元，下降16.40%，主要原因是：</w:t>
      </w:r>
      <w:r>
        <w:rPr>
          <w:rFonts w:hint="eastAsia" w:ascii="仿宋_GB2312" w:hAnsi="宋体" w:eastAsia="仿宋_GB2312" w:cs="仿宋_GB2312"/>
          <w:i w:val="0"/>
          <w:iCs w:val="0"/>
          <w:color w:val="auto"/>
          <w:kern w:val="0"/>
          <w:sz w:val="32"/>
          <w:szCs w:val="32"/>
          <w:u w:val="none"/>
          <w:lang w:val="en-US" w:eastAsia="zh-CN" w:bidi="ar"/>
        </w:rPr>
        <w:t>2023年6月份退休人员，在2024年减少此人此项经费。</w:t>
      </w:r>
    </w:p>
    <w:p w14:paraId="36C81969">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六、一般公共预算财政拨款基本支出决算情况说明</w:t>
      </w:r>
    </w:p>
    <w:p w14:paraId="36F666AC">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2024年度一般公共预算财政拨款基本支出221.48万元，其中：人员经费56.53万元，包括：基本工资、津贴补贴、奖金、绩效工资、机关事业单位基本养老保险缴费、职工基本医疗保险缴费、公务员医疗补助缴费、其他社会保障缴费、住房公积金、退休费和其他对个人和家庭的补助。</w:t>
      </w:r>
    </w:p>
    <w:p w14:paraId="4C155F04">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公用经费164.95万元，包括：办公费、水费、电费、邮电费、差旅费、培训费、工会经费、福利费、公务用车运行维护费和其他商品和服务支出。</w:t>
      </w:r>
    </w:p>
    <w:p w14:paraId="7628443C">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七、政府性基金预算财政拨款收入支出决算情况说明</w:t>
      </w:r>
    </w:p>
    <w:p w14:paraId="1434627B">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本单位本年度无政府性基金预算财政拨款收入支出及结转和结余政府性基金预算财政拨款收入支出决算表为空表。</w:t>
      </w:r>
    </w:p>
    <w:p w14:paraId="736D4374">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八、国有资本经营预算财政拨款收入支出决算情况说明</w:t>
      </w:r>
    </w:p>
    <w:p w14:paraId="4BDA4B94">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本单位本年度无国有资本经营预算财政拨款收入、支出及结转和结余，国有资本经营预算财政拨款收入支出决算表为空表。</w:t>
      </w:r>
    </w:p>
    <w:p w14:paraId="56BFE930">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九、财政拨款“三公”经费支出决算情况说明</w:t>
      </w:r>
    </w:p>
    <w:p w14:paraId="12864FDB">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2024年度财政拨款“三公”经费支出1.30万元，比上年增加1.30万元，增长100%，主要原因是：</w:t>
      </w:r>
      <w:r>
        <w:rPr>
          <w:rFonts w:hint="eastAsia" w:ascii="仿宋" w:hAnsi="仿宋" w:eastAsia="仿宋"/>
          <w:color w:val="auto"/>
          <w:sz w:val="32"/>
          <w:szCs w:val="32"/>
          <w:u w:val="none"/>
          <w:lang w:val="en-US" w:eastAsia="zh-CN"/>
        </w:rPr>
        <w:t>以前年度为便于管理，本单位1辆公务用车由自治区乡村振兴局机关集中统一管理，未纳入本单位管理；2024年因机构改革，上述1辆公务用车分别划归本单位各1辆，相应经费同步纳入本单位核算。</w:t>
      </w:r>
      <w:r>
        <w:rPr>
          <w:rFonts w:ascii="仿宋_GB2312" w:eastAsia="仿宋_GB2312"/>
          <w:b w:val="0"/>
          <w:sz w:val="32"/>
          <w:szCs w:val="32"/>
        </w:rPr>
        <w:t>其中：因公出国（境）费支出0.00万元</w:t>
      </w:r>
      <w:r>
        <w:rPr>
          <w:rFonts w:hint="eastAsia" w:ascii="仿宋_GB2312" w:eastAsia="仿宋_GB2312"/>
          <w:b w:val="0"/>
          <w:sz w:val="32"/>
          <w:szCs w:val="32"/>
          <w:lang w:eastAsia="zh-CN"/>
        </w:rPr>
        <w:t>，</w:t>
      </w:r>
      <w:r>
        <w:rPr>
          <w:rFonts w:ascii="仿宋_GB2312" w:eastAsia="仿宋_GB2312"/>
          <w:b w:val="0"/>
          <w:sz w:val="32"/>
          <w:szCs w:val="32"/>
        </w:rPr>
        <w:t>占0.00%，与上年相比无变化，主要原因是：</w:t>
      </w:r>
      <w:r>
        <w:rPr>
          <w:rFonts w:hint="eastAsia" w:ascii="仿宋_GB2312" w:eastAsia="仿宋_GB2312"/>
          <w:b w:val="0"/>
          <w:sz w:val="32"/>
          <w:szCs w:val="32"/>
          <w:lang w:val="en-US" w:eastAsia="zh-CN"/>
        </w:rPr>
        <w:t>2024年预算未安排</w:t>
      </w:r>
      <w:r>
        <w:rPr>
          <w:rFonts w:hint="eastAsia" w:ascii="仿宋_GB2312" w:eastAsia="仿宋_GB2312"/>
          <w:b w:val="0"/>
          <w:sz w:val="32"/>
          <w:szCs w:val="32"/>
          <w:lang w:eastAsia="zh-CN"/>
        </w:rPr>
        <w:t>因公出国（境）费用支出</w:t>
      </w:r>
      <w:r>
        <w:rPr>
          <w:rFonts w:ascii="仿宋_GB2312" w:eastAsia="仿宋_GB2312"/>
          <w:b w:val="0"/>
          <w:sz w:val="32"/>
          <w:szCs w:val="32"/>
        </w:rPr>
        <w:t>；公务用车购置及运行维护费支出1.30万元，占100.00%，比上年增加1.30万元，增长100%，主要原因是：</w:t>
      </w:r>
      <w:r>
        <w:rPr>
          <w:rFonts w:hint="eastAsia" w:ascii="仿宋" w:hAnsi="仿宋" w:eastAsia="仿宋"/>
          <w:color w:val="auto"/>
          <w:sz w:val="32"/>
          <w:szCs w:val="32"/>
          <w:u w:val="none"/>
          <w:lang w:val="en-US" w:eastAsia="zh-CN"/>
        </w:rPr>
        <w:t>以前年度为便于管理，本单位1辆公务用车由自治区乡村振兴局机关集中统一管理，未纳入本单位管理；2024年因机构改革，上述1辆公务用车分别划归本单位各1辆，相应经费同步纳入本单位核算。</w:t>
      </w:r>
      <w:r>
        <w:rPr>
          <w:rFonts w:hint="eastAsia" w:ascii="仿宋" w:hAnsi="仿宋" w:eastAsia="仿宋"/>
          <w:color w:val="auto"/>
          <w:sz w:val="32"/>
          <w:szCs w:val="32"/>
          <w:lang w:val="en-US" w:eastAsia="zh-CN"/>
        </w:rPr>
        <w:t>导致公务用车购置及运行维护费增加。</w:t>
      </w:r>
      <w:r>
        <w:rPr>
          <w:rFonts w:ascii="仿宋_GB2312" w:eastAsia="仿宋_GB2312"/>
          <w:b w:val="0"/>
          <w:sz w:val="32"/>
          <w:szCs w:val="32"/>
        </w:rPr>
        <w:t>公务接待费支出0.00万元，占0.00%，与上年相比无变化，主要原因是：</w:t>
      </w:r>
      <w:r>
        <w:rPr>
          <w:rFonts w:hint="eastAsia" w:ascii="仿宋_GB2312" w:eastAsia="仿宋_GB2312"/>
          <w:b w:val="0"/>
          <w:sz w:val="32"/>
          <w:szCs w:val="32"/>
          <w:lang w:val="en-US" w:eastAsia="zh-CN"/>
        </w:rPr>
        <w:t>2024年预算未安排公务接待费支出</w:t>
      </w:r>
      <w:r>
        <w:rPr>
          <w:rFonts w:ascii="仿宋_GB2312" w:eastAsia="仿宋_GB2312"/>
          <w:b w:val="0"/>
          <w:sz w:val="32"/>
          <w:szCs w:val="32"/>
        </w:rPr>
        <w:t>。</w:t>
      </w:r>
    </w:p>
    <w:p w14:paraId="7AE72B83">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ind w:firstLine="640" w:firstLineChars="200"/>
        <w:jc w:val="left"/>
        <w:textAlignment w:val="auto"/>
        <w:rPr>
          <w:rFonts w:ascii="仿宋_GB2312" w:eastAsia="仿宋_GB2312"/>
          <w:sz w:val="32"/>
          <w:szCs w:val="32"/>
        </w:rPr>
      </w:pPr>
      <w:r>
        <w:rPr>
          <w:rFonts w:ascii="仿宋_GB2312" w:eastAsia="仿宋_GB2312"/>
          <w:b w:val="0"/>
          <w:sz w:val="32"/>
          <w:szCs w:val="32"/>
        </w:rPr>
        <w:t>具体情况如下：</w:t>
      </w:r>
    </w:p>
    <w:p w14:paraId="7FD55AE5">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因公出国（境）费支出0.00万元，</w:t>
      </w:r>
      <w:r>
        <w:rPr>
          <w:rFonts w:ascii="仿宋_GB2312" w:eastAsia="仿宋_GB2312"/>
          <w:b w:val="0"/>
          <w:color w:val="auto"/>
          <w:sz w:val="32"/>
          <w:szCs w:val="32"/>
          <w:u w:val="none"/>
        </w:rPr>
        <w:t>开支内容包括</w:t>
      </w:r>
      <w:r>
        <w:rPr>
          <w:rFonts w:hint="eastAsia" w:ascii="仿宋_GB2312" w:eastAsia="仿宋_GB2312"/>
          <w:b w:val="0"/>
          <w:color w:val="auto"/>
          <w:sz w:val="32"/>
          <w:szCs w:val="32"/>
          <w:u w:val="none"/>
          <w:lang w:eastAsia="zh-CN"/>
        </w:rPr>
        <w:t>：</w:t>
      </w:r>
      <w:r>
        <w:rPr>
          <w:rFonts w:hint="eastAsia" w:ascii="仿宋_GB2312" w:eastAsia="仿宋_GB2312"/>
          <w:sz w:val="32"/>
          <w:szCs w:val="32"/>
        </w:rPr>
        <w:t>我单位无因公出国（境）费。</w:t>
      </w:r>
      <w:r>
        <w:rPr>
          <w:rFonts w:ascii="仿宋_GB2312" w:eastAsia="仿宋_GB2312"/>
          <w:b w:val="0"/>
          <w:sz w:val="32"/>
          <w:szCs w:val="32"/>
        </w:rPr>
        <w:t>单位全年安排的因公出国（境）团组0个，因公出国（境）0人次。</w:t>
      </w:r>
    </w:p>
    <w:p w14:paraId="523C7F5B">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ind w:firstLine="640" w:firstLineChars="200"/>
        <w:jc w:val="both"/>
        <w:textAlignment w:val="auto"/>
        <w:rPr>
          <w:rFonts w:ascii="仿宋_GB2312" w:eastAsia="仿宋_GB2312"/>
          <w:color w:val="0000FF"/>
          <w:sz w:val="32"/>
          <w:szCs w:val="32"/>
          <w:highlight w:val="none"/>
        </w:rPr>
      </w:pPr>
      <w:r>
        <w:rPr>
          <w:rFonts w:ascii="仿宋_GB2312" w:eastAsia="仿宋_GB2312"/>
          <w:b w:val="0"/>
          <w:sz w:val="32"/>
          <w:szCs w:val="32"/>
          <w:highlight w:val="none"/>
        </w:rPr>
        <w:t>公务用车购置及运行维护费1.30万元，其中：公务用车购置费0.00万元，公务用车运行维护费1.30万元。公务用车运行维护费开支内容包括</w:t>
      </w:r>
      <w:r>
        <w:rPr>
          <w:rFonts w:hint="eastAsia" w:ascii="仿宋_GB2312" w:eastAsia="仿宋_GB2312"/>
          <w:b w:val="0"/>
          <w:sz w:val="32"/>
          <w:szCs w:val="32"/>
          <w:highlight w:val="none"/>
          <w:lang w:eastAsia="zh-CN"/>
        </w:rPr>
        <w:t>：</w:t>
      </w:r>
      <w:r>
        <w:rPr>
          <w:rFonts w:hint="eastAsia" w:ascii="仿宋_GB2312" w:eastAsia="仿宋_GB2312"/>
          <w:sz w:val="32"/>
          <w:szCs w:val="32"/>
        </w:rPr>
        <w:t>公务用车燃料费、维修费、过桥过路费、保险费等支出。</w:t>
      </w:r>
      <w:r>
        <w:rPr>
          <w:rFonts w:ascii="仿宋_GB2312" w:eastAsia="仿宋_GB2312"/>
          <w:b w:val="0"/>
          <w:sz w:val="32"/>
          <w:szCs w:val="32"/>
          <w:highlight w:val="none"/>
        </w:rPr>
        <w:t>公务用车购置数0辆，公务用车保有量4辆。国有资产占用情况中固定资产车辆6辆，与公务用车保有量差异原因是：</w:t>
      </w:r>
      <w:r>
        <w:rPr>
          <w:rFonts w:hint="eastAsia" w:ascii="仿宋" w:hAnsi="仿宋" w:eastAsia="仿宋"/>
          <w:color w:val="auto"/>
          <w:sz w:val="32"/>
          <w:szCs w:val="32"/>
          <w:u w:val="none"/>
          <w:lang w:val="en-US" w:eastAsia="zh-CN"/>
        </w:rPr>
        <w:t>本单位2辆车在资产系统中重复录入，待处置，无经费来源。</w:t>
      </w:r>
    </w:p>
    <w:p w14:paraId="417BF9CE">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color w:val="auto"/>
          <w:sz w:val="32"/>
          <w:szCs w:val="32"/>
        </w:rPr>
        <w:t>公务接待费0.00万元，开支内容包括</w:t>
      </w:r>
      <w:r>
        <w:rPr>
          <w:rFonts w:hint="eastAsia" w:ascii="仿宋_GB2312" w:eastAsia="仿宋_GB2312"/>
          <w:b w:val="0"/>
          <w:color w:val="auto"/>
          <w:sz w:val="32"/>
          <w:szCs w:val="32"/>
          <w:lang w:eastAsia="zh-CN"/>
        </w:rPr>
        <w:t>：</w:t>
      </w:r>
      <w:r>
        <w:rPr>
          <w:rFonts w:hint="eastAsia" w:ascii="仿宋_GB2312" w:eastAsia="仿宋_GB2312"/>
          <w:b w:val="0"/>
          <w:color w:val="auto"/>
          <w:sz w:val="32"/>
          <w:szCs w:val="32"/>
          <w:lang w:val="en-US" w:eastAsia="zh-CN"/>
        </w:rPr>
        <w:t>我单位无</w:t>
      </w:r>
      <w:r>
        <w:rPr>
          <w:rFonts w:hint="eastAsia" w:ascii="仿宋_GB2312" w:eastAsia="仿宋_GB2312"/>
          <w:color w:val="auto"/>
          <w:sz w:val="32"/>
          <w:szCs w:val="32"/>
          <w:lang w:val="en-US" w:eastAsia="zh-CN"/>
        </w:rPr>
        <w:t>公务接待费。</w:t>
      </w:r>
      <w:r>
        <w:rPr>
          <w:rFonts w:ascii="仿宋_GB2312" w:eastAsia="仿宋_GB2312"/>
          <w:b w:val="0"/>
          <w:sz w:val="32"/>
          <w:szCs w:val="32"/>
        </w:rPr>
        <w:t>单位全年安排的国内公务接待0批次，0人次。</w:t>
      </w:r>
    </w:p>
    <w:p w14:paraId="65D03468">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与全年预算相比，财政拨款“三公”经费支出全年预算数1.30万元，决算数1.30万元，预决算差异率0.00%，主要原因是：</w:t>
      </w:r>
      <w:r>
        <w:rPr>
          <w:rFonts w:hint="eastAsia" w:ascii="仿宋" w:hAnsi="仿宋" w:eastAsia="仿宋" w:cs="仿宋_GB2312"/>
          <w:color w:val="auto"/>
          <w:spacing w:val="-2"/>
          <w:sz w:val="32"/>
          <w:szCs w:val="32"/>
          <w:lang w:val="en-US" w:eastAsia="zh-CN"/>
        </w:rPr>
        <w:t>严格按照预算执行，预决算无差异</w:t>
      </w:r>
      <w:r>
        <w:rPr>
          <w:rFonts w:ascii="仿宋_GB2312" w:eastAsia="仿宋_GB2312"/>
          <w:b w:val="0"/>
          <w:sz w:val="32"/>
          <w:szCs w:val="32"/>
        </w:rPr>
        <w:t>。其中：因公出国境费全年预算数0.00万元，决算数0.00万元，预决算差异率0.00%，主要原因是：</w:t>
      </w:r>
      <w:r>
        <w:rPr>
          <w:rFonts w:hint="eastAsia" w:ascii="仿宋_GB2312" w:eastAsia="仿宋_GB2312"/>
          <w:b w:val="0"/>
          <w:sz w:val="32"/>
          <w:szCs w:val="32"/>
          <w:lang w:val="en-US" w:eastAsia="zh-CN"/>
        </w:rPr>
        <w:t>我单位因公出国境费用</w:t>
      </w:r>
      <w:r>
        <w:rPr>
          <w:rFonts w:ascii="仿宋_GB2312" w:eastAsia="仿宋_GB2312"/>
          <w:b w:val="0"/>
          <w:sz w:val="32"/>
          <w:szCs w:val="32"/>
        </w:rPr>
        <w:t>。公务用车购置费全年预算数0.00万元，决算数0.00万元，预决算差异率0.00%，主要原因是：</w:t>
      </w:r>
      <w:r>
        <w:rPr>
          <w:rFonts w:hint="eastAsia" w:ascii="仿宋_GB2312" w:eastAsia="仿宋_GB2312"/>
          <w:b w:val="0"/>
          <w:sz w:val="32"/>
          <w:szCs w:val="32"/>
          <w:lang w:val="en-US" w:eastAsia="zh-CN"/>
        </w:rPr>
        <w:t>我单位无公务用车购置费</w:t>
      </w:r>
      <w:r>
        <w:rPr>
          <w:rFonts w:ascii="仿宋_GB2312" w:eastAsia="仿宋_GB2312"/>
          <w:b w:val="0"/>
          <w:sz w:val="32"/>
          <w:szCs w:val="32"/>
        </w:rPr>
        <w:t>。公务用车运行维护费全年预算数1.30万元，决算数1.30万元，预决算差异率0.00%，主要原因是</w:t>
      </w:r>
      <w:r>
        <w:rPr>
          <w:rFonts w:hint="eastAsia" w:ascii="仿宋_GB2312" w:eastAsia="仿宋_GB2312"/>
          <w:b w:val="0"/>
          <w:sz w:val="32"/>
          <w:szCs w:val="32"/>
          <w:lang w:val="en-US" w:eastAsia="zh-CN"/>
        </w:rPr>
        <w:t>严格按照预算执行，预决算无差异</w:t>
      </w:r>
      <w:r>
        <w:rPr>
          <w:rFonts w:ascii="仿宋_GB2312" w:eastAsia="仿宋_GB2312"/>
          <w:b w:val="0"/>
          <w:sz w:val="32"/>
          <w:szCs w:val="32"/>
        </w:rPr>
        <w:t>。公务接待费全年预算数0.00万元，决算数0.00万元，预决算差异率0.00%，主要原因是：</w:t>
      </w:r>
      <w:r>
        <w:rPr>
          <w:rFonts w:hint="eastAsia" w:ascii="仿宋_GB2312" w:eastAsia="仿宋_GB2312"/>
          <w:b w:val="0"/>
          <w:sz w:val="32"/>
          <w:szCs w:val="32"/>
          <w:lang w:val="en-US" w:eastAsia="zh-CN"/>
        </w:rPr>
        <w:t>我单位无公务接待费</w:t>
      </w:r>
      <w:r>
        <w:rPr>
          <w:rFonts w:ascii="仿宋_GB2312" w:eastAsia="仿宋_GB2312"/>
          <w:b w:val="0"/>
          <w:sz w:val="32"/>
          <w:szCs w:val="32"/>
        </w:rPr>
        <w:t>。</w:t>
      </w:r>
    </w:p>
    <w:p w14:paraId="42DC618A">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十、其他重要事项的情况说明</w:t>
      </w:r>
    </w:p>
    <w:p w14:paraId="6322E8A7">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ind w:firstLine="643" w:firstLineChars="200"/>
        <w:jc w:val="left"/>
        <w:textAlignment w:val="auto"/>
        <w:outlineLvl w:val="2"/>
        <w:rPr>
          <w:rFonts w:ascii="仿宋_GB2312" w:eastAsia="仿宋_GB2312"/>
          <w:sz w:val="32"/>
          <w:szCs w:val="32"/>
        </w:rPr>
      </w:pPr>
      <w:r>
        <w:rPr>
          <w:rFonts w:ascii="仿宋_GB2312" w:eastAsia="仿宋_GB2312"/>
          <w:b/>
          <w:sz w:val="32"/>
          <w:szCs w:val="32"/>
        </w:rPr>
        <w:t>（一）机关运行经费及公用经费支出情况</w:t>
      </w:r>
    </w:p>
    <w:p w14:paraId="2F69360C">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ind w:firstLine="640" w:firstLineChars="200"/>
        <w:jc w:val="both"/>
        <w:textAlignment w:val="auto"/>
        <w:rPr>
          <w:rFonts w:ascii="仿宋_GB2312" w:eastAsia="仿宋_GB2312"/>
          <w:color w:val="auto"/>
          <w:sz w:val="32"/>
          <w:szCs w:val="32"/>
        </w:rPr>
      </w:pPr>
      <w:r>
        <w:rPr>
          <w:rFonts w:ascii="仿宋_GB2312" w:eastAsia="仿宋_GB2312"/>
          <w:b w:val="0"/>
          <w:sz w:val="32"/>
          <w:szCs w:val="32"/>
        </w:rPr>
        <w:t>2024年度公用经费支出164.95万元，比上年增加158.74万元，增长2,556.20%，主要原因</w:t>
      </w:r>
      <w:r>
        <w:rPr>
          <w:rFonts w:hint="eastAsia" w:ascii="仿宋_GB2312" w:eastAsia="仿宋_GB2312"/>
          <w:b w:val="0"/>
          <w:sz w:val="32"/>
          <w:szCs w:val="32"/>
          <w:lang w:eastAsia="zh-CN"/>
        </w:rPr>
        <w:t>是</w:t>
      </w:r>
      <w:r>
        <w:rPr>
          <w:rFonts w:ascii="仿宋_GB2312" w:eastAsia="仿宋_GB2312"/>
          <w:b w:val="0"/>
          <w:sz w:val="32"/>
          <w:szCs w:val="32"/>
        </w:rPr>
        <w:t>：</w:t>
      </w:r>
      <w:r>
        <w:rPr>
          <w:rFonts w:hint="eastAsia" w:ascii="仿宋_GB2312" w:eastAsia="仿宋_GB2312"/>
          <w:b w:val="0"/>
          <w:color w:val="auto"/>
          <w:sz w:val="32"/>
          <w:szCs w:val="32"/>
          <w:lang w:val="en-US" w:eastAsia="zh-CN"/>
        </w:rPr>
        <w:t>一是宣传培训费2023年使用2130599（其他巩固脱贫衔接乡村振兴支出）功能科目，2024年调整使用2130550（事业运行）功能科目</w:t>
      </w:r>
      <w:r>
        <w:rPr>
          <w:rFonts w:hint="eastAsia" w:ascii="仿宋_GB2312" w:eastAsia="仿宋_GB2312"/>
          <w:b w:val="0"/>
          <w:color w:val="auto"/>
          <w:sz w:val="32"/>
          <w:szCs w:val="32"/>
          <w:u w:val="none"/>
          <w:lang w:eastAsia="zh-CN"/>
        </w:rPr>
        <w:t>导致；二是</w:t>
      </w:r>
      <w:r>
        <w:rPr>
          <w:rFonts w:hint="eastAsia" w:ascii="仿宋_GB2312" w:eastAsia="仿宋_GB2312"/>
          <w:b w:val="0"/>
          <w:color w:val="auto"/>
          <w:sz w:val="32"/>
          <w:szCs w:val="32"/>
          <w:u w:val="none"/>
          <w:lang w:val="en-US" w:eastAsia="zh-CN"/>
        </w:rPr>
        <w:t>2024年培训经费增加</w:t>
      </w:r>
      <w:r>
        <w:rPr>
          <w:rFonts w:hint="eastAsia" w:ascii="仿宋_GB2312" w:eastAsia="仿宋_GB2312"/>
          <w:b w:val="0"/>
          <w:color w:val="auto"/>
          <w:sz w:val="32"/>
          <w:szCs w:val="32"/>
          <w:u w:val="none"/>
          <w:lang w:eastAsia="zh-CN"/>
        </w:rPr>
        <w:t>。</w:t>
      </w:r>
    </w:p>
    <w:p w14:paraId="7777D00D">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ind w:firstLine="643" w:firstLineChars="200"/>
        <w:jc w:val="left"/>
        <w:textAlignment w:val="auto"/>
        <w:outlineLvl w:val="2"/>
        <w:rPr>
          <w:rFonts w:ascii="仿宋_GB2312" w:eastAsia="仿宋_GB2312"/>
          <w:sz w:val="32"/>
          <w:szCs w:val="32"/>
        </w:rPr>
      </w:pPr>
      <w:r>
        <w:rPr>
          <w:rFonts w:ascii="仿宋_GB2312" w:eastAsia="仿宋_GB2312"/>
          <w:b/>
          <w:sz w:val="32"/>
          <w:szCs w:val="32"/>
        </w:rPr>
        <w:t>（二）政府采购情况</w:t>
      </w:r>
      <w:bookmarkStart w:id="0" w:name="_GoBack"/>
      <w:bookmarkEnd w:id="0"/>
    </w:p>
    <w:p w14:paraId="0F025544">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2024年度政府采购支出总额1.40万元，其中：政府采购货物支出0.00万元、政府采购工程支出0.00万元、政府采购服务支出1.40万元。</w:t>
      </w:r>
    </w:p>
    <w:p w14:paraId="63DFDCCA">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授予中小企业合同金额0.33万元，占政府采购支出总额的23.57%，其中：授予小微企业合同金额0.33万元，占政府采购支出总额的23.57%。</w:t>
      </w:r>
    </w:p>
    <w:p w14:paraId="6D5D1781">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ind w:firstLine="643" w:firstLineChars="200"/>
        <w:jc w:val="left"/>
        <w:textAlignment w:val="auto"/>
        <w:outlineLvl w:val="2"/>
        <w:rPr>
          <w:rFonts w:ascii="仿宋_GB2312" w:eastAsia="仿宋_GB2312"/>
          <w:sz w:val="32"/>
          <w:szCs w:val="32"/>
        </w:rPr>
      </w:pPr>
      <w:r>
        <w:rPr>
          <w:rFonts w:ascii="仿宋_GB2312" w:eastAsia="仿宋_GB2312"/>
          <w:b/>
          <w:sz w:val="32"/>
          <w:szCs w:val="32"/>
        </w:rPr>
        <w:t>（三）国有资产占用情况说明</w:t>
      </w:r>
    </w:p>
    <w:p w14:paraId="14D014DB">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截至2024年12月31日，房屋0.00平方米，价值0.00万元。车辆6辆，价值185.40万元，其中：副部（省）级及以上领导用车0辆、主要负责人用车0辆、机要通信用车0辆、应急保障用车0辆、执法执勤用车0辆、特种专业技术用车0辆、离退休干部服务用车0辆、其他用车6辆，其他用车主要是：</w:t>
      </w:r>
      <w:r>
        <w:rPr>
          <w:rFonts w:hint="eastAsia" w:ascii="仿宋_GB2312" w:eastAsia="仿宋_GB2312"/>
          <w:b w:val="0"/>
          <w:sz w:val="32"/>
          <w:szCs w:val="32"/>
          <w:lang w:eastAsia="zh-CN"/>
        </w:rPr>
        <w:t>为保障机关和所属事业单位正常运行用车；</w:t>
      </w:r>
      <w:r>
        <w:rPr>
          <w:rFonts w:ascii="仿宋_GB2312" w:eastAsia="仿宋_GB2312"/>
          <w:b w:val="0"/>
          <w:sz w:val="32"/>
          <w:szCs w:val="32"/>
        </w:rPr>
        <w:t>单价100万元（含）以上设备（不含车辆）0台（套）。</w:t>
      </w:r>
    </w:p>
    <w:p w14:paraId="212422F6">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十一、预算绩效的情况说明</w:t>
      </w:r>
    </w:p>
    <w:p w14:paraId="0D5A34C9">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ind w:firstLine="640" w:firstLineChars="200"/>
        <w:jc w:val="both"/>
        <w:textAlignment w:val="auto"/>
        <w:rPr>
          <w:rFonts w:hint="default" w:ascii="仿宋_GB2312" w:eastAsia="仿宋_GB2312"/>
          <w:b w:val="0"/>
          <w:sz w:val="32"/>
          <w:szCs w:val="32"/>
          <w:u w:val="none"/>
          <w:shd w:val="clear" w:fill="E6F0FF"/>
          <w:lang w:val="en-US" w:eastAsia="zh-CN"/>
        </w:rPr>
      </w:pPr>
      <w:r>
        <w:rPr>
          <w:rFonts w:ascii="仿宋_GB2312" w:eastAsia="仿宋_GB2312"/>
          <w:b w:val="0"/>
          <w:sz w:val="32"/>
          <w:szCs w:val="32"/>
          <w:highlight w:val="none"/>
        </w:rPr>
        <w:t>根据预算绩效管理要求，本单位2024年度预算绩效评价项目</w:t>
      </w:r>
      <w:r>
        <w:rPr>
          <w:rFonts w:hint="eastAsia" w:ascii="仿宋_GB2312" w:eastAsia="仿宋_GB2312"/>
          <w:b w:val="0"/>
          <w:sz w:val="32"/>
          <w:szCs w:val="32"/>
          <w:highlight w:val="none"/>
          <w:lang w:val="en-US" w:eastAsia="zh-CN"/>
        </w:rPr>
        <w:t>1</w:t>
      </w:r>
      <w:r>
        <w:rPr>
          <w:rFonts w:ascii="仿宋_GB2312" w:eastAsia="仿宋_GB2312"/>
          <w:b w:val="0"/>
          <w:sz w:val="32"/>
          <w:szCs w:val="32"/>
          <w:highlight w:val="none"/>
        </w:rPr>
        <w:t>个，全年预算数</w:t>
      </w:r>
      <w:r>
        <w:rPr>
          <w:rFonts w:hint="eastAsia" w:ascii="仿宋_GB2312" w:eastAsia="仿宋_GB2312"/>
          <w:b w:val="0"/>
          <w:sz w:val="32"/>
          <w:szCs w:val="32"/>
          <w:highlight w:val="none"/>
          <w:lang w:val="en-US" w:eastAsia="zh-CN"/>
        </w:rPr>
        <w:t>94.00</w:t>
      </w:r>
      <w:r>
        <w:rPr>
          <w:rFonts w:ascii="仿宋_GB2312" w:eastAsia="仿宋_GB2312"/>
          <w:b w:val="0"/>
          <w:sz w:val="32"/>
          <w:szCs w:val="32"/>
          <w:highlight w:val="none"/>
        </w:rPr>
        <w:t>万元，全年执行数</w:t>
      </w:r>
      <w:r>
        <w:rPr>
          <w:rFonts w:hint="eastAsia" w:ascii="仿宋_GB2312" w:eastAsia="仿宋_GB2312"/>
          <w:b w:val="0"/>
          <w:sz w:val="32"/>
          <w:szCs w:val="32"/>
          <w:highlight w:val="none"/>
          <w:lang w:val="en-US" w:eastAsia="zh-CN"/>
        </w:rPr>
        <w:t>94.00</w:t>
      </w:r>
      <w:r>
        <w:rPr>
          <w:rFonts w:ascii="仿宋_GB2312" w:eastAsia="仿宋_GB2312"/>
          <w:b w:val="0"/>
          <w:sz w:val="32"/>
          <w:szCs w:val="32"/>
          <w:highlight w:val="none"/>
        </w:rPr>
        <w:t>万元。</w:t>
      </w:r>
      <w:r>
        <w:rPr>
          <w:rFonts w:hint="eastAsia" w:ascii="仿宋_GB2312" w:eastAsia="仿宋_GB2312"/>
          <w:b w:val="0"/>
          <w:sz w:val="32"/>
          <w:szCs w:val="32"/>
          <w:highlight w:val="none"/>
          <w:lang w:eastAsia="zh-CN"/>
        </w:rPr>
        <w:t>预算绩效管理取得的成效：进一步健全和完善绩效管理制度，整合相关内设机构的职责，明确预算绩效管理的主体，将绩效管理的关口向前推移，建立并落实重大政策和项目事前绩效评估机制。对于新出台的重大政策、项目，结合预算评审开展事前绩效评估，更加强化绩效导向。发现的问题及原因：</w:t>
      </w:r>
      <w:r>
        <w:rPr>
          <w:rFonts w:hint="eastAsia" w:ascii="仿宋_GB2312" w:eastAsia="仿宋_GB2312"/>
          <w:b w:val="0"/>
          <w:sz w:val="32"/>
          <w:szCs w:val="32"/>
          <w:lang w:eastAsia="zh-CN"/>
        </w:rPr>
        <w:t>一是对实施预算绩效管理的研究不够深入，思想观念有待进一步转变，对预算绩效管理重要性的认识需要持续强化。二是绩效管理的广度和深度不足，对实施绩效管理的责任、程序、标准及相关要求尚未完全掌握，对预算绩效管理业务知识的掌握程度需进一步提升，绩效管理能力水平有待进一步提高。</w:t>
      </w:r>
      <w:r>
        <w:rPr>
          <w:rFonts w:hint="eastAsia" w:ascii="仿宋_GB2312" w:eastAsia="仿宋_GB2312"/>
          <w:b w:val="0"/>
          <w:sz w:val="32"/>
          <w:szCs w:val="32"/>
          <w:highlight w:val="none"/>
          <w:lang w:eastAsia="zh-CN"/>
        </w:rPr>
        <w:t>下一步改进措施：</w:t>
      </w:r>
      <w:r>
        <w:rPr>
          <w:rFonts w:hint="eastAsia" w:ascii="仿宋_GB2312" w:eastAsia="仿宋_GB2312"/>
          <w:b w:val="0"/>
          <w:sz w:val="32"/>
          <w:szCs w:val="32"/>
          <w:highlight w:val="none"/>
          <w:lang w:val="en-US" w:eastAsia="zh-CN"/>
        </w:rPr>
        <w:t>一是</w:t>
      </w:r>
      <w:r>
        <w:rPr>
          <w:rFonts w:hint="eastAsia" w:ascii="仿宋_GB2312" w:eastAsia="仿宋_GB2312"/>
          <w:b w:val="0"/>
          <w:sz w:val="32"/>
          <w:szCs w:val="32"/>
          <w:highlight w:val="none"/>
          <w:lang w:eastAsia="zh-CN"/>
        </w:rPr>
        <w:t>持续完善预算绩效管理制度，强化预算管理的监督问责与工作考核，明确绩效管理的责任约束，切实做到“花钱必问效、无效必问责”。</w:t>
      </w:r>
      <w:r>
        <w:rPr>
          <w:rFonts w:hint="eastAsia" w:ascii="仿宋_GB2312" w:eastAsia="仿宋_GB2312"/>
          <w:b w:val="0"/>
          <w:sz w:val="32"/>
          <w:szCs w:val="32"/>
          <w:highlight w:val="none"/>
          <w:lang w:val="en-US" w:eastAsia="zh-CN"/>
        </w:rPr>
        <w:t>二</w:t>
      </w:r>
      <w:r>
        <w:rPr>
          <w:rFonts w:hint="eastAsia" w:ascii="仿宋_GB2312" w:eastAsia="仿宋_GB2312"/>
          <w:b w:val="0"/>
          <w:sz w:val="32"/>
          <w:szCs w:val="32"/>
          <w:highlight w:val="none"/>
          <w:lang w:eastAsia="zh-CN"/>
        </w:rPr>
        <w:t>是继续加大指导和培训的力度，让预算编制更加契合绩效评价的相关要求。同时，强化本单位对资金绩效实现情况的责任约束，针对资金偏离预算绩效目标的支出，及时采取有效措施加以纠正，提升资金使用效益。具体附项目支出绩效自评表。</w:t>
      </w:r>
    </w:p>
    <w:p w14:paraId="137F08BF">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十二、其他需说明的事项</w:t>
      </w:r>
    </w:p>
    <w:p w14:paraId="2D385225">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本单位无其他需说明事项。</w:t>
      </w:r>
    </w:p>
    <w:p w14:paraId="0A9ECB5F">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ind w:firstLine="640" w:firstLineChars="200"/>
        <w:jc w:val="left"/>
        <w:textAlignment w:val="auto"/>
        <w:rPr>
          <w:rFonts w:ascii="仿宋_GB2312" w:eastAsia="仿宋_GB2312"/>
          <w:sz w:val="32"/>
          <w:szCs w:val="32"/>
        </w:rPr>
      </w:pPr>
    </w:p>
    <w:p w14:paraId="0364C1C6">
      <w:pPr>
        <w:keepNext w:val="0"/>
        <w:keepLines w:val="0"/>
        <w:pageBreakBefore w:val="0"/>
        <w:widowControl w:val="0"/>
        <w:kinsoku/>
        <w:wordWrap/>
        <w:overflowPunct w:val="0"/>
        <w:topLinePunct/>
        <w:autoSpaceDE w:val="0"/>
        <w:autoSpaceDN/>
        <w:bidi w:val="0"/>
        <w:adjustRightInd/>
        <w:snapToGrid/>
        <w:spacing w:line="560" w:lineRule="exact"/>
        <w:jc w:val="center"/>
        <w:textAlignment w:val="auto"/>
        <w:rPr>
          <w:rFonts w:ascii="黑体" w:eastAsia="黑体"/>
          <w:sz w:val="32"/>
          <w:szCs w:val="32"/>
        </w:rPr>
      </w:pPr>
      <w:r>
        <w:rPr>
          <w:b w:val="0"/>
          <w:sz w:val="0"/>
          <w:szCs w:val="0"/>
        </w:rPr>
        <w:br w:type="page"/>
      </w:r>
      <w:r>
        <w:rPr>
          <w:rFonts w:ascii="黑体" w:eastAsia="黑体"/>
          <w:b w:val="0"/>
          <w:sz w:val="32"/>
          <w:szCs w:val="32"/>
        </w:rPr>
        <w:t>第三部分专业名词解释</w:t>
      </w:r>
    </w:p>
    <w:p w14:paraId="50D4A137">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一、财政拨款收入：</w:t>
      </w:r>
      <w:r>
        <w:rPr>
          <w:rFonts w:ascii="仿宋_GB2312" w:eastAsia="仿宋_GB2312"/>
          <w:b w:val="0"/>
          <w:sz w:val="32"/>
          <w:szCs w:val="32"/>
        </w:rPr>
        <w:t>指同级财政当年拨付的资金。</w:t>
      </w:r>
    </w:p>
    <w:p w14:paraId="32B6BE4F">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二、上级补助收入：</w:t>
      </w:r>
      <w:r>
        <w:rPr>
          <w:rFonts w:ascii="仿宋_GB2312" w:eastAsia="仿宋_GB2312"/>
          <w:b w:val="0"/>
          <w:sz w:val="32"/>
          <w:szCs w:val="32"/>
        </w:rPr>
        <w:t>指事业单位从主管部门和上级单位取得的非财政补助收入。</w:t>
      </w:r>
    </w:p>
    <w:p w14:paraId="692768D1">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三、事业收入：</w:t>
      </w:r>
      <w:r>
        <w:rPr>
          <w:rFonts w:ascii="仿宋_GB2312" w:eastAsia="仿宋_GB2312"/>
          <w:b w:val="0"/>
          <w:sz w:val="32"/>
          <w:szCs w:val="32"/>
        </w:rPr>
        <w:t>指事业单位开展专业业务活动及其辅助活动所取得的收入。</w:t>
      </w:r>
    </w:p>
    <w:p w14:paraId="435A122B">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四、经营收入：</w:t>
      </w:r>
      <w:r>
        <w:rPr>
          <w:rFonts w:ascii="仿宋_GB2312" w:eastAsia="仿宋_GB2312"/>
          <w:b w:val="0"/>
          <w:sz w:val="32"/>
          <w:szCs w:val="32"/>
        </w:rPr>
        <w:t>指事业单位在专业业务活动及其辅助活动之外开展非独立核算经营活动取得的收入。</w:t>
      </w:r>
    </w:p>
    <w:p w14:paraId="1D2925EE">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五、附属单位上缴收入：</w:t>
      </w:r>
      <w:r>
        <w:rPr>
          <w:rFonts w:ascii="仿宋_GB2312" w:eastAsia="仿宋_GB2312"/>
          <w:b w:val="0"/>
          <w:sz w:val="32"/>
          <w:szCs w:val="32"/>
        </w:rPr>
        <w:t>指事业单位附属的独立核算单位按有关规定上缴的收入。</w:t>
      </w:r>
    </w:p>
    <w:p w14:paraId="063990EC">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六、其他收入：</w:t>
      </w:r>
      <w:r>
        <w:rPr>
          <w:rFonts w:ascii="仿宋_GB2312" w:eastAsia="仿宋_GB2312"/>
          <w:b w:val="0"/>
          <w:sz w:val="32"/>
          <w:szCs w:val="32"/>
        </w:rPr>
        <w:t>指除上述“财政拨款收入”、“事业收入”、“经营收入”、“附属单位上缴收入”等之外取得的收入。</w:t>
      </w:r>
    </w:p>
    <w:p w14:paraId="2E335057">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七、年初结转和结余：</w:t>
      </w:r>
      <w:r>
        <w:rPr>
          <w:rFonts w:ascii="仿宋_GB2312" w:eastAsia="仿宋_GB2312"/>
          <w:b w:val="0"/>
          <w:sz w:val="32"/>
          <w:szCs w:val="32"/>
        </w:rPr>
        <w:t>指以前年度支出预算因客观条件变化未执行完毕、结转到本年度按有关规定继续使用的资金，既包括财政拨款结转和结余，也包括事业收入、经营收入、其他收入的结转和结余。</w:t>
      </w:r>
    </w:p>
    <w:p w14:paraId="04EC6963">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八、年末结转和结余：</w:t>
      </w:r>
      <w:r>
        <w:rPr>
          <w:rFonts w:ascii="仿宋_GB2312" w:eastAsia="仿宋_GB2312"/>
          <w:b w:val="0"/>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8142B0E">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九、基本支出：</w:t>
      </w:r>
      <w:r>
        <w:rPr>
          <w:rFonts w:ascii="仿宋_GB2312" w:eastAsia="仿宋_GB2312"/>
          <w:b w:val="0"/>
          <w:sz w:val="32"/>
          <w:szCs w:val="32"/>
        </w:rPr>
        <w:t>指为保障机构正常运转、完成日常工作任务而发生的人员支出和公用支出。</w:t>
      </w:r>
    </w:p>
    <w:p w14:paraId="229ED9EC">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十、项目支出：</w:t>
      </w:r>
      <w:r>
        <w:rPr>
          <w:rFonts w:ascii="仿宋_GB2312" w:eastAsia="仿宋_GB2312"/>
          <w:b w:val="0"/>
          <w:sz w:val="32"/>
          <w:szCs w:val="32"/>
        </w:rPr>
        <w:t>指在基本支出之外为完成特定行政任务和事业发展目标所发生的支出。</w:t>
      </w:r>
    </w:p>
    <w:p w14:paraId="4E249321">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十一、经营支出：</w:t>
      </w:r>
      <w:r>
        <w:rPr>
          <w:rFonts w:ascii="仿宋_GB2312" w:eastAsia="仿宋_GB2312"/>
          <w:b w:val="0"/>
          <w:sz w:val="32"/>
          <w:szCs w:val="32"/>
        </w:rPr>
        <w:t>指事业单位在专业业务活动及其辅助活动之外开展非独立核算经营活动发生的支出。</w:t>
      </w:r>
    </w:p>
    <w:p w14:paraId="6E581B5E">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b w:val="0"/>
          <w:sz w:val="32"/>
          <w:szCs w:val="32"/>
        </w:rPr>
        <w:t>指事业单位发生的用非财政预算资金对附属单位的补助支出。</w:t>
      </w:r>
    </w:p>
    <w:p w14:paraId="009FF550">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十三、三公经费：</w:t>
      </w:r>
      <w:r>
        <w:rPr>
          <w:rFonts w:ascii="仿宋_GB2312" w:eastAsia="仿宋_GB2312"/>
          <w:b w:val="0"/>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E26F2FB">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十四、机关运行经费：</w:t>
      </w:r>
      <w:r>
        <w:rPr>
          <w:rFonts w:ascii="仿宋_GB2312" w:eastAsia="仿宋_GB2312"/>
          <w:b w:val="0"/>
          <w:sz w:val="32"/>
          <w:szCs w:val="32"/>
        </w:rPr>
        <w:t>行政单位和参照公务员法管理的事业单位财政拨款基本支出中的公用经费支出。</w:t>
      </w:r>
    </w:p>
    <w:p w14:paraId="594D75A7">
      <w:pPr>
        <w:keepNext w:val="0"/>
        <w:keepLines w:val="0"/>
        <w:pageBreakBefore w:val="0"/>
        <w:widowControl w:val="0"/>
        <w:kinsoku/>
        <w:wordWrap/>
        <w:overflowPunct w:val="0"/>
        <w:topLinePunct/>
        <w:autoSpaceDE w:val="0"/>
        <w:autoSpaceDN/>
        <w:bidi w:val="0"/>
        <w:adjustRightInd/>
        <w:snapToGrid/>
        <w:spacing w:line="560" w:lineRule="exact"/>
        <w:jc w:val="center"/>
        <w:textAlignment w:val="auto"/>
        <w:rPr>
          <w:rFonts w:ascii="黑体" w:eastAsia="黑体"/>
          <w:sz w:val="32"/>
          <w:szCs w:val="32"/>
        </w:rPr>
      </w:pPr>
      <w:r>
        <w:rPr>
          <w:b w:val="0"/>
          <w:sz w:val="0"/>
          <w:szCs w:val="0"/>
        </w:rPr>
        <w:br w:type="page"/>
      </w:r>
      <w:r>
        <w:rPr>
          <w:rFonts w:ascii="黑体" w:eastAsia="黑体"/>
          <w:b w:val="0"/>
          <w:sz w:val="32"/>
          <w:szCs w:val="32"/>
        </w:rPr>
        <w:t>第四部分部门决算报表（见附表）</w:t>
      </w:r>
    </w:p>
    <w:p w14:paraId="2967B209">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一、《收入支出决算总表》</w:t>
      </w:r>
    </w:p>
    <w:p w14:paraId="48E919AA">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二、《收入决算表》</w:t>
      </w:r>
    </w:p>
    <w:p w14:paraId="43D7F4B9">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三、《支出决算表》</w:t>
      </w:r>
    </w:p>
    <w:p w14:paraId="27B00E37">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四、《财政拨款收入支出决算总表》</w:t>
      </w:r>
    </w:p>
    <w:p w14:paraId="793A2CA7">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五、《一般公共预算财政拨款支出决算表》</w:t>
      </w:r>
    </w:p>
    <w:p w14:paraId="6D13FA7D">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六、《一般公共预算财政拨款基本支出决算表》</w:t>
      </w:r>
    </w:p>
    <w:p w14:paraId="11C9E2E5">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七、《政府性基金预算财政拨款收入支出决算表》</w:t>
      </w:r>
    </w:p>
    <w:p w14:paraId="04BA3934">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八、《国有资本经营预算财政拨款收入支出决算表》</w:t>
      </w:r>
    </w:p>
    <w:p w14:paraId="709FD620">
      <w:pPr>
        <w:keepNext w:val="0"/>
        <w:keepLines w:val="0"/>
        <w:pageBreakBefore w:val="0"/>
        <w:widowControl w:val="0"/>
        <w:kinsoku/>
        <w:wordWrap/>
        <w:overflowPunct w:val="0"/>
        <w:topLinePunct/>
        <w:autoSpaceDE w:val="0"/>
        <w:autoSpaceDN/>
        <w:bidi w:val="0"/>
        <w:adjustRightInd/>
        <w:snapToGrid/>
        <w:spacing w:before="0" w:beforeAutospacing="0" w:after="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九、《财政拨款“三公”经费支出决算表》</w:t>
      </w:r>
    </w:p>
    <w:sectPr>
      <w:footerReference r:id="rId3" w:type="default"/>
      <w:pgSz w:w="12240" w:h="15840"/>
      <w:pgMar w:top="2098" w:right="1531" w:bottom="1814" w:left="1587" w:header="720" w:footer="1191" w:gutter="0"/>
      <w:pgNumType w:fmt="decimal" w:start="1"/>
      <w:cols w:equalWidth="0" w:num="1">
        <w:col w:w="8640"/>
      </w:cols>
      <w:rtlGutter w:val="0"/>
      <w:docGrid w:linePitch="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06451B">
    <w:pPr>
      <w:pStyle w:val="3"/>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7777E987">
                <w:pPr>
                  <w:pStyle w:val="3"/>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2</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isplayHorizontalDrawingGridEvery w:val="1"/>
  <w:displayVerticalDrawingGridEvery w:val="1"/>
  <w:noPunctuationKerning w:val="1"/>
  <w:hdrShapeDefaults>
    <o:shapelayout v:ext="edit">
      <o:idmap v:ext="edit" data="3,4"/>
    </o:shapelayout>
  </w:hdrShapeDefaults>
  <w:compat>
    <w:doNotExpandShiftReturn/>
    <w:doNotWrapTextWithPunct/>
    <w:doNotUseEastAsianBreakRules/>
    <w:useFELayout/>
    <w:doNotUseIndentAsNumberingTabStop/>
    <w:useAltKinsokuLineBreakRules/>
    <w:splitPgBreakAndParaMark/>
    <w:compatSetting w:name="compatibilityMode" w:uri="http://schemas.microsoft.com/office/word" w:val="12"/>
  </w:compat>
  <w:rsids>
    <w:rsidRoot w:val="00000000"/>
    <w:rsid w:val="00005402"/>
    <w:rsid w:val="00844D46"/>
    <w:rsid w:val="0D457E38"/>
    <w:rsid w:val="0E4B5BF8"/>
    <w:rsid w:val="0F171DFF"/>
    <w:rsid w:val="0F957915"/>
    <w:rsid w:val="105E41AB"/>
    <w:rsid w:val="15EB76C8"/>
    <w:rsid w:val="171514E7"/>
    <w:rsid w:val="17DC32D8"/>
    <w:rsid w:val="19BC1646"/>
    <w:rsid w:val="1B32070E"/>
    <w:rsid w:val="1C6F180E"/>
    <w:rsid w:val="1D520279"/>
    <w:rsid w:val="1E917E41"/>
    <w:rsid w:val="1F4734C0"/>
    <w:rsid w:val="1FE832B1"/>
    <w:rsid w:val="223C6316"/>
    <w:rsid w:val="27D625A0"/>
    <w:rsid w:val="2A994305"/>
    <w:rsid w:val="2CEF4B56"/>
    <w:rsid w:val="2D8748E9"/>
    <w:rsid w:val="2E4343FF"/>
    <w:rsid w:val="31B945CA"/>
    <w:rsid w:val="3ACC7DDF"/>
    <w:rsid w:val="3E4478C0"/>
    <w:rsid w:val="3EEA1912"/>
    <w:rsid w:val="40AA0BC3"/>
    <w:rsid w:val="41D55AA4"/>
    <w:rsid w:val="42147470"/>
    <w:rsid w:val="441232D1"/>
    <w:rsid w:val="46080139"/>
    <w:rsid w:val="472B6A78"/>
    <w:rsid w:val="484F78B6"/>
    <w:rsid w:val="4E9743FD"/>
    <w:rsid w:val="4EC1621E"/>
    <w:rsid w:val="50DE21C3"/>
    <w:rsid w:val="51345E7E"/>
    <w:rsid w:val="51BA678C"/>
    <w:rsid w:val="541A1764"/>
    <w:rsid w:val="5A014DC1"/>
    <w:rsid w:val="5D111DC4"/>
    <w:rsid w:val="61783F6D"/>
    <w:rsid w:val="62071C47"/>
    <w:rsid w:val="67BD64BA"/>
    <w:rsid w:val="697D1814"/>
    <w:rsid w:val="6A1C4D7A"/>
    <w:rsid w:val="6CC67CDB"/>
    <w:rsid w:val="77B438DB"/>
    <w:rsid w:val="7AD97F84"/>
    <w:rsid w:val="7CAE0B5C"/>
    <w:rsid w:val="7E8835EA"/>
    <w:rsid w:val="7EF2030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sz w:val="21"/>
      <w:szCs w:val="22"/>
    </w:rPr>
  </w:style>
  <w:style w:type="paragraph" w:styleId="2">
    <w:name w:val="heading 3"/>
    <w:basedOn w:val="1"/>
    <w:next w:val="1"/>
    <w:qFormat/>
    <w:uiPriority w:val="0"/>
    <w:pPr>
      <w:keepNext/>
      <w:keepLines/>
      <w:spacing w:before="260" w:beforeLines="0" w:beforeAutospacing="0" w:after="260" w:afterLines="0" w:afterAutospacing="0" w:line="413" w:lineRule="auto"/>
      <w:outlineLvl w:val="2"/>
    </w:pPr>
    <w:rPr>
      <w:b/>
      <w:sz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16</Pages>
  <Words>5765</Words>
  <Characters>6466</Characters>
  <TotalTime>6</TotalTime>
  <ScaleCrop>false</ScaleCrop>
  <LinksUpToDate>false</LinksUpToDate>
  <CharactersWithSpaces>6468</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2025-08-08T09:33:00Z</dcterms:created>
  <dc:creator>dell</dc:creator>
  <cp:lastModifiedBy>马振国  18129438682</cp:lastModifiedBy>
  <dcterms:modified xsi:type="dcterms:W3CDTF">2025-08-29T05:15:42Z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eyJoZGlkIjoiYWJmNTAxYTA0NTllZTU0OWY5NWY0MWNlMzBjNGU2OTYiLCJ1c2VySWQiOiI3NDY1ODU0ODQifQ==</vt:lpwstr>
  </property>
  <property fmtid="{D5CDD505-2E9C-101B-9397-08002B2CF9AE}" pid="4" name="ICV">
    <vt:lpwstr>0B8AD4A269F64516B2BCDDA3DD4FCD64_12</vt:lpwstr>
  </property>
</Properties>
</file>