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37F328">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宋体" w:eastAsia="宋体"/>
          <w:sz w:val="32"/>
          <w:szCs w:val="32"/>
        </w:rPr>
      </w:pPr>
    </w:p>
    <w:p w14:paraId="72A4EADF">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宋体" w:eastAsia="宋体"/>
          <w:sz w:val="44"/>
          <w:szCs w:val="44"/>
        </w:rPr>
      </w:pPr>
    </w:p>
    <w:p w14:paraId="25D60471">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宋体" w:eastAsia="宋体"/>
          <w:sz w:val="44"/>
          <w:szCs w:val="44"/>
        </w:rPr>
      </w:pPr>
    </w:p>
    <w:p w14:paraId="5A6563DB">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宋体" w:eastAsia="宋体"/>
          <w:sz w:val="44"/>
          <w:szCs w:val="44"/>
        </w:rPr>
      </w:pPr>
    </w:p>
    <w:p w14:paraId="37A303DA">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center"/>
        <w:outlineLvl w:val="0"/>
        <w:rPr>
          <w:rFonts w:ascii="宋体" w:eastAsia="黑体"/>
          <w:sz w:val="44"/>
          <w:szCs w:val="44"/>
        </w:rPr>
      </w:pPr>
      <w:r>
        <w:rPr>
          <w:rFonts w:ascii="宋体" w:eastAsia="黑体"/>
          <w:b w:val="0"/>
          <w:sz w:val="44"/>
          <w:szCs w:val="44"/>
        </w:rPr>
        <w:t>新疆维吾尔自治区乡村振兴局机关服务中心</w:t>
      </w:r>
    </w:p>
    <w:p w14:paraId="474B6AEE">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center"/>
        <w:outlineLvl w:val="0"/>
        <w:rPr>
          <w:rFonts w:ascii="黑体" w:eastAsia="黑体"/>
          <w:sz w:val="44"/>
          <w:szCs w:val="44"/>
        </w:rPr>
      </w:pPr>
      <w:r>
        <w:rPr>
          <w:rFonts w:ascii="黑体" w:eastAsia="黑体"/>
          <w:b w:val="0"/>
          <w:sz w:val="44"/>
          <w:szCs w:val="44"/>
        </w:rPr>
        <w:t>2024年度部门决算公开说明</w:t>
      </w:r>
    </w:p>
    <w:p w14:paraId="1419DEA4">
      <w:pPr>
        <w:keepNext w:val="0"/>
        <w:keepLines w:val="0"/>
        <w:pageBreakBefore w:val="0"/>
        <w:widowControl/>
        <w:kinsoku/>
        <w:wordWrap/>
        <w:overflowPunct/>
        <w:topLinePunct w:val="0"/>
        <w:autoSpaceDE/>
        <w:autoSpaceDN/>
        <w:bidi w:val="0"/>
        <w:adjustRightInd/>
        <w:spacing w:line="560" w:lineRule="exact"/>
        <w:jc w:val="center"/>
        <w:rPr>
          <w:rFonts w:ascii="黑体" w:eastAsia="黑体"/>
          <w:b/>
          <w:sz w:val="32"/>
          <w:szCs w:val="32"/>
        </w:rPr>
        <w:sectPr>
          <w:pgSz w:w="12240" w:h="15840"/>
          <w:pgMar w:top="2098" w:right="1587" w:bottom="1814" w:left="1587" w:header="720" w:footer="720" w:gutter="0"/>
          <w:cols w:space="720" w:num="1"/>
        </w:sectPr>
      </w:pPr>
    </w:p>
    <w:p w14:paraId="2CE57D8C">
      <w:pPr>
        <w:keepNext w:val="0"/>
        <w:keepLines w:val="0"/>
        <w:pageBreakBefore w:val="0"/>
        <w:widowControl/>
        <w:kinsoku/>
        <w:wordWrap/>
        <w:overflowPunct/>
        <w:topLinePunct w:val="0"/>
        <w:autoSpaceDE/>
        <w:autoSpaceDN/>
        <w:bidi w:val="0"/>
        <w:adjustRightInd/>
        <w:spacing w:line="560" w:lineRule="exact"/>
        <w:jc w:val="center"/>
        <w:rPr>
          <w:rFonts w:ascii="黑体" w:eastAsia="黑体"/>
          <w:sz w:val="32"/>
          <w:szCs w:val="32"/>
        </w:rPr>
      </w:pPr>
      <w:r>
        <w:rPr>
          <w:rFonts w:ascii="黑体" w:eastAsia="黑体"/>
          <w:b/>
          <w:sz w:val="32"/>
          <w:szCs w:val="32"/>
        </w:rPr>
        <w:t>目</w:t>
      </w:r>
      <w:r>
        <w:rPr>
          <w:rFonts w:hint="eastAsia" w:ascii="黑体" w:eastAsia="黑体"/>
          <w:b/>
          <w:sz w:val="32"/>
          <w:szCs w:val="32"/>
          <w:lang w:val="en-US" w:eastAsia="zh-CN"/>
        </w:rPr>
        <w:t xml:space="preserve">  </w:t>
      </w:r>
      <w:r>
        <w:rPr>
          <w:rFonts w:ascii="黑体" w:eastAsia="黑体"/>
          <w:b/>
          <w:sz w:val="32"/>
          <w:szCs w:val="32"/>
        </w:rPr>
        <w:t>录</w:t>
      </w:r>
    </w:p>
    <w:p w14:paraId="1500959F">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sz w:val="32"/>
          <w:szCs w:val="32"/>
        </w:rPr>
        <w:t>第一部分单位概况</w:t>
      </w:r>
    </w:p>
    <w:p w14:paraId="053A3069">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一、主要职能</w:t>
      </w:r>
    </w:p>
    <w:p w14:paraId="10A999A3">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二、机构设置及人员情况</w:t>
      </w:r>
    </w:p>
    <w:p w14:paraId="1E0601E1">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sz w:val="32"/>
          <w:szCs w:val="32"/>
        </w:rPr>
        <w:t>第二部分部门决算情况说明</w:t>
      </w:r>
    </w:p>
    <w:p w14:paraId="186C0A27">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一、收入支出决算总体情况说明</w:t>
      </w:r>
    </w:p>
    <w:p w14:paraId="32FCF986">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二、收入决算情况说明</w:t>
      </w:r>
    </w:p>
    <w:p w14:paraId="4E41566A">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三、支出决算情况说明</w:t>
      </w:r>
    </w:p>
    <w:p w14:paraId="44991688">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四、财政拨款收入支出决算总体情况说明</w:t>
      </w:r>
    </w:p>
    <w:p w14:paraId="4B81E4AC">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12D4EEA5">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41FEB7AD">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5169DBF3">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7462D674">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362DAA3A">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10E7A5CF">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6A3B9884">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九、财政拨款“三公”经费支出决算情况说明</w:t>
      </w:r>
    </w:p>
    <w:p w14:paraId="00A85332">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十、其他重要事项的情况说明</w:t>
      </w:r>
    </w:p>
    <w:p w14:paraId="68723EA8">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（一）机关运行经费及公用经费支出情况</w:t>
      </w:r>
    </w:p>
    <w:p w14:paraId="6B602BD5">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（二）政府采购情况</w:t>
      </w:r>
    </w:p>
    <w:p w14:paraId="577EEC22">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（三）国有资产占用情况说明</w:t>
      </w:r>
    </w:p>
    <w:p w14:paraId="1842E2C8">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十一、预算绩效的情况说明</w:t>
      </w:r>
    </w:p>
    <w:p w14:paraId="3327221C">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十二、其他需说明的事项</w:t>
      </w:r>
    </w:p>
    <w:p w14:paraId="464107FB">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sz w:val="32"/>
          <w:szCs w:val="32"/>
        </w:rPr>
        <w:t>第三部分专业名词解释</w:t>
      </w:r>
    </w:p>
    <w:p w14:paraId="021BA825">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sz w:val="32"/>
          <w:szCs w:val="32"/>
        </w:rPr>
        <w:t>第四部分部门决算报表（见附表）</w:t>
      </w:r>
    </w:p>
    <w:p w14:paraId="58E84468">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一、《收入支出决算总表》</w:t>
      </w:r>
    </w:p>
    <w:p w14:paraId="289D8453">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二、《收入决算表》</w:t>
      </w:r>
    </w:p>
    <w:p w14:paraId="7B669579">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三、《支出决算表》</w:t>
      </w:r>
    </w:p>
    <w:p w14:paraId="7C78A1AC">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四、《财政拨款收入支出决算总表》</w:t>
      </w:r>
    </w:p>
    <w:p w14:paraId="5D8985D1">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五、《一般公共预算财政拨款支出决算表》</w:t>
      </w:r>
    </w:p>
    <w:p w14:paraId="0791F985">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六、《一般公共预算财政拨款基本支出决算表》</w:t>
      </w:r>
    </w:p>
    <w:p w14:paraId="6B1D3E39">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60875B9F">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39E6CC27">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九、《财政拨款“三公”经费支出决算表》</w:t>
      </w:r>
    </w:p>
    <w:p w14:paraId="22D25039">
      <w:pPr>
        <w:keepNext w:val="0"/>
        <w:keepLines w:val="0"/>
        <w:pageBreakBefore w:val="0"/>
        <w:widowControl/>
        <w:kinsoku/>
        <w:wordWrap/>
        <w:overflowPunct/>
        <w:topLinePunct w:val="0"/>
        <w:autoSpaceDE/>
        <w:autoSpaceDN/>
        <w:bidi w:val="0"/>
        <w:adjustRightInd/>
        <w:spacing w:line="560" w:lineRule="exact"/>
        <w:jc w:val="center"/>
        <w:rPr>
          <w:rFonts w:ascii="黑体" w:eastAsia="黑体"/>
          <w:sz w:val="32"/>
          <w:szCs w:val="32"/>
        </w:rPr>
      </w:pPr>
      <w:r>
        <w:rPr>
          <w:b w:val="0"/>
          <w:sz w:val="0"/>
          <w:szCs w:val="0"/>
        </w:rPr>
        <w:br w:type="page"/>
      </w:r>
      <w:r>
        <w:rPr>
          <w:rFonts w:ascii="黑体" w:eastAsia="黑体"/>
          <w:b w:val="0"/>
          <w:sz w:val="32"/>
          <w:szCs w:val="32"/>
        </w:rPr>
        <w:t>第一部分单位概况</w:t>
      </w:r>
    </w:p>
    <w:p w14:paraId="36D8E2F1">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黑体" w:eastAsia="黑体"/>
          <w:sz w:val="32"/>
          <w:szCs w:val="32"/>
        </w:rPr>
      </w:pPr>
      <w:r>
        <w:rPr>
          <w:rFonts w:ascii="黑体" w:eastAsia="黑体"/>
          <w:b w:val="0"/>
          <w:sz w:val="32"/>
          <w:szCs w:val="32"/>
        </w:rPr>
        <w:t>一、主要职能</w:t>
      </w:r>
    </w:p>
    <w:p w14:paraId="6D0B9FD5">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color w:val="auto"/>
          <w:sz w:val="32"/>
          <w:szCs w:val="32"/>
        </w:rPr>
      </w:pPr>
      <w:r>
        <w:rPr>
          <w:rFonts w:hint="eastAsia" w:ascii="仿宋_GB2312" w:hAnsi="仿宋_GB2312" w:eastAsia="仿宋_GB2312" w:cs="仿宋_GB2312"/>
          <w:b w:val="0"/>
          <w:bCs w:val="0"/>
          <w:color w:val="auto"/>
          <w:sz w:val="32"/>
          <w:szCs w:val="32"/>
          <w:lang w:eastAsia="zh-CN"/>
        </w:rPr>
        <w:t>为机关办公与职工生活提供后勤服务。机关办公服务、机关后勤生活服务、承办机关委托事项</w:t>
      </w:r>
      <w:r>
        <w:rPr>
          <w:rFonts w:hint="eastAsia" w:ascii="仿宋_GB2312" w:hAnsi="仿宋_GB2312" w:eastAsia="仿宋_GB2312" w:cs="仿宋_GB2312"/>
          <w:b w:val="0"/>
          <w:bCs w:val="0"/>
          <w:color w:val="auto"/>
          <w:sz w:val="32"/>
          <w:szCs w:val="32"/>
        </w:rPr>
        <w:t>。</w:t>
      </w:r>
    </w:p>
    <w:p w14:paraId="76E8D873">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黑体" w:eastAsia="黑体"/>
          <w:color w:val="auto"/>
          <w:sz w:val="32"/>
          <w:szCs w:val="32"/>
        </w:rPr>
      </w:pPr>
      <w:r>
        <w:rPr>
          <w:rFonts w:ascii="黑体" w:eastAsia="黑体"/>
          <w:b w:val="0"/>
          <w:color w:val="auto"/>
          <w:sz w:val="32"/>
          <w:szCs w:val="32"/>
        </w:rPr>
        <w:t>二、机构设置及人员情况</w:t>
      </w:r>
    </w:p>
    <w:p w14:paraId="3A66A3EF">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color w:val="auto"/>
          <w:sz w:val="32"/>
          <w:szCs w:val="32"/>
        </w:rPr>
      </w:pPr>
      <w:r>
        <w:rPr>
          <w:rFonts w:ascii="仿宋_GB2312" w:eastAsia="仿宋_GB2312"/>
          <w:b w:val="0"/>
          <w:color w:val="auto"/>
          <w:sz w:val="32"/>
          <w:szCs w:val="32"/>
        </w:rPr>
        <w:t>新疆维吾尔自治区乡村振兴局机关服务中心2024年度，实有人数20人，其中：在职人员7人，较上年无变化；离休人员0人，较上年无变化；退休人员13人，较上年无变化；</w:t>
      </w:r>
    </w:p>
    <w:p w14:paraId="2FB4D355">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color w:val="auto"/>
          <w:sz w:val="32"/>
          <w:szCs w:val="32"/>
        </w:rPr>
      </w:pPr>
      <w:r>
        <w:rPr>
          <w:rFonts w:ascii="仿宋_GB2312" w:eastAsia="仿宋_GB2312"/>
          <w:b w:val="0"/>
          <w:color w:val="auto"/>
          <w:sz w:val="32"/>
          <w:szCs w:val="32"/>
        </w:rPr>
        <w:t>新疆维吾尔自治区乡村振兴局机关服务中心无下属预算单位，下设</w:t>
      </w:r>
      <w:r>
        <w:rPr>
          <w:rFonts w:hint="eastAsia" w:ascii="仿宋_GB2312" w:eastAsia="仿宋_GB2312"/>
          <w:b w:val="0"/>
          <w:color w:val="auto"/>
          <w:sz w:val="32"/>
          <w:szCs w:val="32"/>
          <w:lang w:val="en-US" w:eastAsia="zh-CN"/>
        </w:rPr>
        <w:t>0个</w:t>
      </w:r>
      <w:r>
        <w:rPr>
          <w:rFonts w:hint="eastAsia" w:ascii="仿宋_GB2312" w:eastAsia="仿宋_GB2312"/>
          <w:b w:val="0"/>
          <w:color w:val="auto"/>
          <w:sz w:val="32"/>
          <w:szCs w:val="32"/>
          <w:lang w:eastAsia="zh-CN"/>
        </w:rPr>
        <w:t>处室</w:t>
      </w:r>
      <w:r>
        <w:rPr>
          <w:rFonts w:ascii="仿宋_GB2312" w:eastAsia="仿宋_GB2312"/>
          <w:b w:val="0"/>
          <w:color w:val="auto"/>
          <w:sz w:val="32"/>
          <w:szCs w:val="32"/>
        </w:rPr>
        <w:t>。</w:t>
      </w:r>
    </w:p>
    <w:p w14:paraId="490D06CC">
      <w:pPr>
        <w:keepNext w:val="0"/>
        <w:keepLines w:val="0"/>
        <w:pageBreakBefore w:val="0"/>
        <w:widowControl/>
        <w:kinsoku/>
        <w:wordWrap/>
        <w:overflowPunct/>
        <w:topLinePunct w:val="0"/>
        <w:autoSpaceDE/>
        <w:autoSpaceDN/>
        <w:bidi w:val="0"/>
        <w:adjustRightInd/>
        <w:spacing w:line="560" w:lineRule="exact"/>
        <w:jc w:val="center"/>
        <w:rPr>
          <w:rFonts w:ascii="黑体" w:eastAsia="黑体"/>
          <w:sz w:val="32"/>
          <w:szCs w:val="32"/>
        </w:rPr>
      </w:pPr>
      <w:r>
        <w:rPr>
          <w:b w:val="0"/>
          <w:color w:val="FF0000"/>
          <w:sz w:val="0"/>
          <w:szCs w:val="0"/>
        </w:rPr>
        <w:br w:type="page"/>
      </w:r>
      <w:r>
        <w:rPr>
          <w:rFonts w:ascii="黑体" w:eastAsia="黑体"/>
          <w:b w:val="0"/>
          <w:sz w:val="32"/>
          <w:szCs w:val="32"/>
        </w:rPr>
        <w:t>第二部分部门决算情况说明</w:t>
      </w:r>
    </w:p>
    <w:p w14:paraId="184C3FA3">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52C1BD46">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sz w:val="32"/>
          <w:szCs w:val="32"/>
        </w:rPr>
      </w:pPr>
      <w:r>
        <w:rPr>
          <w:rFonts w:ascii="仿宋_GB2312" w:eastAsia="仿宋_GB2312"/>
          <w:b w:val="0"/>
          <w:sz w:val="32"/>
          <w:szCs w:val="32"/>
        </w:rPr>
        <w:t>2024年度收入总计227.94万元，其中：本年收入合计227.94万元，使用非财政拨款结余（含专用结余）0.00万元，年初结转和结余0.00万元。</w:t>
      </w:r>
    </w:p>
    <w:p w14:paraId="41C61BB9">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sz w:val="32"/>
          <w:szCs w:val="32"/>
        </w:rPr>
      </w:pPr>
      <w:r>
        <w:rPr>
          <w:rFonts w:ascii="仿宋_GB2312" w:eastAsia="仿宋_GB2312"/>
          <w:b w:val="0"/>
          <w:sz w:val="32"/>
          <w:szCs w:val="32"/>
        </w:rPr>
        <w:t>2024年度支出总计227.94万元，其中：本年支出合计227.94万元，结余分配0.00万元，年末结转和结余0.00万元。</w:t>
      </w:r>
    </w:p>
    <w:p w14:paraId="0EEC500C">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收入支出总体与上年相比，增加7.45万元，增长3.38%，主要原因是：</w:t>
      </w:r>
      <w:r>
        <w:rPr>
          <w:rFonts w:hint="eastAsia" w:ascii="仿宋_GB2312" w:eastAsia="仿宋_GB2312"/>
          <w:b w:val="0"/>
          <w:color w:val="auto"/>
          <w:sz w:val="32"/>
          <w:szCs w:val="32"/>
          <w:u w:val="none"/>
          <w:lang w:val="en-US" w:eastAsia="zh-CN"/>
        </w:rPr>
        <w:t>2024年发放2023年度</w:t>
      </w:r>
      <w:r>
        <w:rPr>
          <w:rFonts w:hint="eastAsia" w:ascii="仿宋" w:hAnsi="仿宋" w:eastAsia="仿宋" w:cs="仿宋_GB2312"/>
          <w:color w:val="auto"/>
          <w:spacing w:val="-2"/>
          <w:sz w:val="32"/>
          <w:szCs w:val="32"/>
          <w:u w:val="none"/>
        </w:rPr>
        <w:t>绩效考核奖</w:t>
      </w:r>
      <w:r>
        <w:rPr>
          <w:rFonts w:hint="eastAsia" w:ascii="仿宋" w:hAnsi="仿宋" w:eastAsia="仿宋" w:cs="仿宋_GB2312"/>
          <w:color w:val="auto"/>
          <w:spacing w:val="-2"/>
          <w:sz w:val="32"/>
          <w:szCs w:val="32"/>
          <w:u w:val="none"/>
          <w:lang w:eastAsia="zh-CN"/>
        </w:rPr>
        <w:t>较上年额度增加和人员普调工资</w:t>
      </w:r>
      <w:r>
        <w:rPr>
          <w:rFonts w:ascii="仿宋_GB2312" w:eastAsia="仿宋_GB2312"/>
          <w:b w:val="0"/>
          <w:color w:val="auto"/>
          <w:sz w:val="32"/>
          <w:szCs w:val="32"/>
          <w:u w:val="none"/>
        </w:rPr>
        <w:t>。</w:t>
      </w:r>
    </w:p>
    <w:p w14:paraId="0BA211DD">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黑体" w:eastAsia="黑体"/>
          <w:sz w:val="32"/>
          <w:szCs w:val="32"/>
        </w:rPr>
      </w:pPr>
      <w:r>
        <w:rPr>
          <w:rFonts w:ascii="黑体" w:eastAsia="黑体"/>
          <w:b w:val="0"/>
          <w:sz w:val="32"/>
          <w:szCs w:val="32"/>
        </w:rPr>
        <w:t>二、收入决算情况说明</w:t>
      </w:r>
    </w:p>
    <w:p w14:paraId="33A89C40">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sz w:val="32"/>
          <w:szCs w:val="32"/>
        </w:rPr>
      </w:pPr>
      <w:r>
        <w:rPr>
          <w:rFonts w:ascii="仿宋_GB2312" w:eastAsia="仿宋_GB2312"/>
          <w:b w:val="0"/>
          <w:sz w:val="32"/>
          <w:szCs w:val="32"/>
        </w:rPr>
        <w:t>本年收入227.94万元，其中：财政拨款收入227.91万元</w:t>
      </w:r>
      <w:r>
        <w:rPr>
          <w:rFonts w:hint="eastAsia" w:ascii="仿宋_GB2312" w:eastAsia="仿宋_GB2312"/>
          <w:b w:val="0"/>
          <w:sz w:val="32"/>
          <w:szCs w:val="32"/>
          <w:lang w:eastAsia="zh-CN"/>
        </w:rPr>
        <w:t>，</w:t>
      </w:r>
      <w:r>
        <w:rPr>
          <w:rFonts w:ascii="仿宋_GB2312" w:eastAsia="仿宋_GB2312"/>
          <w:b w:val="0"/>
          <w:sz w:val="32"/>
          <w:szCs w:val="32"/>
        </w:rPr>
        <w:t>占99.99%；上级补助收入0.00万元</w:t>
      </w:r>
      <w:r>
        <w:rPr>
          <w:rFonts w:hint="eastAsia" w:ascii="仿宋_GB2312" w:eastAsia="仿宋_GB2312"/>
          <w:b w:val="0"/>
          <w:sz w:val="32"/>
          <w:szCs w:val="32"/>
          <w:lang w:eastAsia="zh-CN"/>
        </w:rPr>
        <w:t>，</w:t>
      </w:r>
      <w:r>
        <w:rPr>
          <w:rFonts w:ascii="仿宋_GB2312" w:eastAsia="仿宋_GB2312"/>
          <w:b w:val="0"/>
          <w:sz w:val="32"/>
          <w:szCs w:val="32"/>
        </w:rPr>
        <w:t>占0.00%；事业收入0.00万元，占0.00%；经营收入0.00万元</w:t>
      </w:r>
      <w:r>
        <w:rPr>
          <w:rFonts w:hint="eastAsia" w:ascii="仿宋_GB2312" w:eastAsia="仿宋_GB2312"/>
          <w:b w:val="0"/>
          <w:sz w:val="32"/>
          <w:szCs w:val="32"/>
          <w:lang w:eastAsia="zh-CN"/>
        </w:rPr>
        <w:t>，</w:t>
      </w:r>
      <w:r>
        <w:rPr>
          <w:rFonts w:ascii="仿宋_GB2312" w:eastAsia="仿宋_GB2312"/>
          <w:b w:val="0"/>
          <w:sz w:val="32"/>
          <w:szCs w:val="32"/>
        </w:rPr>
        <w:t>占0.00%；附属单位上缴收入0.00万元，占0.00%；其他收入0.03万元，占0.01%。</w:t>
      </w:r>
    </w:p>
    <w:p w14:paraId="0D662F85">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黑体" w:eastAsia="黑体"/>
          <w:sz w:val="32"/>
          <w:szCs w:val="32"/>
        </w:rPr>
      </w:pPr>
      <w:r>
        <w:rPr>
          <w:rFonts w:ascii="黑体" w:eastAsia="黑体"/>
          <w:b w:val="0"/>
          <w:sz w:val="32"/>
          <w:szCs w:val="32"/>
        </w:rPr>
        <w:t>三、支出决算情况说明</w:t>
      </w:r>
    </w:p>
    <w:p w14:paraId="112CD8C0">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sz w:val="32"/>
          <w:szCs w:val="32"/>
        </w:rPr>
      </w:pPr>
      <w:r>
        <w:rPr>
          <w:rFonts w:ascii="仿宋_GB2312" w:eastAsia="仿宋_GB2312"/>
          <w:b w:val="0"/>
          <w:sz w:val="32"/>
          <w:szCs w:val="32"/>
        </w:rPr>
        <w:t>本年支出227.94万元，其中：基本支出164.91万元，占72.35%；项目支出63.03万元，占27.65%；上缴上级支出0.00万元，占0.00%；经营支出0.00万元，占0.00%；对附属单位补助支出0.00万元，占0.00%。</w:t>
      </w:r>
    </w:p>
    <w:p w14:paraId="30C4AA8C">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05DBA22E">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sz w:val="32"/>
          <w:szCs w:val="32"/>
        </w:rPr>
      </w:pPr>
      <w:r>
        <w:rPr>
          <w:rFonts w:ascii="仿宋_GB2312" w:eastAsia="仿宋_GB2312"/>
          <w:b w:val="0"/>
          <w:sz w:val="32"/>
          <w:szCs w:val="32"/>
        </w:rPr>
        <w:t>2024年度财政拨款收入总计227.91万元，其中：年初财政拨款结转和结余0.00万元，本年财政拨款收入227.91万元。财政拨款支出总计227.91万元，其中：年末财政拨款结转和结余0.00万元，本年财政拨款支出227.91万元。</w:t>
      </w:r>
    </w:p>
    <w:p w14:paraId="6E2A515D">
      <w:pPr>
        <w:keepNext w:val="0"/>
        <w:keepLines w:val="0"/>
        <w:pageBreakBefore w:val="0"/>
        <w:kinsoku/>
        <w:wordWrap/>
        <w:overflowPunct/>
        <w:topLinePunct w:val="0"/>
        <w:autoSpaceDE/>
        <w:autoSpaceDN/>
        <w:bidi w:val="0"/>
        <w:adjustRightInd/>
        <w:spacing w:after="0" w:line="560" w:lineRule="exact"/>
        <w:ind w:firstLine="630"/>
        <w:rPr>
          <w:rFonts w:hint="eastAsia" w:ascii="仿宋" w:hAnsi="仿宋" w:eastAsia="仿宋"/>
          <w:color w:val="auto"/>
          <w:sz w:val="32"/>
          <w:szCs w:val="32"/>
          <w:lang w:eastAsia="zh-CN"/>
        </w:rPr>
      </w:pPr>
      <w:r>
        <w:rPr>
          <w:rFonts w:ascii="仿宋_GB2312" w:eastAsia="仿宋_GB2312"/>
          <w:b w:val="0"/>
          <w:sz w:val="32"/>
          <w:szCs w:val="32"/>
        </w:rPr>
        <w:t>财政拨款收入支出总体与上年相比，增加7.47万元，增长3.39%，主要原因是：</w:t>
      </w:r>
      <w:r>
        <w:rPr>
          <w:rFonts w:hint="eastAsia" w:ascii="仿宋_GB2312" w:eastAsia="仿宋_GB2312"/>
          <w:b w:val="0"/>
          <w:color w:val="auto"/>
          <w:sz w:val="32"/>
          <w:szCs w:val="32"/>
          <w:u w:val="none"/>
          <w:lang w:val="en-US" w:eastAsia="zh-CN"/>
        </w:rPr>
        <w:t>2024年发放2023年度</w:t>
      </w:r>
      <w:r>
        <w:rPr>
          <w:rFonts w:hint="eastAsia" w:ascii="仿宋" w:hAnsi="仿宋" w:eastAsia="仿宋" w:cs="仿宋_GB2312"/>
          <w:color w:val="auto"/>
          <w:spacing w:val="-2"/>
          <w:sz w:val="32"/>
          <w:szCs w:val="32"/>
          <w:u w:val="none"/>
        </w:rPr>
        <w:t>绩效考核奖</w:t>
      </w:r>
      <w:r>
        <w:rPr>
          <w:rFonts w:hint="eastAsia" w:ascii="仿宋" w:hAnsi="仿宋" w:eastAsia="仿宋" w:cs="仿宋_GB2312"/>
          <w:color w:val="auto"/>
          <w:spacing w:val="-2"/>
          <w:sz w:val="32"/>
          <w:szCs w:val="32"/>
          <w:u w:val="none"/>
          <w:lang w:eastAsia="zh-CN"/>
        </w:rPr>
        <w:t>较上年额度增加和</w:t>
      </w:r>
      <w:bookmarkStart w:id="0" w:name="_GoBack"/>
      <w:bookmarkEnd w:id="0"/>
      <w:r>
        <w:rPr>
          <w:rFonts w:hint="eastAsia" w:ascii="仿宋" w:hAnsi="仿宋" w:eastAsia="仿宋" w:cs="仿宋_GB2312"/>
          <w:color w:val="auto"/>
          <w:spacing w:val="-2"/>
          <w:sz w:val="32"/>
          <w:szCs w:val="32"/>
          <w:u w:val="none"/>
          <w:lang w:eastAsia="zh-CN"/>
        </w:rPr>
        <w:t>人员普调工资</w:t>
      </w:r>
      <w:r>
        <w:rPr>
          <w:rFonts w:ascii="仿宋_GB2312" w:eastAsia="仿宋_GB2312"/>
          <w:b w:val="0"/>
          <w:color w:val="auto"/>
          <w:sz w:val="32"/>
          <w:szCs w:val="32"/>
          <w:u w:val="none"/>
        </w:rPr>
        <w:t>。</w:t>
      </w:r>
      <w:r>
        <w:rPr>
          <w:rFonts w:ascii="仿宋_GB2312" w:eastAsia="仿宋_GB2312"/>
          <w:b w:val="0"/>
          <w:sz w:val="32"/>
          <w:szCs w:val="32"/>
        </w:rPr>
        <w:t>与年初预算相比，年初预算数217.87万元，决算数227.91万元，预决算差异率4.61%，主要原因是：</w:t>
      </w:r>
      <w:r>
        <w:rPr>
          <w:rFonts w:hint="eastAsia" w:ascii="仿宋_GB2312" w:hAnsi="仿宋_GB2312" w:eastAsia="仿宋_GB2312" w:cs="仿宋_GB2312"/>
          <w:color w:val="auto"/>
          <w:sz w:val="32"/>
          <w:szCs w:val="32"/>
          <w:lang w:val="en-US" w:eastAsia="zh-CN"/>
        </w:rPr>
        <w:t>年中追加2023年绩效考核奖和人员增资</w:t>
      </w:r>
      <w:r>
        <w:rPr>
          <w:rFonts w:hint="eastAsia" w:ascii="仿宋" w:hAnsi="仿宋" w:eastAsia="仿宋"/>
          <w:color w:val="auto"/>
          <w:sz w:val="32"/>
          <w:szCs w:val="32"/>
          <w:lang w:val="en-US" w:eastAsia="zh-CN"/>
        </w:rPr>
        <w:t>。</w:t>
      </w:r>
    </w:p>
    <w:p w14:paraId="58894C3C">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4E42668A">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outlineLvl w:val="2"/>
        <w:rPr>
          <w:rFonts w:ascii="仿宋_GB2312" w:eastAsia="仿宋_GB2312"/>
          <w:sz w:val="32"/>
          <w:szCs w:val="32"/>
        </w:rPr>
      </w:pPr>
      <w:r>
        <w:rPr>
          <w:rFonts w:ascii="仿宋_GB2312" w:eastAsia="仿宋_GB2312"/>
          <w:b/>
          <w:sz w:val="32"/>
          <w:szCs w:val="32"/>
        </w:rPr>
        <w:t>（一）一般公共预算财政拨款支出决算总体情况</w:t>
      </w:r>
    </w:p>
    <w:p w14:paraId="0CFE93E1">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hint="eastAsia" w:ascii="仿宋_GB2312" w:eastAsia="仿宋_GB2312"/>
          <w:b w:val="0"/>
          <w:sz w:val="32"/>
          <w:szCs w:val="32"/>
          <w:lang w:eastAsia="zh-CN"/>
        </w:rPr>
      </w:pPr>
      <w:r>
        <w:rPr>
          <w:rFonts w:ascii="仿宋_GB2312" w:eastAsia="仿宋_GB2312"/>
          <w:b w:val="0"/>
          <w:sz w:val="32"/>
          <w:szCs w:val="32"/>
        </w:rPr>
        <w:t>2024年度一般公共预算财政拨款支出227.91万元，占本年支出合计的99.99%。与上年相比，增加7.47万元，增长3.39%，主要原因是：</w:t>
      </w:r>
      <w:r>
        <w:rPr>
          <w:rFonts w:hint="eastAsia" w:ascii="仿宋_GB2312" w:eastAsia="仿宋_GB2312"/>
          <w:b w:val="0"/>
          <w:color w:val="auto"/>
          <w:sz w:val="32"/>
          <w:szCs w:val="32"/>
          <w:u w:val="none"/>
          <w:lang w:val="en-US" w:eastAsia="zh-CN"/>
        </w:rPr>
        <w:t>2024年发放2023年度</w:t>
      </w:r>
      <w:r>
        <w:rPr>
          <w:rFonts w:hint="eastAsia" w:ascii="仿宋" w:hAnsi="仿宋" w:eastAsia="仿宋" w:cs="仿宋_GB2312"/>
          <w:color w:val="auto"/>
          <w:spacing w:val="-2"/>
          <w:sz w:val="32"/>
          <w:szCs w:val="32"/>
          <w:u w:val="none"/>
        </w:rPr>
        <w:t>绩效考核奖</w:t>
      </w:r>
      <w:r>
        <w:rPr>
          <w:rFonts w:hint="eastAsia" w:ascii="仿宋" w:hAnsi="仿宋" w:eastAsia="仿宋" w:cs="仿宋_GB2312"/>
          <w:color w:val="auto"/>
          <w:spacing w:val="-2"/>
          <w:sz w:val="32"/>
          <w:szCs w:val="32"/>
          <w:u w:val="none"/>
          <w:lang w:eastAsia="zh-CN"/>
        </w:rPr>
        <w:t>较上年额度增加和人员普调工资</w:t>
      </w:r>
      <w:r>
        <w:rPr>
          <w:rFonts w:ascii="仿宋_GB2312" w:eastAsia="仿宋_GB2312"/>
          <w:b w:val="0"/>
          <w:color w:val="auto"/>
          <w:sz w:val="32"/>
          <w:szCs w:val="32"/>
          <w:u w:val="none"/>
        </w:rPr>
        <w:t>。</w:t>
      </w:r>
      <w:r>
        <w:rPr>
          <w:rFonts w:ascii="仿宋_GB2312" w:eastAsia="仿宋_GB2312"/>
          <w:b w:val="0"/>
          <w:sz w:val="32"/>
          <w:szCs w:val="32"/>
        </w:rPr>
        <w:t>与年初预算相比，年初预算数217.87万元，决算数227.91万元，预决算差异率4.61%，主要原因是：</w:t>
      </w:r>
      <w:r>
        <w:rPr>
          <w:rFonts w:hint="eastAsia" w:ascii="仿宋_GB2312" w:eastAsia="仿宋_GB2312"/>
          <w:b w:val="0"/>
          <w:sz w:val="32"/>
          <w:szCs w:val="32"/>
          <w:lang w:val="en-US" w:eastAsia="zh-CN"/>
        </w:rPr>
        <w:t>年中追加2023年绩效考核奖和人员增资。</w:t>
      </w:r>
    </w:p>
    <w:p w14:paraId="443F204D">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outlineLvl w:val="2"/>
        <w:rPr>
          <w:rFonts w:ascii="仿宋_GB2312" w:eastAsia="仿宋_GB2312"/>
          <w:sz w:val="32"/>
          <w:szCs w:val="32"/>
        </w:rPr>
      </w:pPr>
      <w:r>
        <w:rPr>
          <w:rFonts w:ascii="仿宋_GB2312" w:eastAsia="仿宋_GB2312"/>
          <w:b/>
          <w:sz w:val="32"/>
          <w:szCs w:val="32"/>
        </w:rPr>
        <w:t>（二）一般公共预算财政拨款支出决算结构情况</w:t>
      </w:r>
    </w:p>
    <w:p w14:paraId="09184809">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sz w:val="32"/>
          <w:szCs w:val="32"/>
        </w:rPr>
      </w:pPr>
      <w:r>
        <w:rPr>
          <w:rFonts w:ascii="仿宋_GB2312" w:eastAsia="仿宋_GB2312"/>
          <w:b w:val="0"/>
          <w:sz w:val="32"/>
          <w:szCs w:val="32"/>
        </w:rPr>
        <w:t>社会保障和就业支出（类）40.32万元，占17.69%。</w:t>
      </w:r>
    </w:p>
    <w:p w14:paraId="28FA2727">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sz w:val="32"/>
          <w:szCs w:val="32"/>
        </w:rPr>
      </w:pPr>
      <w:r>
        <w:rPr>
          <w:rFonts w:ascii="仿宋_GB2312" w:eastAsia="仿宋_GB2312"/>
          <w:b w:val="0"/>
          <w:sz w:val="32"/>
          <w:szCs w:val="32"/>
        </w:rPr>
        <w:t>卫生健康支出（类）11.52万元，占5.05%。</w:t>
      </w:r>
    </w:p>
    <w:p w14:paraId="53542189">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sz w:val="32"/>
          <w:szCs w:val="32"/>
        </w:rPr>
      </w:pPr>
      <w:r>
        <w:rPr>
          <w:rFonts w:ascii="仿宋_GB2312" w:eastAsia="仿宋_GB2312"/>
          <w:b w:val="0"/>
          <w:sz w:val="32"/>
          <w:szCs w:val="32"/>
        </w:rPr>
        <w:t>农林水支出（类）166.54万元，占73.07%。</w:t>
      </w:r>
    </w:p>
    <w:p w14:paraId="7A727AD9">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sz w:val="32"/>
          <w:szCs w:val="32"/>
        </w:rPr>
      </w:pPr>
      <w:r>
        <w:rPr>
          <w:rFonts w:ascii="仿宋_GB2312" w:eastAsia="仿宋_GB2312"/>
          <w:b w:val="0"/>
          <w:sz w:val="32"/>
          <w:szCs w:val="32"/>
        </w:rPr>
        <w:t>住房保障支出（类）9.53万元，占4.18%。</w:t>
      </w:r>
    </w:p>
    <w:p w14:paraId="51CBD9AB">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outlineLvl w:val="2"/>
        <w:rPr>
          <w:rFonts w:ascii="仿宋_GB2312" w:eastAsia="仿宋_GB2312"/>
          <w:sz w:val="32"/>
          <w:szCs w:val="32"/>
        </w:rPr>
      </w:pPr>
      <w:r>
        <w:rPr>
          <w:rFonts w:ascii="仿宋_GB2312" w:eastAsia="仿宋_GB2312"/>
          <w:b/>
          <w:sz w:val="32"/>
          <w:szCs w:val="32"/>
        </w:rPr>
        <w:t>（三）一般公共预算财政拨款支出决算具体情况</w:t>
      </w:r>
    </w:p>
    <w:p w14:paraId="6BF66E75">
      <w:pPr>
        <w:keepNext w:val="0"/>
        <w:keepLines w:val="0"/>
        <w:pageBreakBefore w:val="0"/>
        <w:widowControl/>
        <w:numPr>
          <w:ilvl w:val="0"/>
          <w:numId w:val="0"/>
        </w:numPr>
        <w:kinsoku/>
        <w:wordWrap/>
        <w:overflowPunct/>
        <w:topLinePunct w:val="0"/>
        <w:autoSpaceDE/>
        <w:autoSpaceDN/>
        <w:bidi w:val="0"/>
        <w:adjustRightInd/>
        <w:spacing w:before="0" w:beforeAutospacing="0" w:after="0" w:afterAutospacing="0" w:line="560" w:lineRule="exact"/>
        <w:ind w:firstLine="640" w:firstLineChars="200"/>
        <w:rPr>
          <w:rFonts w:ascii="仿宋_GB2312" w:eastAsia="仿宋_GB2312"/>
          <w:sz w:val="32"/>
          <w:szCs w:val="32"/>
        </w:rPr>
      </w:pPr>
      <w:r>
        <w:rPr>
          <w:rFonts w:ascii="仿宋_GB2312" w:eastAsia="仿宋_GB2312"/>
          <w:b w:val="0"/>
          <w:sz w:val="32"/>
          <w:szCs w:val="32"/>
        </w:rPr>
        <w:t>社会保障和就业支出（类）行政事业单位养老支出（款）事业单位离退休（项）：支出决算数为27.60万元，比上年决算增加2.37万元，增长9.39%，主要原因是：</w:t>
      </w:r>
      <w:r>
        <w:rPr>
          <w:rFonts w:hint="eastAsia" w:ascii="仿宋_GB2312" w:eastAsia="仿宋_GB2312"/>
          <w:b w:val="0"/>
          <w:color w:val="auto"/>
          <w:sz w:val="32"/>
          <w:szCs w:val="32"/>
          <w:u w:val="none"/>
          <w:lang w:val="en-US" w:eastAsia="zh-CN"/>
        </w:rPr>
        <w:t>2024年发放2023年度</w:t>
      </w:r>
      <w:r>
        <w:rPr>
          <w:rFonts w:hint="eastAsia" w:ascii="仿宋" w:hAnsi="仿宋" w:eastAsia="仿宋" w:cs="仿宋_GB2312"/>
          <w:color w:val="auto"/>
          <w:spacing w:val="-2"/>
          <w:sz w:val="32"/>
          <w:szCs w:val="32"/>
          <w:u w:val="none"/>
        </w:rPr>
        <w:t>绩效考核奖</w:t>
      </w:r>
      <w:r>
        <w:rPr>
          <w:rFonts w:hint="eastAsia" w:ascii="仿宋" w:hAnsi="仿宋" w:eastAsia="仿宋" w:cs="仿宋_GB2312"/>
          <w:color w:val="auto"/>
          <w:spacing w:val="-2"/>
          <w:sz w:val="32"/>
          <w:szCs w:val="32"/>
          <w:u w:val="none"/>
          <w:lang w:eastAsia="zh-CN"/>
        </w:rPr>
        <w:t>较上年额度增加。</w:t>
      </w:r>
    </w:p>
    <w:p w14:paraId="4019881B">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ascii="仿宋_GB2312" w:eastAsia="仿宋_GB2312"/>
          <w:b w:val="0"/>
          <w:sz w:val="32"/>
          <w:szCs w:val="32"/>
        </w:rPr>
        <w:t>社会保障和就业支出（类）行政事业单位养老支出（款）机关事业单位基本养老保险缴费支出（项）：支出决算数为12.71万元，比上年决算增加1.23万元，增长10.71%，主要原因是：</w:t>
      </w:r>
      <w:r>
        <w:rPr>
          <w:rFonts w:hint="eastAsia" w:ascii="仿宋_GB2312" w:hAnsi="仿宋_GB2312" w:eastAsia="仿宋_GB2312" w:cs="仿宋_GB2312"/>
          <w:color w:val="000000"/>
          <w:sz w:val="32"/>
          <w:szCs w:val="32"/>
          <w:lang w:val="en-US" w:eastAsia="zh-CN"/>
        </w:rPr>
        <w:t>人员增资缴费基数增长。</w:t>
      </w:r>
    </w:p>
    <w:p w14:paraId="56C81A29">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ascii="仿宋_GB2312" w:eastAsia="仿宋_GB2312"/>
          <w:b w:val="0"/>
          <w:sz w:val="32"/>
          <w:szCs w:val="32"/>
        </w:rPr>
        <w:t>卫生健康支出（类）行政事业单位医疗（款）事业单位医疗（项）：支出决算数为5.96万元，比上年决算增加0.58万元，增长10.78%，主要原因是：</w:t>
      </w:r>
      <w:r>
        <w:rPr>
          <w:rFonts w:hint="eastAsia" w:ascii="仿宋_GB2312" w:hAnsi="仿宋_GB2312" w:eastAsia="仿宋_GB2312" w:cs="仿宋_GB2312"/>
          <w:color w:val="000000"/>
          <w:sz w:val="32"/>
          <w:szCs w:val="32"/>
          <w:lang w:val="en-US" w:eastAsia="zh-CN"/>
        </w:rPr>
        <w:t>人员增资缴费基数增长。</w:t>
      </w:r>
    </w:p>
    <w:p w14:paraId="16C5C6E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ascii="仿宋_GB2312" w:eastAsia="仿宋_GB2312"/>
          <w:b w:val="0"/>
          <w:sz w:val="32"/>
          <w:szCs w:val="32"/>
        </w:rPr>
        <w:t>卫生健康支出（类）行政事业单位医疗（款）公务员医疗补助（项）：支出决算数为5.56万元，比上年决算增加0.54万元，增长10.76%，主要原因是：</w:t>
      </w:r>
      <w:r>
        <w:rPr>
          <w:rFonts w:hint="eastAsia" w:ascii="仿宋_GB2312" w:hAnsi="仿宋_GB2312" w:eastAsia="仿宋_GB2312" w:cs="仿宋_GB2312"/>
          <w:color w:val="000000"/>
          <w:sz w:val="32"/>
          <w:szCs w:val="32"/>
          <w:lang w:val="en-US" w:eastAsia="zh-CN"/>
        </w:rPr>
        <w:t>人员增资缴费基数增长。</w:t>
      </w:r>
    </w:p>
    <w:p w14:paraId="51C51491">
      <w:pPr>
        <w:keepNext w:val="0"/>
        <w:keepLines w:val="0"/>
        <w:pageBreakBefore w:val="0"/>
        <w:widowControl w:val="0"/>
        <w:kinsoku/>
        <w:wordWrap/>
        <w:overflowPunct w:val="0"/>
        <w:topLinePunct/>
        <w:autoSpaceDE/>
        <w:autoSpaceDN/>
        <w:bidi w:val="0"/>
        <w:adjustRightInd/>
        <w:snapToGrid w:val="0"/>
        <w:spacing w:line="560" w:lineRule="exact"/>
        <w:ind w:firstLine="640" w:firstLineChars="200"/>
        <w:textAlignment w:val="auto"/>
        <w:outlineLvl w:val="9"/>
        <w:rPr>
          <w:rFonts w:hint="eastAsia" w:ascii="仿宋_GB2312" w:hAnsi="仿宋_GB2312" w:eastAsia="仿宋_GB2312" w:cs="仿宋_GB2312"/>
          <w:color w:val="000000"/>
          <w:sz w:val="32"/>
          <w:szCs w:val="32"/>
          <w:lang w:val="en-US" w:eastAsia="zh-CN"/>
        </w:rPr>
      </w:pPr>
      <w:r>
        <w:rPr>
          <w:rFonts w:ascii="仿宋_GB2312" w:eastAsia="仿宋_GB2312"/>
          <w:b w:val="0"/>
          <w:sz w:val="32"/>
          <w:szCs w:val="32"/>
        </w:rPr>
        <w:t>农林水支出（类）巩固脱贫攻坚成果衔接乡村振兴（款）机关服务（项）：支出决算数为166.54万元，比上年决算增加1.83万元，增长1.11%，主要原因是：</w:t>
      </w:r>
      <w:r>
        <w:rPr>
          <w:rFonts w:hint="eastAsia" w:ascii="仿宋_GB2312" w:eastAsia="仿宋_GB2312"/>
          <w:b w:val="0"/>
          <w:color w:val="auto"/>
          <w:sz w:val="32"/>
          <w:szCs w:val="32"/>
          <w:u w:val="none"/>
          <w:lang w:val="en-US" w:eastAsia="zh-CN"/>
        </w:rPr>
        <w:t>2024年发放2023年度</w:t>
      </w:r>
      <w:r>
        <w:rPr>
          <w:rFonts w:hint="eastAsia" w:ascii="仿宋" w:hAnsi="仿宋" w:eastAsia="仿宋" w:cs="仿宋_GB2312"/>
          <w:color w:val="auto"/>
          <w:spacing w:val="-2"/>
          <w:sz w:val="32"/>
          <w:szCs w:val="32"/>
          <w:u w:val="none"/>
        </w:rPr>
        <w:t>绩效考核奖</w:t>
      </w:r>
      <w:r>
        <w:rPr>
          <w:rFonts w:hint="eastAsia" w:ascii="仿宋" w:hAnsi="仿宋" w:eastAsia="仿宋" w:cs="仿宋_GB2312"/>
          <w:color w:val="auto"/>
          <w:spacing w:val="-2"/>
          <w:sz w:val="32"/>
          <w:szCs w:val="32"/>
          <w:u w:val="none"/>
          <w:lang w:eastAsia="zh-CN"/>
        </w:rPr>
        <w:t>较上年额度增加和人员普调工资。</w:t>
      </w:r>
    </w:p>
    <w:p w14:paraId="7512CC29">
      <w:pPr>
        <w:keepNext w:val="0"/>
        <w:keepLines w:val="0"/>
        <w:pageBreakBefore w:val="0"/>
        <w:widowControl w:val="0"/>
        <w:numPr>
          <w:ilvl w:val="0"/>
          <w:numId w:val="0"/>
        </w:numPr>
        <w:kinsoku/>
        <w:wordWrap/>
        <w:overflowPunct w:val="0"/>
        <w:topLinePunct/>
        <w:autoSpaceDE/>
        <w:autoSpaceDN/>
        <w:bidi w:val="0"/>
        <w:adjustRightInd/>
        <w:spacing w:before="0" w:beforeAutospacing="0" w:after="0" w:afterAutospacing="0" w:line="560" w:lineRule="exact"/>
        <w:ind w:firstLine="640" w:firstLineChars="200"/>
        <w:textAlignment w:val="auto"/>
        <w:outlineLvl w:val="9"/>
        <w:rPr>
          <w:rFonts w:ascii="仿宋_GB2312" w:eastAsia="仿宋_GB2312"/>
          <w:sz w:val="32"/>
          <w:szCs w:val="32"/>
        </w:rPr>
      </w:pPr>
      <w:r>
        <w:rPr>
          <w:rFonts w:ascii="仿宋_GB2312" w:eastAsia="仿宋_GB2312"/>
          <w:b w:val="0"/>
          <w:sz w:val="32"/>
          <w:szCs w:val="32"/>
        </w:rPr>
        <w:t>住房保障支出（类）住房改革支出（款）住房公积金（项）：支出决算数为9.53万元，比上年决算增加0.92万元，增长10.69%，主要原因是：</w:t>
      </w:r>
      <w:r>
        <w:rPr>
          <w:rFonts w:hint="eastAsia" w:ascii="仿宋_GB2312" w:hAnsi="仿宋_GB2312" w:eastAsia="仿宋_GB2312" w:cs="仿宋_GB2312"/>
          <w:color w:val="000000"/>
          <w:sz w:val="32"/>
          <w:szCs w:val="32"/>
          <w:lang w:val="en-US" w:eastAsia="zh-CN"/>
        </w:rPr>
        <w:t>人员增资缴费基数增长。</w:t>
      </w:r>
    </w:p>
    <w:p w14:paraId="4E39CFFF">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64E8CD62">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164.91万元，其中：人员经费156.43万元，包括：基本工资、津贴补贴、奖金、绩效工资、机关事业单位基本养老保险缴费、职工基本医疗保险缴费、公务员医疗补助缴费、其他社会保障缴费、住房公积金、退休费和其他对个人和家庭的补助。</w:t>
      </w:r>
    </w:p>
    <w:p w14:paraId="78844EE7">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sz w:val="32"/>
          <w:szCs w:val="32"/>
        </w:rPr>
      </w:pPr>
      <w:r>
        <w:rPr>
          <w:rFonts w:ascii="仿宋_GB2312" w:eastAsia="仿宋_GB2312"/>
          <w:b w:val="0"/>
          <w:sz w:val="32"/>
          <w:szCs w:val="32"/>
        </w:rPr>
        <w:t>公用经费8.48万元，包括：办公费、水费、电费、邮电费、差旅费、工会经费、福利费、公务用车运行维护费和其他商品和服务支出。</w:t>
      </w:r>
    </w:p>
    <w:p w14:paraId="2D6FC4F7">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72465A13">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060B7F3B">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414151E3">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5946E77C">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52C67A0A">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2024年度财政拨款“三公”经费支出1.43万元，比上年增加1.43万元，增长100%，主要原因是：</w:t>
      </w:r>
      <w:r>
        <w:rPr>
          <w:rFonts w:hint="eastAsia" w:ascii="仿宋" w:hAnsi="仿宋" w:eastAsia="仿宋"/>
          <w:color w:val="auto"/>
          <w:sz w:val="32"/>
          <w:szCs w:val="32"/>
          <w:u w:val="none"/>
          <w:lang w:val="en-US" w:eastAsia="zh-CN"/>
        </w:rPr>
        <w:t>以前年度为便于管理，本单位1辆公务用车由自治区乡村振兴局机关集中统一管理，未纳入本单位管理；2024年因机构改革，上述1辆划归本单位管理，相应经费同步纳入本单位核算。</w:t>
      </w:r>
      <w:r>
        <w:rPr>
          <w:rFonts w:ascii="仿宋_GB2312" w:eastAsia="仿宋_GB2312"/>
          <w:b w:val="0"/>
          <w:sz w:val="32"/>
          <w:szCs w:val="32"/>
        </w:rPr>
        <w:t>其中：因公出国（境）费支出0.00万元</w:t>
      </w:r>
      <w:r>
        <w:rPr>
          <w:rFonts w:hint="eastAsia" w:ascii="仿宋_GB2312" w:eastAsia="仿宋_GB2312"/>
          <w:b w:val="0"/>
          <w:sz w:val="32"/>
          <w:szCs w:val="32"/>
          <w:lang w:eastAsia="zh-CN"/>
        </w:rPr>
        <w:t>，</w:t>
      </w:r>
      <w:r>
        <w:rPr>
          <w:rFonts w:ascii="仿宋_GB2312" w:eastAsia="仿宋_GB2312"/>
          <w:b w:val="0"/>
          <w:sz w:val="32"/>
          <w:szCs w:val="32"/>
        </w:rPr>
        <w:t>占0.00%，与上年相比无变化，主要原因是：</w:t>
      </w:r>
      <w:r>
        <w:rPr>
          <w:rFonts w:hint="eastAsia" w:ascii="仿宋_GB2312" w:eastAsia="仿宋_GB2312"/>
          <w:b w:val="0"/>
          <w:sz w:val="32"/>
          <w:szCs w:val="32"/>
          <w:lang w:eastAsia="zh-CN"/>
        </w:rPr>
        <w:t>年初预算未安排因公出国（境）费用支出</w:t>
      </w:r>
      <w:r>
        <w:rPr>
          <w:rFonts w:ascii="仿宋_GB2312" w:eastAsia="仿宋_GB2312"/>
          <w:b w:val="0"/>
          <w:sz w:val="32"/>
          <w:szCs w:val="32"/>
        </w:rPr>
        <w:t>；公务用车购置及运行维护费支出1.43万元，占100.00%，比上年增加1.43万元，增长100%，主要原因是：</w:t>
      </w:r>
      <w:r>
        <w:rPr>
          <w:rFonts w:hint="eastAsia" w:ascii="仿宋" w:hAnsi="仿宋" w:eastAsia="仿宋"/>
          <w:color w:val="auto"/>
          <w:sz w:val="32"/>
          <w:szCs w:val="32"/>
          <w:u w:val="none"/>
          <w:lang w:val="en-US" w:eastAsia="zh-CN"/>
        </w:rPr>
        <w:t>以前年度为便于管理，本单位1辆公务用车由自治区乡村振兴局机关集中统一管理，未纳入本单位管理；2024年因机构改革，上述1辆划归本单位管理，相应经费同步纳入本单位核算。导致公务用车购置及运行维护费增长</w:t>
      </w:r>
      <w:r>
        <w:rPr>
          <w:rFonts w:ascii="仿宋_GB2312" w:eastAsia="仿宋_GB2312"/>
          <w:b w:val="0"/>
          <w:sz w:val="32"/>
          <w:szCs w:val="32"/>
        </w:rPr>
        <w:t>；公务接待费支出0.00万元，占0.00%，与上年相比无变化，主要原因是：</w:t>
      </w:r>
      <w:r>
        <w:rPr>
          <w:rFonts w:hint="eastAsia" w:ascii="仿宋_GB2312" w:eastAsia="仿宋_GB2312"/>
          <w:b w:val="0"/>
          <w:sz w:val="32"/>
          <w:szCs w:val="32"/>
          <w:lang w:eastAsia="zh-CN"/>
        </w:rPr>
        <w:t>年初预算未安排公务接待费</w:t>
      </w:r>
      <w:r>
        <w:rPr>
          <w:rFonts w:ascii="仿宋_GB2312" w:eastAsia="仿宋_GB2312"/>
          <w:b w:val="0"/>
          <w:sz w:val="32"/>
          <w:szCs w:val="32"/>
        </w:rPr>
        <w:t>。</w:t>
      </w:r>
    </w:p>
    <w:p w14:paraId="1D33AC9F">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0893FBBC">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eastAsia="zh-CN"/>
        </w:rPr>
        <w:t>：</w:t>
      </w:r>
      <w:r>
        <w:rPr>
          <w:rFonts w:hint="eastAsia" w:ascii="仿宋_GB2312" w:eastAsia="仿宋_GB2312"/>
          <w:sz w:val="32"/>
          <w:szCs w:val="32"/>
        </w:rPr>
        <w:t>我单位无因公出国（境）费。</w:t>
      </w:r>
      <w:r>
        <w:rPr>
          <w:rFonts w:ascii="仿宋_GB2312" w:eastAsia="仿宋_GB2312"/>
          <w:b w:val="0"/>
          <w:sz w:val="32"/>
          <w:szCs w:val="32"/>
        </w:rPr>
        <w:t>单位全年安排的因公出国（境）团组0个，因公出国（境）0人次。</w:t>
      </w:r>
    </w:p>
    <w:p w14:paraId="3C6AC4DF">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color w:val="auto"/>
          <w:sz w:val="32"/>
          <w:szCs w:val="32"/>
          <w:shd w:val="clear" w:color="auto" w:fill="auto"/>
          <w:lang w:eastAsia="zh-CN"/>
        </w:rPr>
      </w:pPr>
      <w:r>
        <w:rPr>
          <w:rFonts w:ascii="仿宋_GB2312" w:eastAsia="仿宋_GB2312"/>
          <w:b w:val="0"/>
          <w:sz w:val="32"/>
          <w:szCs w:val="32"/>
        </w:rPr>
        <w:t>公务用车购置及运行维护费1.43万元，其中：公务用车购置费0.00万元，公务用车运行维护费1.43万元。公务用车运行维护费开支内容包括</w:t>
      </w:r>
      <w:r>
        <w:rPr>
          <w:rFonts w:hint="eastAsia" w:ascii="仿宋_GB2312" w:eastAsia="仿宋_GB2312"/>
          <w:b w:val="0"/>
          <w:sz w:val="32"/>
          <w:szCs w:val="32"/>
          <w:lang w:eastAsia="zh-CN"/>
        </w:rPr>
        <w:t>：</w:t>
      </w:r>
      <w:r>
        <w:rPr>
          <w:rFonts w:hint="eastAsia" w:ascii="仿宋_GB2312" w:eastAsia="仿宋_GB2312"/>
          <w:sz w:val="32"/>
          <w:szCs w:val="32"/>
        </w:rPr>
        <w:t>公务用车燃料费、维修费、过桥过路费、保险费等支出。</w:t>
      </w:r>
      <w:r>
        <w:rPr>
          <w:rFonts w:ascii="仿宋_GB2312" w:eastAsia="仿宋_GB2312"/>
          <w:b w:val="0"/>
          <w:sz w:val="32"/>
          <w:szCs w:val="32"/>
        </w:rPr>
        <w:t>公务用车购置数0辆，公务用车保有量1辆。国有资产占用情况中固定资产车辆0辆，与公务用车保有量差异原因是：</w:t>
      </w:r>
      <w:r>
        <w:rPr>
          <w:rFonts w:hint="eastAsia" w:ascii="仿宋_GB2312" w:eastAsia="仿宋_GB2312"/>
          <w:b w:val="0"/>
          <w:sz w:val="32"/>
          <w:szCs w:val="32"/>
          <w:lang w:val="en-US" w:eastAsia="zh-CN"/>
        </w:rPr>
        <w:t>公务用车固定资产在宣传教育培训中心记账，因机构改革</w:t>
      </w:r>
      <w:r>
        <w:rPr>
          <w:rFonts w:hint="eastAsia" w:ascii="仿宋" w:hAnsi="仿宋" w:eastAsia="仿宋"/>
          <w:color w:val="auto"/>
          <w:sz w:val="32"/>
          <w:szCs w:val="32"/>
          <w:u w:val="none"/>
          <w:lang w:val="en-US" w:eastAsia="zh-CN"/>
        </w:rPr>
        <w:t>将1辆公务用车划归本单位管理，相应经费同步纳入本单位核算</w:t>
      </w:r>
      <w:r>
        <w:rPr>
          <w:rFonts w:hint="eastAsia" w:ascii="仿宋_GB2312" w:eastAsia="仿宋_GB2312"/>
          <w:b w:val="0"/>
          <w:color w:val="auto"/>
          <w:sz w:val="32"/>
          <w:szCs w:val="32"/>
          <w:shd w:val="clear" w:color="auto" w:fill="auto"/>
          <w:lang w:eastAsia="zh-CN"/>
        </w:rPr>
        <w:t>。</w:t>
      </w:r>
    </w:p>
    <w:p w14:paraId="0AD7BBE9">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sz w:val="32"/>
          <w:szCs w:val="32"/>
        </w:rPr>
      </w:pPr>
      <w:r>
        <w:rPr>
          <w:rFonts w:ascii="仿宋_GB2312" w:eastAsia="仿宋_GB2312"/>
          <w:b w:val="0"/>
          <w:sz w:val="32"/>
          <w:szCs w:val="32"/>
        </w:rPr>
        <w:t>公务接待费0.00万元，</w:t>
      </w:r>
      <w:r>
        <w:rPr>
          <w:rFonts w:ascii="仿宋_GB2312" w:eastAsia="仿宋_GB2312"/>
          <w:b w:val="0"/>
          <w:color w:val="auto"/>
          <w:sz w:val="32"/>
          <w:szCs w:val="32"/>
        </w:rPr>
        <w:t>开支内容包括</w:t>
      </w:r>
      <w:r>
        <w:rPr>
          <w:rFonts w:hint="eastAsia" w:ascii="仿宋_GB2312" w:eastAsia="仿宋_GB2312"/>
          <w:b w:val="0"/>
          <w:color w:val="auto"/>
          <w:sz w:val="32"/>
          <w:szCs w:val="32"/>
          <w:lang w:eastAsia="zh-CN"/>
        </w:rPr>
        <w:t>：</w:t>
      </w:r>
      <w:r>
        <w:rPr>
          <w:rFonts w:hint="eastAsia" w:ascii="仿宋_GB2312" w:eastAsia="仿宋_GB2312"/>
          <w:color w:val="auto"/>
          <w:sz w:val="32"/>
          <w:szCs w:val="32"/>
          <w:lang w:val="en-US" w:eastAsia="zh-CN"/>
        </w:rPr>
        <w:t>本年度无公务接待费。</w:t>
      </w:r>
      <w:r>
        <w:rPr>
          <w:rFonts w:ascii="仿宋_GB2312" w:eastAsia="仿宋_GB2312"/>
          <w:b w:val="0"/>
          <w:color w:val="auto"/>
          <w:sz w:val="32"/>
          <w:szCs w:val="32"/>
        </w:rPr>
        <w:t>单位全年安排的国内公务接待0批次，0人次。</w:t>
      </w:r>
    </w:p>
    <w:p w14:paraId="298F0C6C">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与全年预算相比，财政拨款“三公”经费支出全年预算数1.43万元，决算数1.43万元，预决算差异率0.00%，主要原因是：</w:t>
      </w:r>
      <w:r>
        <w:rPr>
          <w:rFonts w:hint="eastAsia" w:ascii="仿宋_GB2312" w:eastAsia="仿宋_GB2312"/>
          <w:b w:val="0"/>
          <w:sz w:val="32"/>
          <w:szCs w:val="32"/>
          <w:lang w:eastAsia="zh-CN"/>
        </w:rPr>
        <w:t>严</w:t>
      </w:r>
      <w:r>
        <w:rPr>
          <w:rFonts w:hint="eastAsia" w:ascii="仿宋_GB2312" w:eastAsia="仿宋_GB2312"/>
          <w:b w:val="0"/>
          <w:color w:val="auto"/>
          <w:sz w:val="32"/>
          <w:szCs w:val="32"/>
          <w:lang w:eastAsia="zh-CN"/>
        </w:rPr>
        <w:t>格执行预算，预决算无差异</w:t>
      </w:r>
      <w:r>
        <w:rPr>
          <w:rFonts w:ascii="仿宋_GB2312" w:eastAsia="仿宋_GB2312"/>
          <w:b w:val="0"/>
          <w:color w:val="auto"/>
          <w:sz w:val="32"/>
          <w:szCs w:val="32"/>
        </w:rPr>
        <w:t>。</w:t>
      </w:r>
      <w:r>
        <w:rPr>
          <w:rFonts w:ascii="仿宋_GB2312" w:eastAsia="仿宋_GB2312"/>
          <w:b w:val="0"/>
          <w:sz w:val="32"/>
          <w:szCs w:val="32"/>
        </w:rPr>
        <w:t>其中：因公出国（境）费全年预算数0.00万元，决算数0.00万元，预决算差异率0.00%，主要原因是：</w:t>
      </w:r>
      <w:r>
        <w:rPr>
          <w:rFonts w:hint="eastAsia" w:ascii="仿宋_GB2312" w:eastAsia="仿宋_GB2312"/>
          <w:b w:val="0"/>
          <w:sz w:val="32"/>
          <w:szCs w:val="32"/>
          <w:lang w:eastAsia="zh-CN"/>
        </w:rPr>
        <w:t>我单位无因公出国（境）费</w:t>
      </w:r>
      <w:r>
        <w:rPr>
          <w:rFonts w:ascii="仿宋_GB2312" w:eastAsia="仿宋_GB2312"/>
          <w:b w:val="0"/>
          <w:sz w:val="32"/>
          <w:szCs w:val="32"/>
        </w:rPr>
        <w:t>。公务用车购置费全年预算数0.00万元，决算数0.00万元，预决算差异率0.00%，主要原因是：</w:t>
      </w:r>
      <w:r>
        <w:rPr>
          <w:rFonts w:hint="eastAsia" w:ascii="仿宋_GB2312" w:eastAsia="仿宋_GB2312"/>
          <w:b w:val="0"/>
          <w:sz w:val="32"/>
          <w:szCs w:val="32"/>
          <w:lang w:eastAsia="zh-CN"/>
        </w:rPr>
        <w:t>我单位无公务用车购置费</w:t>
      </w:r>
      <w:r>
        <w:rPr>
          <w:rFonts w:ascii="仿宋_GB2312" w:eastAsia="仿宋_GB2312"/>
          <w:b w:val="0"/>
          <w:sz w:val="32"/>
          <w:szCs w:val="32"/>
        </w:rPr>
        <w:t>。公务用车运行维护费全年预算数1.43万元，决算数1.43万元，预决算差异率0.00%，主要原因是</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严格按照预算执行，预决算无差异。</w:t>
      </w:r>
      <w:r>
        <w:rPr>
          <w:rFonts w:ascii="仿宋_GB2312" w:eastAsia="仿宋_GB2312"/>
          <w:b w:val="0"/>
          <w:sz w:val="32"/>
          <w:szCs w:val="32"/>
        </w:rPr>
        <w:t>公务接待费全年预算数0.00万元，决算数0.00万元，预决算差异率0.00%，主要原因是：</w:t>
      </w:r>
      <w:r>
        <w:rPr>
          <w:rFonts w:hint="eastAsia" w:ascii="仿宋_GB2312" w:eastAsia="仿宋_GB2312"/>
          <w:b w:val="0"/>
          <w:sz w:val="32"/>
          <w:szCs w:val="32"/>
          <w:lang w:eastAsia="zh-CN"/>
        </w:rPr>
        <w:t>我单位无公务接待费</w:t>
      </w:r>
      <w:r>
        <w:rPr>
          <w:rFonts w:ascii="仿宋_GB2312" w:eastAsia="仿宋_GB2312"/>
          <w:b w:val="0"/>
          <w:sz w:val="32"/>
          <w:szCs w:val="32"/>
        </w:rPr>
        <w:t>。</w:t>
      </w:r>
    </w:p>
    <w:p w14:paraId="56CBE2C0">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256B57BF">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outlineLvl w:val="2"/>
        <w:rPr>
          <w:rFonts w:ascii="仿宋_GB2312" w:eastAsia="仿宋_GB2312"/>
          <w:sz w:val="32"/>
          <w:szCs w:val="32"/>
        </w:rPr>
      </w:pPr>
      <w:r>
        <w:rPr>
          <w:rFonts w:ascii="仿宋_GB2312" w:eastAsia="仿宋_GB2312"/>
          <w:b/>
          <w:sz w:val="32"/>
          <w:szCs w:val="32"/>
        </w:rPr>
        <w:t>（一）机关运行经费及公用经费支出情况</w:t>
      </w:r>
    </w:p>
    <w:p w14:paraId="779E576F">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sz w:val="32"/>
          <w:szCs w:val="32"/>
        </w:rPr>
      </w:pPr>
      <w:r>
        <w:rPr>
          <w:rFonts w:ascii="仿宋_GB2312" w:eastAsia="仿宋_GB2312"/>
          <w:b w:val="0"/>
          <w:sz w:val="32"/>
          <w:szCs w:val="32"/>
        </w:rPr>
        <w:t>2024年度公用经费支出8.48万元，比上年增加0.76万元，增长9.84%，主要原因是：</w:t>
      </w:r>
      <w:r>
        <w:rPr>
          <w:rFonts w:hint="eastAsia" w:ascii="仿宋_GB2312" w:eastAsia="仿宋_GB2312"/>
          <w:b w:val="0"/>
          <w:color w:val="auto"/>
          <w:sz w:val="32"/>
          <w:szCs w:val="32"/>
          <w:lang w:val="en-US" w:eastAsia="zh-CN"/>
        </w:rPr>
        <w:t>2023年度在职</w:t>
      </w:r>
      <w:r>
        <w:rPr>
          <w:rFonts w:hint="eastAsia" w:ascii="仿宋_GB2312" w:eastAsia="仿宋_GB2312"/>
          <w:b w:val="0"/>
          <w:color w:val="auto"/>
          <w:sz w:val="32"/>
          <w:szCs w:val="32"/>
          <w:lang w:eastAsia="zh-CN"/>
        </w:rPr>
        <w:t>人员职级调整，</w:t>
      </w:r>
      <w:r>
        <w:rPr>
          <w:rFonts w:hint="eastAsia" w:ascii="仿宋_GB2312" w:eastAsia="仿宋_GB2312"/>
          <w:b w:val="0"/>
          <w:color w:val="auto"/>
          <w:sz w:val="32"/>
          <w:szCs w:val="32"/>
          <w:lang w:val="en-US" w:eastAsia="zh-CN"/>
        </w:rPr>
        <w:t>2024年相应</w:t>
      </w:r>
      <w:r>
        <w:rPr>
          <w:rFonts w:hint="eastAsia" w:ascii="仿宋_GB2312" w:eastAsia="仿宋_GB2312"/>
          <w:b w:val="0"/>
          <w:color w:val="auto"/>
          <w:sz w:val="32"/>
          <w:szCs w:val="32"/>
          <w:lang w:eastAsia="zh-CN"/>
        </w:rPr>
        <w:t>公用经费支出相应调整</w:t>
      </w:r>
      <w:r>
        <w:rPr>
          <w:rFonts w:ascii="仿宋_GB2312" w:eastAsia="仿宋_GB2312"/>
          <w:b w:val="0"/>
          <w:color w:val="auto"/>
          <w:sz w:val="32"/>
          <w:szCs w:val="32"/>
        </w:rPr>
        <w:t>。</w:t>
      </w:r>
    </w:p>
    <w:p w14:paraId="19CFFCA2">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outlineLvl w:val="2"/>
        <w:rPr>
          <w:rFonts w:ascii="仿宋_GB2312" w:eastAsia="仿宋_GB2312"/>
          <w:sz w:val="32"/>
          <w:szCs w:val="32"/>
        </w:rPr>
      </w:pPr>
      <w:r>
        <w:rPr>
          <w:rFonts w:ascii="仿宋_GB2312" w:eastAsia="仿宋_GB2312"/>
          <w:b/>
          <w:sz w:val="32"/>
          <w:szCs w:val="32"/>
        </w:rPr>
        <w:t>（二）政府采购情况</w:t>
      </w:r>
    </w:p>
    <w:p w14:paraId="61D0DD07">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sz w:val="32"/>
          <w:szCs w:val="32"/>
        </w:rPr>
      </w:pPr>
      <w:r>
        <w:rPr>
          <w:rFonts w:ascii="仿宋_GB2312" w:eastAsia="仿宋_GB2312"/>
          <w:b w:val="0"/>
          <w:sz w:val="32"/>
          <w:szCs w:val="32"/>
        </w:rPr>
        <w:t>2024年度政府采购支出总额0.00万元，其中：政府采购货物支出0.00万元、政府采购工程支出0.00万元、政府采购服务支出0.00万元。</w:t>
      </w:r>
    </w:p>
    <w:p w14:paraId="0FDFE886">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sz w:val="32"/>
          <w:szCs w:val="32"/>
        </w:rPr>
      </w:pPr>
      <w:r>
        <w:rPr>
          <w:rFonts w:ascii="仿宋_GB2312" w:eastAsia="仿宋_GB2312"/>
          <w:b w:val="0"/>
          <w:sz w:val="32"/>
          <w:szCs w:val="32"/>
        </w:rPr>
        <w:t>授予中小企业合同金额0.00万元，占政府采购支出总额的0.00%，其中：授予小微企业合同金额0.00万元，占政府采购支出总额的0.00%。</w:t>
      </w:r>
    </w:p>
    <w:p w14:paraId="0B7FFCFB">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outlineLvl w:val="2"/>
        <w:rPr>
          <w:rFonts w:ascii="仿宋_GB2312" w:eastAsia="仿宋_GB2312"/>
          <w:sz w:val="32"/>
          <w:szCs w:val="32"/>
        </w:rPr>
      </w:pPr>
      <w:r>
        <w:rPr>
          <w:rFonts w:ascii="仿宋_GB2312" w:eastAsia="仿宋_GB2312"/>
          <w:b/>
          <w:sz w:val="32"/>
          <w:szCs w:val="32"/>
        </w:rPr>
        <w:t>（三）国有资产占用情况说明</w:t>
      </w:r>
    </w:p>
    <w:p w14:paraId="6F88FEA7">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sz w:val="32"/>
          <w:szCs w:val="32"/>
        </w:rPr>
      </w:pPr>
      <w:r>
        <w:rPr>
          <w:rFonts w:ascii="仿宋_GB2312" w:eastAsia="仿宋_GB2312"/>
          <w:b w:val="0"/>
          <w:sz w:val="32"/>
          <w:szCs w:val="32"/>
        </w:rPr>
        <w:t>截至2024年12月31日，房屋945.44平方米，价值100.26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b w:val="0"/>
          <w:sz w:val="32"/>
          <w:szCs w:val="32"/>
          <w:lang w:val="en-US" w:eastAsia="zh-CN"/>
        </w:rPr>
        <w:t>本单位无其他车辆</w:t>
      </w:r>
      <w:r>
        <w:rPr>
          <w:rFonts w:hint="eastAsia" w:ascii="仿宋_GB2312" w:eastAsia="仿宋_GB2312"/>
          <w:b w:val="0"/>
          <w:sz w:val="32"/>
          <w:szCs w:val="32"/>
          <w:lang w:eastAsia="zh-CN"/>
        </w:rPr>
        <w:t>；</w:t>
      </w:r>
      <w:r>
        <w:rPr>
          <w:rFonts w:ascii="仿宋_GB2312" w:eastAsia="仿宋_GB2312"/>
          <w:b w:val="0"/>
          <w:sz w:val="32"/>
          <w:szCs w:val="32"/>
        </w:rPr>
        <w:t>单价100万元（含）以上设备（不含车辆）0台（套）。</w:t>
      </w:r>
    </w:p>
    <w:p w14:paraId="0FEA9EF8">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0DB416F6">
      <w:pPr>
        <w:keepNext w:val="0"/>
        <w:keepLines w:val="0"/>
        <w:pageBreakBefore w:val="0"/>
        <w:kinsoku/>
        <w:wordWrap/>
        <w:overflowPunct/>
        <w:topLinePunct w:val="0"/>
        <w:autoSpaceDE/>
        <w:autoSpaceDN/>
        <w:bidi w:val="0"/>
        <w:adjustRightInd/>
        <w:spacing w:line="560" w:lineRule="exact"/>
        <w:ind w:firstLine="640" w:firstLineChars="200"/>
        <w:rPr>
          <w:rFonts w:hint="eastAsia" w:ascii="仿宋_GB2312" w:eastAsia="仿宋_GB2312"/>
          <w:b w:val="0"/>
          <w:sz w:val="32"/>
          <w:szCs w:val="32"/>
          <w:lang w:eastAsia="zh-CN"/>
        </w:rPr>
      </w:pPr>
      <w:r>
        <w:rPr>
          <w:rFonts w:ascii="仿宋_GB2312" w:eastAsia="仿宋_GB2312"/>
          <w:b w:val="0"/>
          <w:sz w:val="32"/>
          <w:szCs w:val="32"/>
        </w:rPr>
        <w:t>根据预算绩效管理要求，本单位2024年度预算绩效评价项目</w:t>
      </w:r>
      <w:r>
        <w:rPr>
          <w:rFonts w:hint="eastAsia" w:ascii="仿宋_GB2312" w:eastAsia="仿宋_GB2312"/>
          <w:b w:val="0"/>
          <w:sz w:val="32"/>
          <w:szCs w:val="32"/>
          <w:lang w:val="en-US" w:eastAsia="zh-CN"/>
        </w:rPr>
        <w:t>1</w:t>
      </w:r>
      <w:r>
        <w:rPr>
          <w:rFonts w:ascii="仿宋_GB2312" w:eastAsia="仿宋_GB2312"/>
          <w:b w:val="0"/>
          <w:sz w:val="32"/>
          <w:szCs w:val="32"/>
        </w:rPr>
        <w:t>个，全年预算数</w:t>
      </w:r>
      <w:r>
        <w:rPr>
          <w:rFonts w:hint="eastAsia" w:ascii="仿宋_GB2312" w:eastAsia="仿宋_GB2312"/>
          <w:b w:val="0"/>
          <w:sz w:val="32"/>
          <w:szCs w:val="32"/>
          <w:lang w:val="en-US" w:eastAsia="zh-CN"/>
        </w:rPr>
        <w:t>63.00</w:t>
      </w:r>
      <w:r>
        <w:rPr>
          <w:rFonts w:ascii="仿宋_GB2312" w:eastAsia="仿宋_GB2312"/>
          <w:b w:val="0"/>
          <w:sz w:val="32"/>
          <w:szCs w:val="32"/>
        </w:rPr>
        <w:t>万元，全年执行数</w:t>
      </w:r>
      <w:r>
        <w:rPr>
          <w:rFonts w:hint="eastAsia" w:ascii="仿宋_GB2312" w:eastAsia="仿宋_GB2312"/>
          <w:b w:val="0"/>
          <w:sz w:val="32"/>
          <w:szCs w:val="32"/>
          <w:lang w:val="en-US" w:eastAsia="zh-CN"/>
        </w:rPr>
        <w:t>63.00</w:t>
      </w:r>
      <w:r>
        <w:rPr>
          <w:rFonts w:ascii="仿宋_GB2312" w:eastAsia="仿宋_GB2312"/>
          <w:b w:val="0"/>
          <w:sz w:val="32"/>
          <w:szCs w:val="32"/>
        </w:rPr>
        <w:t>万元。</w:t>
      </w:r>
      <w:r>
        <w:rPr>
          <w:rFonts w:hint="eastAsia" w:ascii="仿宋_GB2312" w:eastAsia="仿宋_GB2312"/>
          <w:b w:val="0"/>
          <w:sz w:val="32"/>
          <w:szCs w:val="32"/>
          <w:lang w:eastAsia="zh-CN"/>
        </w:rPr>
        <w:t>预算绩效管理取得的成</w:t>
      </w:r>
      <w:r>
        <w:rPr>
          <w:rFonts w:hint="eastAsia" w:ascii="仿宋_GB2312" w:eastAsia="仿宋_GB2312"/>
          <w:b w:val="0"/>
          <w:sz w:val="32"/>
          <w:szCs w:val="32"/>
          <w:highlight w:val="none"/>
          <w:lang w:eastAsia="zh-CN"/>
        </w:rPr>
        <w:t>效：一是项目支出绩效目标管理工作严格依照《自治区本级部门预算绩效目标管理暂行办法》执行，实现年初设定明确目标并随预算一同公开，年末开展自我评估。项目实施进展良好，资金效益显著。二是</w:t>
      </w:r>
      <w:r>
        <w:rPr>
          <w:rFonts w:hint="eastAsia" w:ascii="仿宋_GB2312" w:eastAsia="仿宋_GB2312"/>
          <w:b w:val="0"/>
          <w:sz w:val="32"/>
          <w:szCs w:val="32"/>
          <w:highlight w:val="none"/>
          <w:lang w:val="en-US" w:eastAsia="zh-CN"/>
        </w:rPr>
        <w:t>2024年预算管理的各项支出均严格遵循预算目标执行。人员基本支出按照国家规定的工资标准发放，公用经费主要用于各类日常办公事务。项目支出严格按照年初制定的项目绩效目标进行执行与管理，全面保障了我单位各项业务工作的正常有序开展，顺利达成年初制定的目标任务。</w:t>
      </w:r>
      <w:r>
        <w:rPr>
          <w:rFonts w:hint="eastAsia" w:ascii="仿宋_GB2312" w:eastAsia="仿宋_GB2312"/>
          <w:b w:val="0"/>
          <w:sz w:val="32"/>
          <w:szCs w:val="32"/>
          <w:lang w:eastAsia="zh-CN"/>
        </w:rPr>
        <w:t xml:space="preserve">发现的问题及原因：一是对实施预算绩效管理的研究不够深入，思想观念有待进一步转变，对预算绩效管理重要性的认识需要持续强化。二是绩效管理的广度和深度不足，对实施绩效管理的责任、程序、标准及相关要求尚未完全掌握，对预算绩效管理业务知识的掌握程度需进一步提升，绩效管理能力水平有待进一步提高。下一步改进措施：一是加强绩效管理组织领导。持续加大对实施预算绩效管理工作的领导力度，健全预算绩效管理制度，强化预算管理的监督问责和工作考核，明确绩效管理的责任约束，切实做到“花钱必问效、无效必问责”。二是完善绩效管理制度建设。进一步健全和完善绩效管理制度，整合相关内设机构职责，明确预算绩效管理主体，建立预算管理长效机制。将绩效管理关口前移，建立并落实重大政策和项目事前绩效评估机制，更加突出绩效导向。三是强化预算绩效管理工作。结合巩固拓展脱贫攻坚成果同乡村振兴有效衔接工作的实际情况，逐项细化、量化绩效目标，对预算执行全过程进行跟踪问效，确保资金专款专用，充分发挥资金使用效益。对绩效目标实现程度和预算执行进度实行“双监控”，及时调整预算执行过程中的偏差，避免出现资金沉淀和损失浪费的情况，及时纠正项目实施中存在的问题，堵塞管理漏洞，确保财政资金使用安全高效，确保绩效目标保质保量实现。具体附项目支出绩效自评表。 </w:t>
      </w:r>
    </w:p>
    <w:p w14:paraId="55C20C82">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6F3B264B">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hint="default" w:ascii="仿宋_GB2312" w:eastAsia="仿宋_GB2312"/>
          <w:sz w:val="32"/>
          <w:szCs w:val="32"/>
          <w:lang w:val="en-US" w:eastAsia="zh-CN"/>
        </w:rPr>
      </w:pPr>
      <w:r>
        <w:rPr>
          <w:rFonts w:ascii="仿宋_GB2312" w:eastAsia="仿宋_GB2312"/>
          <w:b w:val="0"/>
          <w:sz w:val="32"/>
          <w:szCs w:val="32"/>
        </w:rPr>
        <w:t>本单位无</w:t>
      </w:r>
      <w:r>
        <w:rPr>
          <w:rFonts w:hint="eastAsia" w:ascii="仿宋_GB2312" w:eastAsia="仿宋_GB2312"/>
          <w:b w:val="0"/>
          <w:sz w:val="32"/>
          <w:szCs w:val="32"/>
          <w:lang w:val="en-US" w:eastAsia="zh-CN"/>
        </w:rPr>
        <w:t>政府采购支出，所以没有授予中小微企业的合同。</w:t>
      </w:r>
    </w:p>
    <w:p w14:paraId="3B966715">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rPr>
          <w:rFonts w:ascii="仿宋_GB2312" w:eastAsia="仿宋_GB2312"/>
          <w:sz w:val="32"/>
          <w:szCs w:val="32"/>
        </w:rPr>
      </w:pPr>
    </w:p>
    <w:p w14:paraId="60CEF999">
      <w:pPr>
        <w:keepNext w:val="0"/>
        <w:keepLines w:val="0"/>
        <w:pageBreakBefore w:val="0"/>
        <w:widowControl/>
        <w:kinsoku/>
        <w:wordWrap/>
        <w:overflowPunct/>
        <w:topLinePunct w:val="0"/>
        <w:autoSpaceDE/>
        <w:autoSpaceDN/>
        <w:bidi w:val="0"/>
        <w:adjustRightInd/>
        <w:spacing w:line="560" w:lineRule="exact"/>
        <w:jc w:val="center"/>
        <w:rPr>
          <w:rFonts w:ascii="黑体" w:eastAsia="黑体"/>
          <w:sz w:val="32"/>
          <w:szCs w:val="32"/>
        </w:rPr>
      </w:pPr>
      <w:r>
        <w:rPr>
          <w:b w:val="0"/>
          <w:sz w:val="0"/>
          <w:szCs w:val="0"/>
        </w:rPr>
        <w:br w:type="page"/>
      </w:r>
      <w:r>
        <w:rPr>
          <w:rFonts w:ascii="黑体" w:eastAsia="黑体"/>
          <w:b w:val="0"/>
          <w:sz w:val="32"/>
          <w:szCs w:val="32"/>
        </w:rPr>
        <w:t>第三部分专业名词解释</w:t>
      </w:r>
    </w:p>
    <w:p w14:paraId="23D0CFCB">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424CAE96">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77D383B2">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4410FF2A">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0329F850">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4788146D">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461FBDE1">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470DF936">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6B6FF4F">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1A5C9155">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5327174B">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4319E715">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423231B5">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A39B2C7">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251D7FAB">
      <w:pPr>
        <w:keepNext w:val="0"/>
        <w:keepLines w:val="0"/>
        <w:pageBreakBefore w:val="0"/>
        <w:widowControl/>
        <w:kinsoku/>
        <w:wordWrap/>
        <w:overflowPunct/>
        <w:topLinePunct w:val="0"/>
        <w:autoSpaceDE/>
        <w:autoSpaceDN/>
        <w:bidi w:val="0"/>
        <w:adjustRightInd/>
        <w:spacing w:line="560" w:lineRule="exact"/>
        <w:jc w:val="center"/>
        <w:rPr>
          <w:rFonts w:ascii="黑体" w:eastAsia="黑体"/>
          <w:sz w:val="32"/>
          <w:szCs w:val="32"/>
        </w:rPr>
      </w:pPr>
      <w:r>
        <w:rPr>
          <w:b w:val="0"/>
          <w:sz w:val="0"/>
          <w:szCs w:val="0"/>
        </w:rPr>
        <w:br w:type="page"/>
      </w:r>
      <w:r>
        <w:rPr>
          <w:rFonts w:ascii="黑体" w:eastAsia="黑体"/>
          <w:b w:val="0"/>
          <w:sz w:val="32"/>
          <w:szCs w:val="32"/>
        </w:rPr>
        <w:t>第四部分部门决算报表（见附表）</w:t>
      </w:r>
    </w:p>
    <w:p w14:paraId="2F77F48B">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1C1D6CC7">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6AC58A26">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11A31190">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0A696B7C">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2F23EAC4">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4733180E">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333B3437">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7826AB51">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footerReference r:id="rId3" w:type="default"/>
      <w:pgSz w:w="12240" w:h="15840"/>
      <w:pgMar w:top="2098" w:right="1587" w:bottom="1814" w:left="1587" w:header="720" w:footer="1191" w:gutter="0"/>
      <w:pgNumType w:fmt="decimal"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F4462">
    <w:pPr>
      <w:pStyle w:val="3"/>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63869153">
                <w:pPr>
                  <w:pStyle w:val="3"/>
                </w:pPr>
                <w:r>
                  <w:rPr>
                    <w:sz w:val="28"/>
                    <w:szCs w:val="40"/>
                  </w:rPr>
                  <w:t xml:space="preserve">— </w:t>
                </w:r>
                <w:r>
                  <w:rPr>
                    <w:sz w:val="28"/>
                    <w:szCs w:val="40"/>
                  </w:rPr>
                  <w:fldChar w:fldCharType="begin"/>
                </w:r>
                <w:r>
                  <w:rPr>
                    <w:sz w:val="28"/>
                    <w:szCs w:val="40"/>
                  </w:rPr>
                  <w:instrText xml:space="preserve"> PAGE  \* MERGEFORMAT </w:instrText>
                </w:r>
                <w:r>
                  <w:rPr>
                    <w:sz w:val="28"/>
                    <w:szCs w:val="40"/>
                  </w:rPr>
                  <w:fldChar w:fldCharType="separate"/>
                </w:r>
                <w:r>
                  <w:rPr>
                    <w:sz w:val="28"/>
                    <w:szCs w:val="40"/>
                  </w:rPr>
                  <w:t>2</w:t>
                </w:r>
                <w:r>
                  <w:rPr>
                    <w:sz w:val="28"/>
                    <w:szCs w:val="40"/>
                  </w:rPr>
                  <w:fldChar w:fldCharType="end"/>
                </w:r>
                <w:r>
                  <w:rPr>
                    <w:sz w:val="28"/>
                    <w:szCs w:val="40"/>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isplayHorizontalDrawingGridEvery w:val="1"/>
  <w:displayVerticalDrawingGridEvery w:val="1"/>
  <w:noPunctuationKerning w:val="1"/>
  <w:hdrShapeDefaults>
    <o:shapelayout v:ext="edit">
      <o:idmap v:ext="edit" data="3,4"/>
    </o:shapelayout>
  </w:hdrShapeDefaults>
  <w:compat>
    <w:doNotExpandShiftReturn/>
    <w:doNotWrapTextWithPunct/>
    <w:doNotUseEastAsianBreakRules/>
    <w:useFELayout/>
    <w:doNotUseIndentAsNumberingTabStop/>
    <w:useAltKinsokuLineBreakRules/>
    <w:splitPgBreakAndParaMark/>
    <w:compatSetting w:name="compatibilityMode" w:uri="http://schemas.microsoft.com/office/word" w:val="12"/>
  </w:compat>
  <w:rsids>
    <w:rsidRoot w:val="00000000"/>
    <w:rsid w:val="022729F2"/>
    <w:rsid w:val="03D473C3"/>
    <w:rsid w:val="04BA376F"/>
    <w:rsid w:val="0786405B"/>
    <w:rsid w:val="117E6B16"/>
    <w:rsid w:val="130F1FE4"/>
    <w:rsid w:val="17CF1204"/>
    <w:rsid w:val="27B5797B"/>
    <w:rsid w:val="2C8E59C0"/>
    <w:rsid w:val="374A30C0"/>
    <w:rsid w:val="374A439A"/>
    <w:rsid w:val="3D6248E4"/>
    <w:rsid w:val="48057381"/>
    <w:rsid w:val="4CB02114"/>
    <w:rsid w:val="51E93340"/>
    <w:rsid w:val="52133A51"/>
    <w:rsid w:val="52EC30EB"/>
    <w:rsid w:val="596151C2"/>
    <w:rsid w:val="5AD6415F"/>
    <w:rsid w:val="6AAD025A"/>
    <w:rsid w:val="71E92D62"/>
    <w:rsid w:val="74310746"/>
    <w:rsid w:val="7442380D"/>
    <w:rsid w:val="74934EEE"/>
    <w:rsid w:val="7D6C55D2"/>
    <w:rsid w:val="7FEC616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sz w:val="21"/>
      <w:szCs w:val="22"/>
    </w:rPr>
  </w:style>
  <w:style w:type="paragraph" w:styleId="2">
    <w:name w:val="heading 3"/>
    <w:basedOn w:val="1"/>
    <w:next w:val="1"/>
    <w:qFormat/>
    <w:uiPriority w:val="9"/>
    <w:pPr>
      <w:spacing w:line="365" w:lineRule="atLeast"/>
      <w:ind w:left="1"/>
      <w:textAlignment w:val="bottom"/>
      <w:outlineLvl w:val="2"/>
    </w:pPr>
    <w:rPr>
      <w:rFonts w:eastAsia="黑体"/>
      <w:kern w:val="0"/>
    </w:rPr>
  </w:style>
  <w:style w:type="character" w:default="1" w:styleId="6">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Strong"/>
    <w:basedOn w:val="6"/>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5611</Words>
  <Characters>6191</Characters>
  <TotalTime>3</TotalTime>
  <ScaleCrop>false</ScaleCrop>
  <LinksUpToDate>false</LinksUpToDate>
  <CharactersWithSpaces>6194</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2025-08-11T09:28:00Z</dcterms:created>
  <dc:creator>dell</dc:creator>
  <cp:lastModifiedBy>马振国  18129438682</cp:lastModifiedBy>
  <dcterms:modified xsi:type="dcterms:W3CDTF">2025-08-29T03:09:13Z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eyJoZGlkIjoiYWJmNTAxYTA0NTllZTU0OWY5NWY0MWNlMzBjNGU2OTYiLCJ1c2VySWQiOiI3NDY1ODU0ODQifQ==</vt:lpwstr>
  </property>
  <property fmtid="{D5CDD505-2E9C-101B-9397-08002B2CF9AE}" pid="4" name="ICV">
    <vt:lpwstr>3E12098DDFB74A3396CE6F028563D1D9_12</vt:lpwstr>
  </property>
</Properties>
</file>