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24FE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32"/>
          <w:szCs w:val="32"/>
        </w:rPr>
      </w:pPr>
    </w:p>
    <w:p w14:paraId="55F3014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44"/>
          <w:szCs w:val="44"/>
        </w:rPr>
      </w:pPr>
    </w:p>
    <w:p w14:paraId="434B45D2">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44"/>
          <w:szCs w:val="44"/>
        </w:rPr>
      </w:pPr>
    </w:p>
    <w:p w14:paraId="1F4734F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宋体" w:eastAsia="宋体"/>
          <w:sz w:val="44"/>
          <w:szCs w:val="44"/>
        </w:rPr>
      </w:pPr>
    </w:p>
    <w:p w14:paraId="7AE2E0D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outlineLvl w:val="0"/>
        <w:rPr>
          <w:rFonts w:ascii="宋体" w:eastAsia="黑体"/>
          <w:sz w:val="44"/>
          <w:szCs w:val="44"/>
        </w:rPr>
      </w:pPr>
      <w:r>
        <w:rPr>
          <w:rFonts w:ascii="宋体" w:eastAsia="黑体"/>
          <w:b w:val="0"/>
          <w:sz w:val="44"/>
          <w:szCs w:val="44"/>
        </w:rPr>
        <w:t>新疆维吾尔自治区乡村振兴局数据管理中心</w:t>
      </w:r>
    </w:p>
    <w:p w14:paraId="388EB7F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outlineLvl w:val="0"/>
        <w:rPr>
          <w:rFonts w:ascii="黑体" w:eastAsia="黑体"/>
          <w:sz w:val="44"/>
          <w:szCs w:val="44"/>
        </w:rPr>
      </w:pPr>
      <w:r>
        <w:rPr>
          <w:rFonts w:ascii="黑体" w:eastAsia="黑体"/>
          <w:b w:val="0"/>
          <w:sz w:val="44"/>
          <w:szCs w:val="44"/>
        </w:rPr>
        <w:t>2024年度部门决算公开说明</w:t>
      </w:r>
    </w:p>
    <w:p w14:paraId="366BE386">
      <w:pPr>
        <w:keepNext w:val="0"/>
        <w:keepLines w:val="0"/>
        <w:pageBreakBefore w:val="0"/>
        <w:widowControl/>
        <w:kinsoku/>
        <w:wordWrap/>
        <w:overflowPunct/>
        <w:topLinePunct w:val="0"/>
        <w:autoSpaceDE/>
        <w:autoSpaceDN/>
        <w:bidi w:val="0"/>
        <w:adjustRightInd/>
        <w:spacing w:line="560" w:lineRule="exact"/>
        <w:jc w:val="center"/>
        <w:rPr>
          <w:rFonts w:ascii="黑体" w:eastAsia="黑体"/>
          <w:b/>
          <w:sz w:val="32"/>
          <w:szCs w:val="32"/>
        </w:rPr>
        <w:sectPr>
          <w:pgSz w:w="12240" w:h="15840"/>
          <w:pgMar w:top="1440" w:right="1800" w:bottom="1440" w:left="1800" w:header="720" w:footer="720" w:gutter="0"/>
          <w:cols w:space="720" w:num="1"/>
        </w:sectPr>
      </w:pPr>
    </w:p>
    <w:p w14:paraId="52B7DBCF">
      <w:pPr>
        <w:keepNext w:val="0"/>
        <w:keepLines w:val="0"/>
        <w:pageBreakBefore w:val="0"/>
        <w:widowControl/>
        <w:kinsoku/>
        <w:wordWrap/>
        <w:overflowPunct/>
        <w:topLinePunct w:val="0"/>
        <w:autoSpaceDE/>
        <w:autoSpaceDN/>
        <w:bidi w:val="0"/>
        <w:adjustRightInd/>
        <w:spacing w:line="560" w:lineRule="exact"/>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14:paraId="48E11CD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b/>
          <w:sz w:val="32"/>
          <w:szCs w:val="32"/>
        </w:rPr>
      </w:pPr>
    </w:p>
    <w:p w14:paraId="1E15C94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第一部分单位概况</w:t>
      </w:r>
    </w:p>
    <w:p w14:paraId="7046B04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一、主要职能</w:t>
      </w:r>
    </w:p>
    <w:p w14:paraId="4D4622D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二、机构设置及人员情况</w:t>
      </w:r>
    </w:p>
    <w:p w14:paraId="6DBB295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第二部分部门决算情况说明</w:t>
      </w:r>
    </w:p>
    <w:p w14:paraId="5DF155A3">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一、收入支出决算总体情况说明</w:t>
      </w:r>
    </w:p>
    <w:p w14:paraId="0AFDFCD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二、收入决算情况说明</w:t>
      </w:r>
    </w:p>
    <w:p w14:paraId="6B91262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三、支出决算情况说明</w:t>
      </w:r>
    </w:p>
    <w:p w14:paraId="2365EBC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四、财政拨款收入支出决算总体情况说明</w:t>
      </w:r>
    </w:p>
    <w:p w14:paraId="120BE43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15EA856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C8D3B3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475D359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4C9B9E1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2C401920">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210BA7E0">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7A25405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九、财政拨款“三公”经费支出决算情况说明</w:t>
      </w:r>
    </w:p>
    <w:p w14:paraId="28AD821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十、其他重要事项的情况说明</w:t>
      </w:r>
    </w:p>
    <w:p w14:paraId="11A5A4E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（一）机关运行经费及公用经费支出情况</w:t>
      </w:r>
    </w:p>
    <w:p w14:paraId="54B54E6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（二）政府采购情况</w:t>
      </w:r>
    </w:p>
    <w:p w14:paraId="58A45216">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（三）国有资产占用情况说明</w:t>
      </w:r>
    </w:p>
    <w:p w14:paraId="7A99ED5E">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十一、预算绩效的情况说明</w:t>
      </w:r>
    </w:p>
    <w:p w14:paraId="7F2F082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十二、其他需说明的事项</w:t>
      </w:r>
    </w:p>
    <w:p w14:paraId="3FF0438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第三部分专业名词解释</w:t>
      </w:r>
    </w:p>
    <w:p w14:paraId="1AEF418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sz w:val="32"/>
          <w:szCs w:val="32"/>
        </w:rPr>
        <w:t>第四部分部门决算报表（见附表）</w:t>
      </w:r>
    </w:p>
    <w:p w14:paraId="59393460">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一、《收入支出决算总表》</w:t>
      </w:r>
    </w:p>
    <w:p w14:paraId="7FFB9F2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二、《收入决算表》</w:t>
      </w:r>
    </w:p>
    <w:p w14:paraId="7104F8B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三、《支出决算表》</w:t>
      </w:r>
    </w:p>
    <w:p w14:paraId="005C65E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四、《财政拨款收入支出决算总表》</w:t>
      </w:r>
    </w:p>
    <w:p w14:paraId="171C073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五、《一般公共预算财政拨款支出决算表》</w:t>
      </w:r>
    </w:p>
    <w:p w14:paraId="282014C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六、《一般公共预算财政拨款基本支出决算表》</w:t>
      </w:r>
    </w:p>
    <w:p w14:paraId="1CC6FA1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3DDB9F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1A111B8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rPr>
          <w:rFonts w:ascii="仿宋_GB2312" w:eastAsia="仿宋_GB2312"/>
          <w:sz w:val="32"/>
          <w:szCs w:val="32"/>
        </w:rPr>
      </w:pPr>
      <w:r>
        <w:rPr>
          <w:rFonts w:ascii="仿宋_GB2312" w:eastAsia="仿宋_GB2312"/>
          <w:b w:val="0"/>
          <w:sz w:val="32"/>
          <w:szCs w:val="32"/>
        </w:rPr>
        <w:t>九、《财政拨款“三公”经费支出决算表》</w:t>
      </w:r>
    </w:p>
    <w:p w14:paraId="04CF90C4">
      <w:pPr>
        <w:keepNext w:val="0"/>
        <w:keepLines w:val="0"/>
        <w:pageBreakBefore w:val="0"/>
        <w:widowControl/>
        <w:kinsoku/>
        <w:wordWrap/>
        <w:overflowPunct/>
        <w:topLinePunct w:val="0"/>
        <w:autoSpaceDE/>
        <w:autoSpaceDN/>
        <w:bidi w:val="0"/>
        <w:adjustRightInd/>
        <w:spacing w:line="560" w:lineRule="exact"/>
      </w:pPr>
    </w:p>
    <w:p w14:paraId="3DB2077C">
      <w:pPr>
        <w:keepNext w:val="0"/>
        <w:keepLines w:val="0"/>
        <w:pageBreakBefore w:val="0"/>
        <w:widowControl/>
        <w:kinsoku/>
        <w:wordWrap/>
        <w:overflowPunct/>
        <w:topLinePunct w:val="0"/>
        <w:autoSpaceDE/>
        <w:autoSpaceDN/>
        <w:bidi w:val="0"/>
        <w:adjustRightInd/>
        <w:spacing w:line="560" w:lineRule="exact"/>
      </w:pPr>
    </w:p>
    <w:p w14:paraId="76330214">
      <w:pPr>
        <w:keepNext w:val="0"/>
        <w:keepLines w:val="0"/>
        <w:pageBreakBefore w:val="0"/>
        <w:widowControl/>
        <w:kinsoku/>
        <w:wordWrap/>
        <w:overflowPunct/>
        <w:topLinePunct w:val="0"/>
        <w:autoSpaceDE/>
        <w:autoSpaceDN/>
        <w:bidi w:val="0"/>
        <w:adjustRightInd/>
        <w:spacing w:line="560" w:lineRule="exact"/>
      </w:pPr>
    </w:p>
    <w:p w14:paraId="49ECC136">
      <w:pPr>
        <w:keepNext w:val="0"/>
        <w:keepLines w:val="0"/>
        <w:pageBreakBefore w:val="0"/>
        <w:widowControl/>
        <w:kinsoku/>
        <w:wordWrap/>
        <w:overflowPunct/>
        <w:topLinePunct w:val="0"/>
        <w:autoSpaceDE/>
        <w:autoSpaceDN/>
        <w:bidi w:val="0"/>
        <w:adjustRightInd/>
        <w:spacing w:line="560" w:lineRule="exact"/>
      </w:pPr>
    </w:p>
    <w:p w14:paraId="3CD81125">
      <w:pPr>
        <w:keepNext w:val="0"/>
        <w:keepLines w:val="0"/>
        <w:pageBreakBefore w:val="0"/>
        <w:widowControl/>
        <w:kinsoku/>
        <w:wordWrap/>
        <w:overflowPunct/>
        <w:topLinePunct w:val="0"/>
        <w:autoSpaceDE/>
        <w:autoSpaceDN/>
        <w:bidi w:val="0"/>
        <w:adjustRightInd/>
        <w:spacing w:line="560" w:lineRule="exact"/>
      </w:pPr>
    </w:p>
    <w:p w14:paraId="2D3D0DA0">
      <w:pPr>
        <w:keepNext w:val="0"/>
        <w:keepLines w:val="0"/>
        <w:pageBreakBefore w:val="0"/>
        <w:widowControl/>
        <w:kinsoku/>
        <w:wordWrap/>
        <w:overflowPunct/>
        <w:topLinePunct w:val="0"/>
        <w:autoSpaceDE/>
        <w:autoSpaceDN/>
        <w:bidi w:val="0"/>
        <w:adjustRightInd/>
        <w:spacing w:line="560" w:lineRule="exact"/>
      </w:pPr>
    </w:p>
    <w:p w14:paraId="273A51EE">
      <w:pPr>
        <w:keepNext w:val="0"/>
        <w:keepLines w:val="0"/>
        <w:pageBreakBefore w:val="0"/>
        <w:widowControl/>
        <w:kinsoku/>
        <w:wordWrap/>
        <w:overflowPunct/>
        <w:topLinePunct w:val="0"/>
        <w:autoSpaceDE/>
        <w:autoSpaceDN/>
        <w:bidi w:val="0"/>
        <w:adjustRightInd/>
        <w:spacing w:line="560" w:lineRule="exact"/>
      </w:pPr>
    </w:p>
    <w:p w14:paraId="7B3E3D7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outlineLvl w:val="0"/>
        <w:rPr>
          <w:rFonts w:ascii="黑体" w:eastAsia="黑体"/>
          <w:sz w:val="32"/>
          <w:szCs w:val="32"/>
        </w:rPr>
      </w:pPr>
      <w:r>
        <w:rPr>
          <w:rFonts w:ascii="黑体" w:eastAsia="黑体"/>
          <w:b w:val="0"/>
          <w:sz w:val="32"/>
          <w:szCs w:val="32"/>
        </w:rPr>
        <w:t>第一部分单位概况</w:t>
      </w:r>
    </w:p>
    <w:p w14:paraId="709D4B6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sz w:val="32"/>
          <w:szCs w:val="32"/>
        </w:rPr>
      </w:pPr>
      <w:r>
        <w:rPr>
          <w:rFonts w:ascii="黑体" w:eastAsia="黑体"/>
          <w:b w:val="0"/>
          <w:sz w:val="32"/>
          <w:szCs w:val="32"/>
        </w:rPr>
        <w:t>一、主要职能</w:t>
      </w:r>
    </w:p>
    <w:p w14:paraId="18C90665">
      <w:pPr>
        <w:keepNext w:val="0"/>
        <w:keepLines w:val="0"/>
        <w:pageBreakBefore w:val="0"/>
        <w:kinsoku/>
        <w:wordWrap/>
        <w:overflowPunct/>
        <w:topLinePunct w:val="0"/>
        <w:autoSpaceDE/>
        <w:autoSpaceDN/>
        <w:bidi w:val="0"/>
        <w:adjustRightInd/>
        <w:snapToGrid w:val="0"/>
        <w:spacing w:line="560" w:lineRule="exact"/>
        <w:ind w:firstLine="640" w:firstLineChars="200"/>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rPr>
        <w:t>开展数据处理研究，促进科技发展。</w:t>
      </w:r>
      <w:r>
        <w:rPr>
          <w:rFonts w:hint="eastAsia" w:ascii="仿宋_GB2312" w:hAnsi="仿宋" w:eastAsia="仿宋_GB2312"/>
          <w:color w:val="auto"/>
          <w:sz w:val="32"/>
          <w:szCs w:val="32"/>
          <w:lang w:eastAsia="zh-CN"/>
        </w:rPr>
        <w:t>扶</w:t>
      </w:r>
      <w:r>
        <w:rPr>
          <w:rFonts w:hint="eastAsia" w:ascii="仿宋_GB2312" w:hAnsi="仿宋" w:eastAsia="仿宋_GB2312"/>
          <w:color w:val="auto"/>
          <w:sz w:val="32"/>
          <w:szCs w:val="32"/>
        </w:rPr>
        <w:t>贫重点工作动态监测、数据整理、统计分析和评估；</w:t>
      </w:r>
      <w:r>
        <w:rPr>
          <w:rFonts w:hint="eastAsia" w:ascii="仿宋_GB2312" w:hAnsi="仿宋" w:eastAsia="仿宋_GB2312"/>
          <w:color w:val="auto"/>
          <w:sz w:val="32"/>
          <w:szCs w:val="32"/>
          <w:lang w:eastAsia="zh-CN"/>
        </w:rPr>
        <w:t>扶</w:t>
      </w:r>
      <w:r>
        <w:rPr>
          <w:rFonts w:hint="eastAsia" w:ascii="仿宋_GB2312" w:hAnsi="仿宋" w:eastAsia="仿宋_GB2312"/>
          <w:color w:val="auto"/>
          <w:sz w:val="32"/>
          <w:szCs w:val="32"/>
        </w:rPr>
        <w:t>贫资金使用、项目进展和成效评估；</w:t>
      </w:r>
      <w:r>
        <w:rPr>
          <w:rFonts w:hint="eastAsia" w:ascii="仿宋_GB2312" w:hAnsi="仿宋" w:eastAsia="仿宋_GB2312"/>
          <w:color w:val="auto"/>
          <w:sz w:val="32"/>
          <w:szCs w:val="32"/>
          <w:lang w:eastAsia="zh-CN"/>
        </w:rPr>
        <w:t>扶</w:t>
      </w:r>
      <w:r>
        <w:rPr>
          <w:rFonts w:hint="eastAsia" w:ascii="仿宋_GB2312" w:hAnsi="仿宋" w:eastAsia="仿宋_GB2312"/>
          <w:color w:val="auto"/>
          <w:sz w:val="32"/>
          <w:szCs w:val="32"/>
        </w:rPr>
        <w:t>贫信息管理平台、决策系统、基础数据库、电子档案建设；</w:t>
      </w:r>
      <w:r>
        <w:rPr>
          <w:rFonts w:hint="eastAsia" w:ascii="仿宋_GB2312" w:hAnsi="仿宋" w:eastAsia="仿宋_GB2312"/>
          <w:color w:val="auto"/>
          <w:sz w:val="32"/>
          <w:szCs w:val="32"/>
          <w:lang w:eastAsia="zh-CN"/>
        </w:rPr>
        <w:t>扶</w:t>
      </w:r>
      <w:r>
        <w:rPr>
          <w:rFonts w:hint="eastAsia" w:ascii="仿宋_GB2312" w:hAnsi="仿宋" w:eastAsia="仿宋_GB2312"/>
          <w:color w:val="auto"/>
          <w:sz w:val="32"/>
          <w:szCs w:val="32"/>
        </w:rPr>
        <w:t>贫信息化应用及培训。</w:t>
      </w:r>
    </w:p>
    <w:p w14:paraId="28C4990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黑体" w:eastAsia="黑体"/>
          <w:color w:val="auto"/>
          <w:sz w:val="32"/>
          <w:szCs w:val="32"/>
        </w:rPr>
      </w:pPr>
      <w:r>
        <w:rPr>
          <w:rFonts w:ascii="黑体" w:eastAsia="黑体"/>
          <w:b w:val="0"/>
          <w:color w:val="auto"/>
          <w:sz w:val="32"/>
          <w:szCs w:val="32"/>
        </w:rPr>
        <w:t>二、机构设置及人员情况</w:t>
      </w:r>
    </w:p>
    <w:p w14:paraId="401532E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color w:val="auto"/>
          <w:sz w:val="32"/>
          <w:szCs w:val="32"/>
        </w:rPr>
      </w:pPr>
      <w:r>
        <w:rPr>
          <w:rFonts w:ascii="仿宋_GB2312" w:eastAsia="仿宋_GB2312"/>
          <w:b w:val="0"/>
          <w:color w:val="auto"/>
          <w:sz w:val="32"/>
          <w:szCs w:val="32"/>
        </w:rPr>
        <w:t>新疆维吾尔自治区乡村振兴局数据管理中心2024年度，实有人数9人，其中：在职人员9人，较上年无变化；离休人员0人，较上年无变化；退休人员0人，较上年无变化；</w:t>
      </w:r>
    </w:p>
    <w:p w14:paraId="238CC51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both"/>
        <w:rPr>
          <w:rFonts w:ascii="仿宋_GB2312" w:eastAsia="仿宋_GB2312"/>
          <w:color w:val="auto"/>
          <w:sz w:val="32"/>
          <w:szCs w:val="32"/>
        </w:rPr>
      </w:pPr>
      <w:r>
        <w:rPr>
          <w:rFonts w:ascii="仿宋_GB2312" w:eastAsia="仿宋_GB2312"/>
          <w:b w:val="0"/>
          <w:color w:val="auto"/>
          <w:sz w:val="32"/>
          <w:szCs w:val="32"/>
        </w:rPr>
        <w:t>新疆维吾尔自治区乡村振兴局数据管理中心无下属预算单位，下设</w:t>
      </w:r>
      <w:r>
        <w:rPr>
          <w:rFonts w:hint="eastAsia" w:ascii="仿宋_GB2312" w:eastAsia="仿宋_GB2312"/>
          <w:b w:val="0"/>
          <w:color w:val="auto"/>
          <w:sz w:val="32"/>
          <w:szCs w:val="32"/>
          <w:lang w:val="en-US" w:eastAsia="zh-CN"/>
        </w:rPr>
        <w:t>0个处室</w:t>
      </w:r>
      <w:r>
        <w:rPr>
          <w:rFonts w:ascii="仿宋_GB2312" w:eastAsia="仿宋_GB2312"/>
          <w:b w:val="0"/>
          <w:color w:val="auto"/>
          <w:sz w:val="32"/>
          <w:szCs w:val="32"/>
        </w:rPr>
        <w:t>。</w:t>
      </w:r>
    </w:p>
    <w:p w14:paraId="7CACDAB0">
      <w:pPr>
        <w:keepNext w:val="0"/>
        <w:keepLines w:val="0"/>
        <w:pageBreakBefore w:val="0"/>
        <w:widowControl w:val="0"/>
        <w:kinsoku/>
        <w:wordWrap/>
        <w:overflowPunct w:val="0"/>
        <w:topLinePunct/>
        <w:autoSpaceDE/>
        <w:autoSpaceDN/>
        <w:bidi w:val="0"/>
        <w:adjustRightInd/>
        <w:snapToGrid/>
        <w:spacing w:line="560" w:lineRule="exact"/>
        <w:jc w:val="center"/>
        <w:textAlignment w:val="auto"/>
        <w:rPr>
          <w:rFonts w:ascii="黑体" w:eastAsia="黑体"/>
          <w:sz w:val="32"/>
          <w:szCs w:val="32"/>
        </w:rPr>
      </w:pPr>
      <w:r>
        <w:rPr>
          <w:b w:val="0"/>
          <w:color w:val="FF0000"/>
          <w:sz w:val="0"/>
          <w:szCs w:val="0"/>
        </w:rPr>
        <w:br w:type="page"/>
      </w:r>
      <w:r>
        <w:rPr>
          <w:rFonts w:ascii="黑体" w:eastAsia="黑体"/>
          <w:b w:val="0"/>
          <w:sz w:val="32"/>
          <w:szCs w:val="32"/>
        </w:rPr>
        <w:t>第二部分部门决算情况说明</w:t>
      </w:r>
    </w:p>
    <w:p w14:paraId="7BC962B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一、收入支出决算总体情况说明</w:t>
      </w:r>
    </w:p>
    <w:p w14:paraId="65BB4346">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2024年度收入总计494.46万元，其中：本年收入合计491.23万元，使用非财政拨款结余（含专用结余）0.00万元，年初结转和结余3.23万元。</w:t>
      </w:r>
    </w:p>
    <w:p w14:paraId="0A248AB2">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2024年度支出总计494.46万元，其中：本年支出合计491.23万元，结余分配0.00万元，年末结转和结余3.23万元。</w:t>
      </w:r>
    </w:p>
    <w:p w14:paraId="18D9B1EB">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u w:val="none"/>
        </w:rPr>
      </w:pPr>
      <w:r>
        <w:rPr>
          <w:rFonts w:ascii="仿宋_GB2312" w:eastAsia="仿宋_GB2312"/>
          <w:b w:val="0"/>
          <w:sz w:val="32"/>
          <w:szCs w:val="32"/>
        </w:rPr>
        <w:t>收入支出总体与上年相比，增加12.59万元，增长2.61%，主要原因是：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较上年额度增加和人员普调工资</w:t>
      </w:r>
      <w:r>
        <w:rPr>
          <w:rFonts w:ascii="仿宋_GB2312" w:eastAsia="仿宋_GB2312"/>
          <w:b w:val="0"/>
          <w:color w:val="auto"/>
          <w:sz w:val="32"/>
          <w:szCs w:val="32"/>
          <w:u w:val="none"/>
        </w:rPr>
        <w:t>。</w:t>
      </w:r>
    </w:p>
    <w:p w14:paraId="1ED56D88">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二、收入决算情况说明</w:t>
      </w:r>
    </w:p>
    <w:p w14:paraId="2000831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本年收入491.23万元，其中：财政拨款收入491.21万元</w:t>
      </w:r>
      <w:r>
        <w:rPr>
          <w:rFonts w:hint="eastAsia" w:ascii="仿宋_GB2312" w:eastAsia="仿宋_GB2312"/>
          <w:b w:val="0"/>
          <w:sz w:val="32"/>
          <w:szCs w:val="32"/>
          <w:lang w:eastAsia="zh-CN"/>
        </w:rPr>
        <w:t>，</w:t>
      </w:r>
      <w:r>
        <w:rPr>
          <w:rFonts w:ascii="仿宋_GB2312" w:eastAsia="仿宋_GB2312"/>
          <w:b w:val="0"/>
          <w:sz w:val="32"/>
          <w:szCs w:val="32"/>
        </w:rPr>
        <w:t>占100.00%；上级补助收入0.00万元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占0.00%；事业收入0.00万元，占0.00%；经营收入0.00万元</w:t>
      </w:r>
      <w:r>
        <w:rPr>
          <w:rFonts w:hint="eastAsia" w:ascii="仿宋_GB2312" w:eastAsia="仿宋_GB2312"/>
          <w:b w:val="0"/>
          <w:sz w:val="32"/>
          <w:szCs w:val="32"/>
          <w:lang w:eastAsia="zh-CN"/>
        </w:rPr>
        <w:t>，</w:t>
      </w:r>
      <w:r>
        <w:rPr>
          <w:rFonts w:ascii="仿宋_GB2312" w:eastAsia="仿宋_GB2312"/>
          <w:b w:val="0"/>
          <w:sz w:val="32"/>
          <w:szCs w:val="32"/>
        </w:rPr>
        <w:t>占0.00%；附属单位上缴收入0.00万元，占0.00%；其他收入0.02万元，占0.00%。</w:t>
      </w:r>
    </w:p>
    <w:p w14:paraId="78BD44F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三、支出决算情况说明</w:t>
      </w:r>
    </w:p>
    <w:p w14:paraId="1D3C59C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本年支出491.23万元，其中：基本支出491.23万元，占100.00%；项目支出0.00万元，占0.00%；上缴上级支出0.00万元，占0.00%；经营支出0.00万元，占0.00%；对附属单位补助支出0.00万元，占0.00%。</w:t>
      </w:r>
    </w:p>
    <w:p w14:paraId="0CB258AC">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四、财政拨款收入支出决算总体情况说明</w:t>
      </w:r>
    </w:p>
    <w:p w14:paraId="0129CDB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2024年度财政拨款收入总计494.44万元，其中：年初财政拨款结转和结余3.23万元，本年财政拨款收入491.21万元。财政拨款支出总计494.44万元，其中：年末财政拨款结转和结余3.23万元，本年财政拨款支出491.21万元。</w:t>
      </w:r>
    </w:p>
    <w:p w14:paraId="407B23C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u w:val="none"/>
        </w:rPr>
      </w:pPr>
      <w:r>
        <w:rPr>
          <w:rFonts w:ascii="仿宋_GB2312" w:eastAsia="仿宋_GB2312"/>
          <w:b w:val="0"/>
          <w:sz w:val="32"/>
          <w:szCs w:val="32"/>
        </w:rPr>
        <w:t>财政拨款收入支出总体与上年相比，增加12.60万元，增长2.61%，主要原因是：</w:t>
      </w:r>
      <w:r>
        <w:rPr>
          <w:rFonts w:hint="eastAsia" w:ascii="仿宋_GB2312" w:eastAsia="仿宋_GB2312"/>
          <w:b w:val="0"/>
          <w:sz w:val="32"/>
          <w:szCs w:val="32"/>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较上年发放额度增加和人员普调工资</w:t>
      </w:r>
      <w:r>
        <w:rPr>
          <w:rFonts w:ascii="仿宋_GB2312" w:eastAsia="仿宋_GB2312"/>
          <w:b w:val="0"/>
          <w:color w:val="auto"/>
          <w:sz w:val="32"/>
          <w:szCs w:val="32"/>
          <w:u w:val="none"/>
        </w:rPr>
        <w:t>。</w:t>
      </w:r>
      <w:r>
        <w:rPr>
          <w:rFonts w:ascii="仿宋_GB2312" w:eastAsia="仿宋_GB2312"/>
          <w:b w:val="0"/>
          <w:sz w:val="32"/>
          <w:szCs w:val="32"/>
        </w:rPr>
        <w:t>与年初预算相比，年初预算数479.71万元，决算数494.44万元，预决算差异率3.07%，主要原因是：</w:t>
      </w:r>
      <w:r>
        <w:rPr>
          <w:rFonts w:hint="eastAsia" w:ascii="仿宋_GB2312" w:eastAsia="仿宋_GB2312"/>
          <w:b w:val="0"/>
          <w:sz w:val="32"/>
          <w:szCs w:val="32"/>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较上年发放额度增加和人员普调工资</w:t>
      </w:r>
      <w:r>
        <w:rPr>
          <w:rFonts w:ascii="仿宋_GB2312" w:eastAsia="仿宋_GB2312"/>
          <w:b w:val="0"/>
          <w:color w:val="auto"/>
          <w:sz w:val="32"/>
          <w:szCs w:val="32"/>
          <w:u w:val="none"/>
        </w:rPr>
        <w:t>。</w:t>
      </w:r>
    </w:p>
    <w:p w14:paraId="1A4C6CF4">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2C5CC260">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27E81EF0">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2024年度一般公共预算财政拨款支出491.21万元，占本年支出合计的100.00%。与上年相比，增加12.60万元，增长2.63%，主要原因是：</w:t>
      </w:r>
      <w:r>
        <w:rPr>
          <w:rFonts w:hint="eastAsia" w:ascii="仿宋_GB2312" w:eastAsia="仿宋_GB2312"/>
          <w:b w:val="0"/>
          <w:color w:val="auto"/>
          <w:sz w:val="32"/>
          <w:szCs w:val="32"/>
          <w:u w:val="none"/>
          <w:lang w:val="en-US" w:eastAsia="zh-CN"/>
        </w:rPr>
        <w:t>2024年发放2023年度</w:t>
      </w:r>
      <w:r>
        <w:rPr>
          <w:rFonts w:hint="eastAsia" w:ascii="仿宋" w:hAnsi="仿宋" w:eastAsia="仿宋" w:cs="仿宋_GB2312"/>
          <w:color w:val="auto"/>
          <w:spacing w:val="-2"/>
          <w:sz w:val="32"/>
          <w:szCs w:val="32"/>
          <w:u w:val="none"/>
        </w:rPr>
        <w:t>绩效考核奖</w:t>
      </w:r>
      <w:r>
        <w:rPr>
          <w:rFonts w:hint="eastAsia" w:ascii="仿宋" w:hAnsi="仿宋" w:eastAsia="仿宋" w:cs="仿宋_GB2312"/>
          <w:color w:val="auto"/>
          <w:spacing w:val="-2"/>
          <w:sz w:val="32"/>
          <w:szCs w:val="32"/>
          <w:u w:val="none"/>
          <w:lang w:eastAsia="zh-CN"/>
        </w:rPr>
        <w:t>较上年额度增加和人员普调工资</w:t>
      </w:r>
      <w:r>
        <w:rPr>
          <w:rFonts w:ascii="仿宋_GB2312" w:eastAsia="仿宋_GB2312"/>
          <w:b w:val="0"/>
          <w:color w:val="auto"/>
          <w:sz w:val="32"/>
          <w:szCs w:val="32"/>
          <w:u w:val="none"/>
        </w:rPr>
        <w:t>。与</w:t>
      </w:r>
      <w:r>
        <w:rPr>
          <w:rFonts w:ascii="仿宋_GB2312" w:eastAsia="仿宋_GB2312"/>
          <w:b w:val="0"/>
          <w:sz w:val="32"/>
          <w:szCs w:val="32"/>
        </w:rPr>
        <w:t>年初预算相比，年初预算数479.71万元，决算数491.21万元，预决算差异率2.40%，主要原因是：</w:t>
      </w:r>
      <w:r>
        <w:rPr>
          <w:rFonts w:hint="eastAsia" w:ascii="仿宋" w:hAnsi="仿宋" w:eastAsia="仿宋" w:cs="仿宋_GB2312"/>
          <w:color w:val="auto"/>
          <w:spacing w:val="-2"/>
          <w:sz w:val="32"/>
          <w:szCs w:val="32"/>
        </w:rPr>
        <w:t>年中追加绩效考核奖</w:t>
      </w:r>
      <w:r>
        <w:rPr>
          <w:rFonts w:hint="eastAsia" w:ascii="仿宋" w:hAnsi="仿宋" w:eastAsia="仿宋" w:cs="仿宋_GB2312"/>
          <w:color w:val="auto"/>
          <w:spacing w:val="-2"/>
          <w:sz w:val="32"/>
          <w:szCs w:val="32"/>
          <w:lang w:eastAsia="zh-CN"/>
        </w:rPr>
        <w:t>和</w:t>
      </w:r>
      <w:r>
        <w:rPr>
          <w:rFonts w:hint="eastAsia" w:ascii="仿宋" w:hAnsi="仿宋" w:eastAsia="仿宋" w:cs="仿宋_GB2312"/>
          <w:color w:val="auto"/>
          <w:spacing w:val="-2"/>
          <w:sz w:val="32"/>
          <w:szCs w:val="32"/>
          <w:lang w:val="en-US" w:eastAsia="zh-CN"/>
        </w:rPr>
        <w:t>人员增资</w:t>
      </w:r>
      <w:r>
        <w:rPr>
          <w:rFonts w:ascii="仿宋_GB2312" w:eastAsia="仿宋_GB2312"/>
          <w:b w:val="0"/>
          <w:sz w:val="32"/>
          <w:szCs w:val="32"/>
        </w:rPr>
        <w:t>。</w:t>
      </w:r>
    </w:p>
    <w:p w14:paraId="0C85DB7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6BEF124C">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社会保障和就业支出（类）16.94万元，占3.45%。</w:t>
      </w:r>
    </w:p>
    <w:p w14:paraId="7607FA57">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卫生健康支出（类）15.35万元，占3.12%。</w:t>
      </w:r>
    </w:p>
    <w:p w14:paraId="0926B1D2">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农林水支出（类）446.21万元，占90.84%。</w:t>
      </w:r>
    </w:p>
    <w:p w14:paraId="479A929C">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住房保障支出（类）12.71万元，占2.59%。</w:t>
      </w:r>
    </w:p>
    <w:p w14:paraId="0D51012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6172ECD9">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sz w:val="32"/>
          <w:szCs w:val="32"/>
          <w:lang w:eastAsia="zh-CN"/>
        </w:rPr>
      </w:pPr>
      <w:r>
        <w:rPr>
          <w:rFonts w:ascii="仿宋_GB2312" w:eastAsia="仿宋_GB2312"/>
          <w:b w:val="0"/>
          <w:sz w:val="32"/>
          <w:szCs w:val="32"/>
        </w:rPr>
        <w:t>社会保障和就业支出（类）行政事业单位养老支出（款）机关事业单位基本养老保险缴费支出（项）：支出决算数为16.94万元，比上年决算增加1.64万元，增长10.72%，主要原因是：</w:t>
      </w:r>
      <w:r>
        <w:rPr>
          <w:rFonts w:hint="eastAsia" w:ascii="仿宋_GB2312" w:eastAsia="仿宋_GB2312"/>
          <w:b w:val="0"/>
          <w:sz w:val="32"/>
          <w:szCs w:val="32"/>
          <w:lang w:eastAsia="zh-CN"/>
        </w:rPr>
        <w:t>人员增资缴费基数增长，导致支出较上年增加。</w:t>
      </w:r>
    </w:p>
    <w:p w14:paraId="1420B88B">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卫生健康支出（类）行政事业单位医疗（款）事业单位医疗（项）：支出决算数为7.94万元，比上年决算增加0.77万元，增长10.74%，主要原因是：</w:t>
      </w:r>
      <w:r>
        <w:rPr>
          <w:rFonts w:hint="eastAsia" w:ascii="仿宋_GB2312" w:eastAsia="仿宋_GB2312"/>
          <w:b w:val="0"/>
          <w:sz w:val="32"/>
          <w:szCs w:val="32"/>
          <w:lang w:eastAsia="zh-CN"/>
        </w:rPr>
        <w:t>人员增资缴费基数增长，导致支出较上年增加。</w:t>
      </w:r>
    </w:p>
    <w:p w14:paraId="65F87121">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卫生健康支出（类）行政事业单位医疗（款）公务员医疗补助（项）：支出决算数为7.41万元，比上年决算增加0.72万元，增长10.76%，主要原因是：</w:t>
      </w:r>
      <w:r>
        <w:rPr>
          <w:rFonts w:hint="eastAsia" w:ascii="仿宋_GB2312" w:eastAsia="仿宋_GB2312"/>
          <w:b w:val="0"/>
          <w:sz w:val="32"/>
          <w:szCs w:val="32"/>
          <w:lang w:eastAsia="zh-CN"/>
        </w:rPr>
        <w:t>人员增资缴费基数增长，导致支出较上年增加。</w:t>
      </w:r>
    </w:p>
    <w:p w14:paraId="6BF537A9">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color w:val="auto"/>
          <w:sz w:val="32"/>
          <w:szCs w:val="32"/>
          <w:u w:val="none"/>
        </w:rPr>
      </w:pPr>
      <w:r>
        <w:rPr>
          <w:rFonts w:ascii="仿宋_GB2312" w:eastAsia="仿宋_GB2312"/>
          <w:b w:val="0"/>
          <w:sz w:val="32"/>
          <w:szCs w:val="32"/>
        </w:rPr>
        <w:t>农林水支出（类）巩固脱贫攻坚成果衔接乡村振兴（款）事业运行（项）：支出决算数为446.21万元，比上年决算增加320.23万元，增长254.19%，主要原因是：</w:t>
      </w:r>
      <w:r>
        <w:rPr>
          <w:rFonts w:hint="eastAsia" w:ascii="仿宋_GB2312" w:eastAsia="仿宋_GB2312"/>
          <w:b w:val="0"/>
          <w:color w:val="auto"/>
          <w:sz w:val="32"/>
          <w:szCs w:val="32"/>
          <w:lang w:val="en-US" w:eastAsia="zh-CN"/>
        </w:rPr>
        <w:t>信息系统运行与维护费2023年使用2130599（其他巩固脱贫衔接乡村振兴支出）功能科目，2024年调整使用2130550（事业运行）功能科目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w:t>
      </w:r>
      <w:r>
        <w:rPr>
          <w:rFonts w:hint="eastAsia" w:ascii="仿宋_GB2312" w:eastAsia="仿宋_GB2312"/>
          <w:b w:val="0"/>
          <w:color w:val="auto"/>
          <w:sz w:val="32"/>
          <w:szCs w:val="32"/>
          <w:u w:val="none"/>
          <w:lang w:eastAsia="zh-CN"/>
        </w:rPr>
        <w:t>事业运行（项）</w:t>
      </w:r>
      <w:r>
        <w:rPr>
          <w:rFonts w:hint="eastAsia" w:ascii="仿宋_GB2312" w:eastAsia="仿宋_GB2312"/>
          <w:b w:val="0"/>
          <w:color w:val="auto"/>
          <w:sz w:val="32"/>
          <w:szCs w:val="32"/>
          <w:u w:val="none"/>
          <w:lang w:val="en-US" w:eastAsia="zh-CN"/>
        </w:rPr>
        <w:t>决算</w:t>
      </w:r>
      <w:r>
        <w:rPr>
          <w:rFonts w:hint="eastAsia" w:ascii="仿宋_GB2312" w:eastAsia="仿宋_GB2312"/>
          <w:b w:val="0"/>
          <w:color w:val="auto"/>
          <w:sz w:val="32"/>
          <w:szCs w:val="32"/>
          <w:u w:val="none"/>
          <w:lang w:eastAsia="zh-CN"/>
        </w:rPr>
        <w:t>支出</w:t>
      </w:r>
      <w:r>
        <w:rPr>
          <w:rFonts w:hint="eastAsia" w:ascii="仿宋_GB2312" w:eastAsia="仿宋_GB2312"/>
          <w:b w:val="0"/>
          <w:color w:val="auto"/>
          <w:sz w:val="32"/>
          <w:szCs w:val="32"/>
          <w:u w:val="none"/>
          <w:lang w:val="en-US" w:eastAsia="zh-CN"/>
        </w:rPr>
        <w:t>较上年</w:t>
      </w:r>
      <w:r>
        <w:rPr>
          <w:rFonts w:hint="eastAsia" w:ascii="仿宋_GB2312" w:eastAsia="仿宋_GB2312"/>
          <w:b w:val="0"/>
          <w:color w:val="auto"/>
          <w:sz w:val="32"/>
          <w:szCs w:val="32"/>
          <w:u w:val="none"/>
          <w:lang w:eastAsia="zh-CN"/>
        </w:rPr>
        <w:t>增长。</w:t>
      </w:r>
    </w:p>
    <w:p w14:paraId="31B2A3E3">
      <w:pPr>
        <w:pStyle w:val="5"/>
        <w:keepNext w:val="0"/>
        <w:keepLines w:val="0"/>
        <w:pageBreakBefore w:val="0"/>
        <w:widowControl w:val="0"/>
        <w:kinsoku/>
        <w:wordWrap/>
        <w:overflowPunct w:val="0"/>
        <w:topLinePunct/>
        <w:autoSpaceDE/>
        <w:autoSpaceDN/>
        <w:bidi w:val="0"/>
        <w:adjustRightInd/>
        <w:snapToGrid/>
        <w:spacing w:line="560" w:lineRule="exact"/>
        <w:ind w:firstLine="640" w:firstLineChars="200"/>
        <w:jc w:val="both"/>
        <w:textAlignment w:val="auto"/>
        <w:rPr>
          <w:rFonts w:ascii="仿宋_GB2312" w:eastAsia="仿宋_GB2312"/>
          <w:color w:val="auto"/>
          <w:sz w:val="32"/>
          <w:szCs w:val="32"/>
          <w:u w:val="single"/>
        </w:rPr>
      </w:pPr>
      <w:r>
        <w:rPr>
          <w:rFonts w:ascii="仿宋_GB2312" w:eastAsia="仿宋_GB2312"/>
          <w:b w:val="0"/>
          <w:sz w:val="32"/>
          <w:szCs w:val="32"/>
        </w:rPr>
        <w:t>农林水支出（类）巩固脱贫攻坚成果衔接乡村振兴（款）其他巩固脱贫攻坚成果衔接乡村振兴支出（项）：支出决算数为0.00万元，比上年决算减少312.00万元，下降100.00%，</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信息系统运行与维护费2023年使用2130599（其他巩固脱贫衔接乡村振兴支出）功能科目，2024年调整使用2130550（事业运行）功能科目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w:t>
      </w:r>
      <w:r>
        <w:rPr>
          <w:rFonts w:hint="eastAsia" w:ascii="仿宋" w:hAnsi="仿宋" w:eastAsia="仿宋" w:cs="仿宋_GB2312"/>
          <w:color w:val="auto"/>
          <w:spacing w:val="-2"/>
          <w:sz w:val="32"/>
          <w:szCs w:val="32"/>
          <w:u w:val="none"/>
          <w:lang w:val="en-US" w:eastAsia="zh-CN"/>
        </w:rPr>
        <w:t>决算支出较上年减少</w:t>
      </w:r>
      <w:r>
        <w:rPr>
          <w:rFonts w:hint="eastAsia" w:ascii="仿宋" w:hAnsi="仿宋" w:eastAsia="仿宋" w:cs="仿宋_GB2312"/>
          <w:color w:val="auto"/>
          <w:spacing w:val="-2"/>
          <w:sz w:val="32"/>
          <w:szCs w:val="32"/>
          <w:u w:val="none"/>
        </w:rPr>
        <w:t>。</w:t>
      </w:r>
    </w:p>
    <w:p w14:paraId="731A2470">
      <w:pPr>
        <w:keepNext w:val="0"/>
        <w:keepLines w:val="0"/>
        <w:pageBreakBefore w:val="0"/>
        <w:widowControl w:val="0"/>
        <w:numPr>
          <w:ilvl w:val="0"/>
          <w:numId w:val="0"/>
        </w:numPr>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住房保障支出（类）住房改革支出（款）住房公积金（项）：支出决算数为12.71万元，比上年决算增加1.24万元，增长10.81%，主要原因是：</w:t>
      </w:r>
      <w:r>
        <w:rPr>
          <w:rFonts w:hint="eastAsia" w:ascii="仿宋_GB2312" w:eastAsia="仿宋_GB2312"/>
          <w:b w:val="0"/>
          <w:sz w:val="32"/>
          <w:szCs w:val="32"/>
          <w:lang w:eastAsia="zh-CN"/>
        </w:rPr>
        <w:t>人员增资缴费基数增长，导致支出较上年增加。</w:t>
      </w:r>
    </w:p>
    <w:p w14:paraId="426FE41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6B84B65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491.21万元，其中：人员经费169.21万元，包括：基本工资、津贴补贴、奖金、绩效工资、机关事业单位基本养老保险缴费、职工基本医疗保险缴费、公务员医疗补助缴费、其他社会保障缴费和住房公积金。</w:t>
      </w:r>
    </w:p>
    <w:p w14:paraId="2E7EA6C6">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公用经费322.00万元，包括：办公费、水费、电费、邮电费、差旅费、维修（护）费、工会经费、福利费、公务用车运行维护费和办公设备购置。</w:t>
      </w:r>
    </w:p>
    <w:p w14:paraId="0A2C348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04B27A01">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07EFB645">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0F845BD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7C77ABB8">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九、财政拨款“三公”经费支出决算情况说明</w:t>
      </w:r>
    </w:p>
    <w:p w14:paraId="63FC4095">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2024年度财政拨款“三公”经费支出1.43万元，比上年增加1.43万元，增长100%，主要原因是：</w:t>
      </w:r>
      <w:r>
        <w:rPr>
          <w:rFonts w:hint="eastAsia" w:ascii="仿宋" w:hAnsi="仿宋" w:eastAsia="仿宋"/>
          <w:color w:val="auto"/>
          <w:sz w:val="32"/>
          <w:szCs w:val="32"/>
          <w:u w:val="none"/>
          <w:lang w:val="en-US" w:eastAsia="zh-CN"/>
        </w:rPr>
        <w:t>以前年度为便于管理，本单位1辆公务用车由自治区乡村振兴局机关集中统一管理，未纳入本单位管理；2024年因机构改革，上述1辆公务用车划归本单位，相应经费同步纳入本单位核算。</w:t>
      </w:r>
      <w:r>
        <w:rPr>
          <w:rFonts w:ascii="仿宋_GB2312" w:eastAsia="仿宋_GB2312"/>
          <w:b w:val="0"/>
          <w:sz w:val="32"/>
          <w:szCs w:val="32"/>
        </w:rPr>
        <w:t>其中：因公出国（境）费支出0.00万元</w:t>
      </w:r>
      <w:r>
        <w:rPr>
          <w:rFonts w:hint="eastAsia" w:ascii="仿宋_GB2312" w:eastAsia="仿宋_GB2312"/>
          <w:b w:val="0"/>
          <w:sz w:val="32"/>
          <w:szCs w:val="32"/>
          <w:lang w:eastAsia="zh-CN"/>
        </w:rPr>
        <w:t>，</w:t>
      </w:r>
      <w:r>
        <w:rPr>
          <w:rFonts w:ascii="仿宋_GB2312" w:eastAsia="仿宋_GB2312"/>
          <w:b w:val="0"/>
          <w:sz w:val="32"/>
          <w:szCs w:val="32"/>
        </w:rPr>
        <w:t>占0.00%，与上年相比无变化，主要原因是：</w:t>
      </w:r>
      <w:r>
        <w:rPr>
          <w:rFonts w:hint="eastAsia" w:ascii="仿宋_GB2312" w:eastAsia="仿宋_GB2312"/>
          <w:b w:val="0"/>
          <w:sz w:val="32"/>
          <w:szCs w:val="32"/>
          <w:lang w:eastAsia="zh-CN"/>
        </w:rPr>
        <w:t>年初预算未安排因公出国（境）费用支出</w:t>
      </w:r>
      <w:r>
        <w:rPr>
          <w:rFonts w:ascii="仿宋_GB2312" w:eastAsia="仿宋_GB2312"/>
          <w:b w:val="0"/>
          <w:sz w:val="32"/>
          <w:szCs w:val="32"/>
        </w:rPr>
        <w:t>；公务用车购置及运行维护费支出1.43万元，占100.00%，比上年增加1.43万元，增长100%，主要原因是：</w:t>
      </w:r>
      <w:r>
        <w:rPr>
          <w:rFonts w:hint="eastAsia" w:ascii="仿宋" w:hAnsi="仿宋" w:eastAsia="仿宋"/>
          <w:color w:val="auto"/>
          <w:sz w:val="32"/>
          <w:szCs w:val="32"/>
          <w:u w:val="none"/>
          <w:lang w:val="en-US" w:eastAsia="zh-CN"/>
        </w:rPr>
        <w:t>以前年度为便于管理，本单位1辆公务用车由自治区乡村振兴局机关集中统一管理，未纳入本单位管理；2024年因机构改革，上述1辆公务用车划归本单位，相应经费同步纳入本单位核算</w:t>
      </w:r>
      <w:r>
        <w:rPr>
          <w:rFonts w:hint="eastAsia" w:ascii="仿宋_GB2312" w:eastAsia="仿宋_GB2312"/>
          <w:b w:val="0"/>
          <w:color w:val="auto"/>
          <w:sz w:val="32"/>
          <w:szCs w:val="32"/>
          <w:shd w:val="clear" w:color="auto" w:fill="auto"/>
          <w:lang w:eastAsia="zh-CN"/>
        </w:rPr>
        <w:t>。</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年初预算未安排公务接待费用</w:t>
      </w:r>
      <w:r>
        <w:rPr>
          <w:rFonts w:ascii="仿宋_GB2312" w:eastAsia="仿宋_GB2312"/>
          <w:b w:val="0"/>
          <w:sz w:val="32"/>
          <w:szCs w:val="32"/>
        </w:rPr>
        <w:t>。</w:t>
      </w:r>
    </w:p>
    <w:p w14:paraId="1976C77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具体情况如下：</w:t>
      </w:r>
    </w:p>
    <w:p w14:paraId="5EBB491E">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w:t>
      </w:r>
      <w:r>
        <w:rPr>
          <w:rFonts w:ascii="仿宋_GB2312" w:eastAsia="仿宋_GB2312"/>
          <w:b w:val="0"/>
          <w:color w:val="auto"/>
          <w:sz w:val="32"/>
          <w:szCs w:val="32"/>
        </w:rPr>
        <w:t>开支内容包括</w:t>
      </w:r>
      <w:r>
        <w:rPr>
          <w:rFonts w:hint="eastAsia" w:ascii="仿宋_GB2312" w:eastAsia="仿宋_GB2312"/>
          <w:b w:val="0"/>
          <w:color w:val="auto"/>
          <w:sz w:val="32"/>
          <w:szCs w:val="32"/>
          <w:lang w:eastAsia="zh-CN"/>
        </w:rPr>
        <w:t>：</w:t>
      </w:r>
      <w:r>
        <w:rPr>
          <w:rFonts w:hint="eastAsia" w:ascii="仿宋_GB2312" w:eastAsia="仿宋_GB2312"/>
          <w:sz w:val="32"/>
          <w:szCs w:val="32"/>
        </w:rPr>
        <w:t>我单位无因公出国（境）费。</w:t>
      </w:r>
      <w:r>
        <w:rPr>
          <w:rFonts w:ascii="仿宋_GB2312" w:eastAsia="仿宋_GB2312"/>
          <w:b w:val="0"/>
          <w:sz w:val="32"/>
          <w:szCs w:val="32"/>
        </w:rPr>
        <w:t>单位全年安排的因公出国（境）团组0个，因公出国（境）0人次。</w:t>
      </w:r>
    </w:p>
    <w:p w14:paraId="3C6AC4D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color w:val="auto"/>
          <w:sz w:val="32"/>
          <w:szCs w:val="32"/>
          <w:shd w:val="clear" w:color="auto" w:fill="auto"/>
          <w:lang w:eastAsia="zh-CN"/>
        </w:rPr>
      </w:pPr>
      <w:r>
        <w:rPr>
          <w:rFonts w:ascii="仿宋_GB2312" w:eastAsia="仿宋_GB2312"/>
          <w:b w:val="0"/>
          <w:sz w:val="32"/>
          <w:szCs w:val="32"/>
        </w:rPr>
        <w:t>公务用车购置及运行维护费1.43万元，其中：公务用车购置费0.00万元，公务用车运行维护费1.43万元。公务用车运行维护费开支内容包括</w:t>
      </w:r>
      <w:r>
        <w:rPr>
          <w:rFonts w:hint="eastAsia" w:ascii="仿宋_GB2312" w:eastAsia="仿宋_GB2312"/>
          <w:b w:val="0"/>
          <w:sz w:val="32"/>
          <w:szCs w:val="32"/>
          <w:lang w:eastAsia="zh-CN"/>
        </w:rPr>
        <w:t>：</w:t>
      </w:r>
      <w:r>
        <w:rPr>
          <w:rFonts w:hint="eastAsia" w:ascii="仿宋_GB2312" w:eastAsia="仿宋_GB2312"/>
          <w:sz w:val="32"/>
          <w:szCs w:val="32"/>
        </w:rPr>
        <w:t>公务用车燃料费、维修费、过桥过路费、保险费等支出。</w:t>
      </w:r>
      <w:r>
        <w:rPr>
          <w:rFonts w:ascii="仿宋_GB2312" w:eastAsia="仿宋_GB2312"/>
          <w:b w:val="0"/>
          <w:sz w:val="32"/>
          <w:szCs w:val="32"/>
        </w:rPr>
        <w:t>公务用车购置数0辆，公务用车保有量1辆。国有资产占用情况中固定资产车辆0辆，与公务用车保有量差异原因是：</w:t>
      </w:r>
      <w:r>
        <w:rPr>
          <w:rFonts w:hint="eastAsia" w:ascii="仿宋_GB2312" w:eastAsia="仿宋_GB2312"/>
          <w:b w:val="0"/>
          <w:sz w:val="32"/>
          <w:szCs w:val="32"/>
          <w:lang w:val="en-US" w:eastAsia="zh-CN"/>
        </w:rPr>
        <w:t>公务用车固定资产在宣传教育培训中心记账，因机构改革</w:t>
      </w:r>
      <w:r>
        <w:rPr>
          <w:rFonts w:hint="eastAsia" w:ascii="仿宋" w:hAnsi="仿宋" w:eastAsia="仿宋"/>
          <w:color w:val="auto"/>
          <w:sz w:val="32"/>
          <w:szCs w:val="32"/>
          <w:u w:val="none"/>
          <w:lang w:val="en-US" w:eastAsia="zh-CN"/>
        </w:rPr>
        <w:t>将1辆公务用车划归本单位管理，相应经费同步纳入本单位核算</w:t>
      </w:r>
      <w:r>
        <w:rPr>
          <w:rFonts w:hint="eastAsia" w:ascii="仿宋_GB2312" w:eastAsia="仿宋_GB2312"/>
          <w:b w:val="0"/>
          <w:color w:val="auto"/>
          <w:sz w:val="32"/>
          <w:szCs w:val="32"/>
          <w:shd w:val="clear" w:color="auto" w:fill="auto"/>
          <w:lang w:eastAsia="zh-CN"/>
        </w:rPr>
        <w:t>。</w:t>
      </w:r>
    </w:p>
    <w:p w14:paraId="60DA9958">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w:t>
      </w:r>
      <w:r>
        <w:rPr>
          <w:rFonts w:ascii="仿宋_GB2312" w:eastAsia="仿宋_GB2312"/>
          <w:b w:val="0"/>
          <w:color w:val="auto"/>
          <w:sz w:val="32"/>
          <w:szCs w:val="32"/>
        </w:rPr>
        <w:t>开支内容包括</w:t>
      </w:r>
      <w:r>
        <w:rPr>
          <w:rFonts w:hint="eastAsia" w:ascii="仿宋_GB2312" w:eastAsia="仿宋_GB2312"/>
          <w:b w:val="0"/>
          <w:color w:val="auto"/>
          <w:sz w:val="32"/>
          <w:szCs w:val="32"/>
          <w:lang w:eastAsia="zh-CN"/>
        </w:rPr>
        <w:t>：</w:t>
      </w:r>
      <w:r>
        <w:rPr>
          <w:rFonts w:hint="eastAsia" w:ascii="仿宋_GB2312" w:eastAsia="仿宋_GB2312"/>
          <w:color w:val="auto"/>
          <w:sz w:val="32"/>
          <w:szCs w:val="32"/>
          <w:lang w:val="en-US" w:eastAsia="zh-CN"/>
        </w:rPr>
        <w:t>本年度无公务接待费。</w:t>
      </w:r>
      <w:r>
        <w:rPr>
          <w:rFonts w:ascii="仿宋_GB2312" w:eastAsia="仿宋_GB2312"/>
          <w:b w:val="0"/>
          <w:sz w:val="32"/>
          <w:szCs w:val="32"/>
        </w:rPr>
        <w:t>单位全年安排的国内公务接待0批次，0人次。</w:t>
      </w:r>
    </w:p>
    <w:p w14:paraId="77839588">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与全年预算相比，财政拨款“三公”经费支出全年预算数1.43万元，决算数1.43万元，预决算差异率0.00%，主要原因是：</w:t>
      </w:r>
      <w:r>
        <w:rPr>
          <w:rFonts w:hint="eastAsia" w:ascii="仿宋" w:hAnsi="仿宋" w:eastAsia="仿宋"/>
          <w:color w:val="auto"/>
          <w:sz w:val="32"/>
          <w:szCs w:val="32"/>
          <w:lang w:val="en-US" w:eastAsia="zh-CN"/>
        </w:rPr>
        <w:t>严格按照预算执行，预决算无差异</w:t>
      </w:r>
      <w:r>
        <w:rPr>
          <w:rFonts w:ascii="仿宋_GB2312" w:eastAsia="仿宋_GB2312"/>
          <w:b w:val="0"/>
          <w:sz w:val="32"/>
          <w:szCs w:val="32"/>
        </w:rPr>
        <w:t>。其中：因公出国（境）费全年预算数0.00万元，决算数0.00万元，预决算差异率0.00%，主要原因是：</w:t>
      </w:r>
      <w:r>
        <w:rPr>
          <w:rFonts w:hint="eastAsia" w:ascii="仿宋" w:hAnsi="仿宋" w:eastAsia="仿宋"/>
          <w:color w:val="auto"/>
          <w:sz w:val="32"/>
          <w:szCs w:val="32"/>
          <w:lang w:val="en-US" w:eastAsia="zh-CN"/>
        </w:rPr>
        <w:t>我单位无因公出国（境）费用</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我单位无公务用车购置费</w:t>
      </w:r>
      <w:r>
        <w:rPr>
          <w:rFonts w:ascii="仿宋_GB2312" w:eastAsia="仿宋_GB2312"/>
          <w:b w:val="0"/>
          <w:sz w:val="32"/>
          <w:szCs w:val="32"/>
        </w:rPr>
        <w:t>。公务用车运行维护费全年预算数1.43万元，决算数1.43万元，预决算差异率0.00%，主要原因是：</w:t>
      </w:r>
      <w:r>
        <w:rPr>
          <w:rFonts w:hint="eastAsia" w:ascii="仿宋_GB2312" w:eastAsia="仿宋_GB2312"/>
          <w:b w:val="0"/>
          <w:sz w:val="32"/>
          <w:szCs w:val="32"/>
          <w:lang w:eastAsia="zh-CN"/>
        </w:rPr>
        <w:t>严格执行预算，预决算无差异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val="en-US" w:eastAsia="zh-CN"/>
        </w:rPr>
        <w:t>我单位无公务接待费</w:t>
      </w:r>
      <w:r>
        <w:rPr>
          <w:rFonts w:ascii="仿宋_GB2312" w:eastAsia="仿宋_GB2312"/>
          <w:b w:val="0"/>
          <w:sz w:val="32"/>
          <w:szCs w:val="32"/>
        </w:rPr>
        <w:t>。</w:t>
      </w:r>
    </w:p>
    <w:p w14:paraId="5039BB2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十、其他重要事项的情况说明</w:t>
      </w:r>
    </w:p>
    <w:p w14:paraId="084B13DD">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14:paraId="65131885">
      <w:pPr>
        <w:pStyle w:val="5"/>
        <w:keepNext w:val="0"/>
        <w:keepLines w:val="0"/>
        <w:pageBreakBefore w:val="0"/>
        <w:widowControl w:val="0"/>
        <w:kinsoku/>
        <w:wordWrap/>
        <w:overflowPunct w:val="0"/>
        <w:topLinePunct/>
        <w:autoSpaceDE/>
        <w:autoSpaceDN/>
        <w:bidi w:val="0"/>
        <w:adjustRightInd/>
        <w:snapToGrid/>
        <w:spacing w:line="560" w:lineRule="exact"/>
        <w:ind w:firstLine="640" w:firstLineChars="200"/>
        <w:jc w:val="both"/>
        <w:textAlignment w:val="auto"/>
        <w:rPr>
          <w:rFonts w:ascii="仿宋_GB2312" w:eastAsia="仿宋_GB2312"/>
          <w:color w:val="FF0000"/>
          <w:sz w:val="32"/>
          <w:szCs w:val="32"/>
          <w:u w:val="single"/>
        </w:rPr>
      </w:pPr>
      <w:r>
        <w:rPr>
          <w:rFonts w:ascii="仿宋_GB2312" w:eastAsia="仿宋_GB2312"/>
          <w:b w:val="0"/>
          <w:color w:val="auto"/>
          <w:sz w:val="32"/>
          <w:szCs w:val="32"/>
        </w:rPr>
        <w:t>2024年度公用经费支出32</w:t>
      </w:r>
      <w:bookmarkStart w:id="0" w:name="_GoBack"/>
      <w:bookmarkEnd w:id="0"/>
      <w:r>
        <w:rPr>
          <w:rFonts w:ascii="仿宋_GB2312" w:eastAsia="仿宋_GB2312"/>
          <w:b w:val="0"/>
          <w:color w:val="auto"/>
          <w:sz w:val="32"/>
          <w:szCs w:val="32"/>
        </w:rPr>
        <w:t>2.00万元，比上年增加309.86万元，增长2,552.39%，主要原因是：</w:t>
      </w:r>
      <w:r>
        <w:rPr>
          <w:rFonts w:hint="eastAsia" w:ascii="仿宋_GB2312" w:eastAsia="仿宋_GB2312"/>
          <w:b w:val="0"/>
          <w:color w:val="auto"/>
          <w:sz w:val="32"/>
          <w:szCs w:val="32"/>
          <w:lang w:val="en-US" w:eastAsia="zh-CN"/>
        </w:rPr>
        <w:t>信息系统运行与维护费2023年使用2130599（其他巩固脱贫衔接乡村振兴支出）功能科目，2024年调整使用2130550（事业运行）功能科目</w:t>
      </w:r>
      <w:r>
        <w:rPr>
          <w:rFonts w:hint="eastAsia" w:ascii="仿宋_GB2312" w:eastAsia="仿宋_GB2312"/>
          <w:b w:val="0"/>
          <w:color w:val="auto"/>
          <w:sz w:val="32"/>
          <w:szCs w:val="32"/>
          <w:u w:val="none"/>
          <w:lang w:eastAsia="zh-CN"/>
        </w:rPr>
        <w:t>导致</w:t>
      </w:r>
      <w:r>
        <w:rPr>
          <w:rFonts w:hint="eastAsia" w:ascii="仿宋" w:hAnsi="仿宋" w:eastAsia="仿宋" w:cs="仿宋_GB2312"/>
          <w:color w:val="auto"/>
          <w:spacing w:val="-2"/>
          <w:sz w:val="32"/>
          <w:szCs w:val="32"/>
          <w:u w:val="none"/>
          <w:lang w:val="en-US" w:eastAsia="zh-CN"/>
        </w:rPr>
        <w:t>公用经费支出增长</w:t>
      </w:r>
      <w:r>
        <w:rPr>
          <w:rFonts w:hint="eastAsia" w:ascii="仿宋" w:hAnsi="仿宋" w:eastAsia="仿宋" w:cs="仿宋_GB2312"/>
          <w:color w:val="auto"/>
          <w:spacing w:val="-2"/>
          <w:sz w:val="32"/>
          <w:szCs w:val="32"/>
          <w:u w:val="none"/>
        </w:rPr>
        <w:t>。</w:t>
      </w:r>
    </w:p>
    <w:p w14:paraId="60C179D1">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（二）政府采购情况</w:t>
      </w:r>
    </w:p>
    <w:p w14:paraId="28B6FC0C">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2024年度政府采购支出总额117.63万元，其中：政府采购货物支出0.00万元、政府采购工程支出0.00万元、政府采购服务支出117.63万元。</w:t>
      </w:r>
    </w:p>
    <w:p w14:paraId="5416A3D6">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授予中小企业合同金额0.43万元，占政府采购支出总额的0.37%，其中：授予小微企业合同金额0.43万元，占政府采购支出总额的0.37%。</w:t>
      </w:r>
    </w:p>
    <w:p w14:paraId="081DDB60">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（三）国有资产占用情况说明</w:t>
      </w:r>
    </w:p>
    <w:p w14:paraId="2CC4352D">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lang w:val="en-US" w:eastAsia="zh-CN"/>
        </w:rPr>
        <w:t>本单位无其他用车</w:t>
      </w:r>
      <w:r>
        <w:rPr>
          <w:rFonts w:ascii="仿宋_GB2312" w:eastAsia="仿宋_GB2312"/>
          <w:b w:val="0"/>
          <w:sz w:val="32"/>
          <w:szCs w:val="32"/>
        </w:rPr>
        <w:t>;单价100万元（含）以上设备（不含车辆）0台（套）。</w:t>
      </w:r>
    </w:p>
    <w:p w14:paraId="3A4CFE8D">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十一、预算绩效的情况说明</w:t>
      </w:r>
    </w:p>
    <w:p w14:paraId="68BDFD89">
      <w:pPr>
        <w:keepNext w:val="0"/>
        <w:keepLines w:val="0"/>
        <w:pageBreakBefore w:val="0"/>
        <w:widowControl w:val="0"/>
        <w:kinsoku/>
        <w:wordWrap/>
        <w:overflowPunct w:val="0"/>
        <w:topLinePunct/>
        <w:autoSpaceDE/>
        <w:autoSpaceDN/>
        <w:bidi w:val="0"/>
        <w:adjustRightInd/>
        <w:snapToGrid/>
        <w:spacing w:line="560" w:lineRule="exact"/>
        <w:ind w:firstLine="640" w:firstLineChars="200"/>
        <w:jc w:val="both"/>
        <w:textAlignment w:val="auto"/>
        <w:rPr>
          <w:rFonts w:hint="eastAsia" w:ascii="仿宋_GB2312" w:eastAsia="仿宋_GB2312"/>
          <w:b w:val="0"/>
          <w:sz w:val="32"/>
          <w:szCs w:val="32"/>
          <w:u w:val="none"/>
          <w:shd w:val="clear" w:fill="E6F0FF"/>
          <w:lang w:eastAsia="zh-CN"/>
        </w:rPr>
      </w:pPr>
      <w:r>
        <w:rPr>
          <w:rFonts w:ascii="仿宋_GB2312" w:eastAsia="仿宋_GB2312"/>
          <w:b w:val="0"/>
          <w:sz w:val="32"/>
          <w:szCs w:val="32"/>
        </w:rPr>
        <w:t>根据预算绩效管理要求，本单位2024年度预算绩效评价项目</w:t>
      </w:r>
      <w:r>
        <w:rPr>
          <w:rFonts w:hint="eastAsia" w:ascii="仿宋_GB2312" w:eastAsia="仿宋_GB2312"/>
          <w:b w:val="0"/>
          <w:sz w:val="32"/>
          <w:szCs w:val="32"/>
          <w:lang w:val="en-US" w:eastAsia="zh-CN"/>
        </w:rPr>
        <w:t>1</w:t>
      </w:r>
      <w:r>
        <w:rPr>
          <w:rFonts w:ascii="仿宋_GB2312" w:eastAsia="仿宋_GB2312"/>
          <w:b w:val="0"/>
          <w:sz w:val="32"/>
          <w:szCs w:val="32"/>
        </w:rPr>
        <w:t>个，全年预算数</w:t>
      </w:r>
      <w:r>
        <w:rPr>
          <w:rFonts w:hint="eastAsia" w:ascii="仿宋_GB2312" w:eastAsia="仿宋_GB2312"/>
          <w:b w:val="0"/>
          <w:sz w:val="32"/>
          <w:szCs w:val="32"/>
          <w:lang w:val="en-US" w:eastAsia="zh-CN"/>
        </w:rPr>
        <w:t>312.00</w:t>
      </w:r>
      <w:r>
        <w:rPr>
          <w:rFonts w:ascii="仿宋_GB2312" w:eastAsia="仿宋_GB2312"/>
          <w:b w:val="0"/>
          <w:sz w:val="32"/>
          <w:szCs w:val="32"/>
        </w:rPr>
        <w:t>万元，全年执行</w:t>
      </w:r>
      <w:r>
        <w:rPr>
          <w:rFonts w:ascii="仿宋_GB2312" w:eastAsia="仿宋_GB2312"/>
          <w:b w:val="0"/>
          <w:bCs w:val="0"/>
          <w:sz w:val="32"/>
          <w:szCs w:val="32"/>
        </w:rPr>
        <w:t>数</w:t>
      </w:r>
      <w:r>
        <w:rPr>
          <w:rFonts w:hint="eastAsia" w:ascii="仿宋_GB2312" w:eastAsia="仿宋_GB2312"/>
          <w:b w:val="0"/>
          <w:sz w:val="32"/>
          <w:szCs w:val="32"/>
          <w:lang w:val="en-US" w:eastAsia="zh-CN"/>
        </w:rPr>
        <w:t>312.00</w:t>
      </w:r>
      <w:r>
        <w:rPr>
          <w:rFonts w:ascii="仿宋_GB2312" w:eastAsia="仿宋_GB2312"/>
          <w:b w:val="0"/>
          <w:bCs w:val="0"/>
          <w:sz w:val="32"/>
          <w:szCs w:val="32"/>
        </w:rPr>
        <w:t>万元。预算绩效管理取得的成效</w:t>
      </w:r>
      <w:r>
        <w:rPr>
          <w:rFonts w:ascii="仿宋_GB2312" w:eastAsia="仿宋_GB2312"/>
          <w:b w:val="0"/>
          <w:sz w:val="32"/>
          <w:szCs w:val="32"/>
        </w:rPr>
        <w:t>：</w:t>
      </w:r>
      <w:r>
        <w:rPr>
          <w:rFonts w:hint="eastAsia" w:ascii="仿宋_GB2312" w:eastAsia="仿宋_GB2312"/>
          <w:b w:val="0"/>
          <w:sz w:val="32"/>
          <w:szCs w:val="32"/>
          <w:lang w:eastAsia="zh-CN"/>
        </w:rPr>
        <w:t xml:space="preserve">一是通过对财政支出的科学性、效益性和管理水平开展绩效评价，进一步强化内部管理，自觉加强资金监督。以绩效为目标、以结果为导向的绩效理念正逐步形成。二是财政支出绩效评价将部门预算发展规划与年度工作计划有机结合，优化财政资金支出结构，提高财政资金使用效益。三是加强预算项目审核，细分项目组成的基本单元，建立项目管理考核机制，将管理实际效果与以后年度预算规模挂钩，加强项目的过程监控，探索项目预算公开，提升了项目管理水平。发现的问题及原因：一是绩效评价指标体系尚不完善，评价指标设定的科学性有待提升，绩效评价方法相对单一。二是绩效管理理念有待进一步强化，重产出、重结果的绩效管理理念深入人心仍需付出诸多努力。下一步改进措施：一是持续加强绩效评价工作的培训指导，使预算编制更契合绩效评价相关要求，同时强化资金绩效实现情况的责任约束。对于资金偏离预算绩效目标的支出，及时采取有效措施予以纠正，提高资金使用效益。二是强化项目监督管理，把控好项目执行进度和质量，加强督促检查，实施全程监管。三是以考核促进支出，建立约束机制，确保绩效管理工作不流于形式，各项指标落到实处。 </w:t>
      </w:r>
    </w:p>
    <w:p w14:paraId="0B87F3BB">
      <w:pPr>
        <w:keepNext w:val="0"/>
        <w:keepLines w:val="0"/>
        <w:pageBreakBefore w:val="0"/>
        <w:widowControl w:val="0"/>
        <w:kinsoku/>
        <w:wordWrap/>
        <w:overflowPunct w:val="0"/>
        <w:topLinePunct/>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具体附项目支出绩效自评表和评价报告。</w:t>
      </w:r>
    </w:p>
    <w:p w14:paraId="4BBF8410">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十二、其他需说明的事项</w:t>
      </w:r>
    </w:p>
    <w:p w14:paraId="01C614CB">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14:paraId="7806C9F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p>
    <w:p w14:paraId="3F4E487A">
      <w:pPr>
        <w:keepNext w:val="0"/>
        <w:keepLines w:val="0"/>
        <w:pageBreakBefore w:val="0"/>
        <w:widowControl w:val="0"/>
        <w:kinsoku/>
        <w:wordWrap/>
        <w:overflowPunct w:val="0"/>
        <w:topLinePunct/>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第三部分专业名词解释</w:t>
      </w:r>
    </w:p>
    <w:p w14:paraId="00A0B05A">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4C8CA5FC">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26436EF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F81C3E2">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57798544">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1E24CFED">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2FF52627">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69A1D7B0">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24E585">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54809AF">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B70F0AD">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4CB886A">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2DC49959">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8CBAE2">
      <w:pPr>
        <w:keepNext w:val="0"/>
        <w:keepLines w:val="0"/>
        <w:pageBreakBefore w:val="0"/>
        <w:widowControl w:val="0"/>
        <w:kinsoku/>
        <w:wordWrap/>
        <w:overflowPunct w:val="0"/>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3ABD7DCC">
      <w:pPr>
        <w:keepNext w:val="0"/>
        <w:keepLines w:val="0"/>
        <w:pageBreakBefore w:val="0"/>
        <w:widowControl w:val="0"/>
        <w:kinsoku/>
        <w:wordWrap/>
        <w:overflowPunct w:val="0"/>
        <w:topLinePunct/>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第四部分部门决算报表（见附表）</w:t>
      </w:r>
    </w:p>
    <w:p w14:paraId="23EDCCBE">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5B2C791D">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891CE8A">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3CD5A54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6768909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4E1FBD0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DBED3ED">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DFD51E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3897F2EA">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3" w:type="default"/>
      <w:pgSz w:w="12240" w:h="15840"/>
      <w:pgMar w:top="2098" w:right="1587" w:bottom="1814" w:left="1587" w:header="720" w:footer="119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60EBF">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9C78C5F">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000000"/>
    <w:rsid w:val="00E04F4A"/>
    <w:rsid w:val="05212A41"/>
    <w:rsid w:val="054A0F5E"/>
    <w:rsid w:val="05753AE6"/>
    <w:rsid w:val="0AE4604C"/>
    <w:rsid w:val="0B540D13"/>
    <w:rsid w:val="0D9212EF"/>
    <w:rsid w:val="0DA66ED4"/>
    <w:rsid w:val="0DDF0D4D"/>
    <w:rsid w:val="0FE006D5"/>
    <w:rsid w:val="10294501"/>
    <w:rsid w:val="10B22194"/>
    <w:rsid w:val="11BD32B2"/>
    <w:rsid w:val="12371157"/>
    <w:rsid w:val="124935A6"/>
    <w:rsid w:val="163039D2"/>
    <w:rsid w:val="1B8F3108"/>
    <w:rsid w:val="234B6811"/>
    <w:rsid w:val="24E414A9"/>
    <w:rsid w:val="27665577"/>
    <w:rsid w:val="29564161"/>
    <w:rsid w:val="2D631654"/>
    <w:rsid w:val="34876405"/>
    <w:rsid w:val="37D72911"/>
    <w:rsid w:val="394F5A81"/>
    <w:rsid w:val="3AA76692"/>
    <w:rsid w:val="3E7E2A70"/>
    <w:rsid w:val="42925DB2"/>
    <w:rsid w:val="45BE5A25"/>
    <w:rsid w:val="4CB751CE"/>
    <w:rsid w:val="4D012528"/>
    <w:rsid w:val="52715F5C"/>
    <w:rsid w:val="56694C24"/>
    <w:rsid w:val="5E87613D"/>
    <w:rsid w:val="5F7F421F"/>
    <w:rsid w:val="64833942"/>
    <w:rsid w:val="65296438"/>
    <w:rsid w:val="660404C6"/>
    <w:rsid w:val="66062DE2"/>
    <w:rsid w:val="6ADE7537"/>
    <w:rsid w:val="6B462D53"/>
    <w:rsid w:val="6E1960B9"/>
    <w:rsid w:val="6EEB677A"/>
    <w:rsid w:val="71347EB1"/>
    <w:rsid w:val="74FA176D"/>
    <w:rsid w:val="753B4FA6"/>
    <w:rsid w:val="757E01FD"/>
    <w:rsid w:val="772475AC"/>
    <w:rsid w:val="78C935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paragraph" w:styleId="2">
    <w:name w:val="heading 3"/>
    <w:basedOn w:val="1"/>
    <w:next w:val="1"/>
    <w:qFormat/>
    <w:uiPriority w:val="0"/>
    <w:pPr>
      <w:keepNext/>
      <w:keepLines/>
      <w:spacing w:before="260" w:after="260" w:line="416" w:lineRule="atLeast"/>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val="0"/>
      <w:spacing w:after="0" w:line="240" w:lineRule="auto"/>
      <w:jc w:val="both"/>
    </w:pPr>
    <w:rPr>
      <w:rFonts w:ascii="Times New Roman" w:hAnsi="Times New Roman"/>
      <w:kern w:val="2"/>
      <w:sz w:val="24"/>
      <w:szCs w:val="24"/>
      <w:lang w:eastAsia="zh-CN" w:bidi="ar-SA"/>
    </w:rPr>
  </w:style>
  <w:style w:type="character" w:styleId="8">
    <w:name w:val="Strong"/>
    <w:basedOn w:val="7"/>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5508</Words>
  <Characters>6125</Characters>
  <TotalTime>2</TotalTime>
  <ScaleCrop>false</ScaleCrop>
  <LinksUpToDate>false</LinksUpToDate>
  <CharactersWithSpaces>6129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2025-08-11T04:26:00Z</dcterms:created>
  <dc:creator>dell</dc:creator>
  <cp:lastModifiedBy>马振国  18129438682</cp:lastModifiedBy>
  <dcterms:modified xsi:type="dcterms:W3CDTF">2025-08-29T03:23:55Z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eyJoZGlkIjoiYWJmNTAxYTA0NTllZTU0OWY5NWY0MWNlMzBjNGU2OTYiLCJ1c2VySWQiOiI3NDY1ODU0ODQifQ==</vt:lpwstr>
  </property>
  <property fmtid="{D5CDD505-2E9C-101B-9397-08002B2CF9AE}" pid="4" name="ICV">
    <vt:lpwstr>C425A3C969A341A6993CB1509029711D_12</vt:lpwstr>
  </property>
</Properties>
</file>