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after="0" w:line="640" w:lineRule="exact"/>
        <w:jc w:val="left"/>
        <w:textAlignment w:val="baseline"/>
        <w:rPr>
          <w:rFonts w:hint="default" w:ascii="方正黑体_GBK" w:hAnsi="方正黑体_GBK" w:eastAsia="方正黑体_GBK" w:cs="方正黑体_GBK"/>
          <w:b w:val="0"/>
          <w:bCs w:val="0"/>
          <w:snapToGrid w:val="0"/>
          <w:spacing w:val="-5"/>
          <w:kern w:val="0"/>
          <w:sz w:val="32"/>
          <w:szCs w:val="32"/>
          <w:lang w:val="en-US" w:eastAsia="zh-CN"/>
        </w:rPr>
      </w:pPr>
      <w:r>
        <w:rPr>
          <w:rFonts w:hint="eastAsia" w:ascii="方正黑体_GBK" w:hAnsi="方正黑体_GBK" w:eastAsia="方正黑体_GBK" w:cs="方正黑体_GBK"/>
          <w:b w:val="0"/>
          <w:bCs w:val="0"/>
          <w:snapToGrid w:val="0"/>
          <w:spacing w:val="-5"/>
          <w:kern w:val="0"/>
          <w:sz w:val="32"/>
          <w:szCs w:val="32"/>
          <w:lang w:eastAsia="zh-CN"/>
        </w:rPr>
        <w:t>附件</w:t>
      </w:r>
      <w:r>
        <w:rPr>
          <w:rFonts w:hint="eastAsia" w:ascii="方正黑体_GBK" w:hAnsi="方正黑体_GBK" w:eastAsia="方正黑体_GBK" w:cs="方正黑体_GBK"/>
          <w:b w:val="0"/>
          <w:bCs w:val="0"/>
          <w:snapToGrid w:val="0"/>
          <w:spacing w:val="-5"/>
          <w:kern w:val="0"/>
          <w:sz w:val="32"/>
          <w:szCs w:val="32"/>
          <w:lang w:val="en-US" w:eastAsia="zh-CN"/>
        </w:rPr>
        <w:t>7</w:t>
      </w:r>
    </w:p>
    <w:p>
      <w:pPr>
        <w:keepNext w:val="0"/>
        <w:keepLines w:val="0"/>
        <w:pageBreakBefore w:val="0"/>
        <w:wordWrap/>
        <w:overflowPunct/>
        <w:topLinePunct w:val="0"/>
        <w:bidi w:val="0"/>
        <w:spacing w:after="0" w:line="640" w:lineRule="exact"/>
        <w:jc w:val="center"/>
        <w:rPr>
          <w:rFonts w:ascii="Times New Roman" w:hAnsi="Times New Roman" w:eastAsia="方正小标宋_GBK"/>
          <w:b/>
          <w:bCs/>
          <w:color w:val="000000" w:themeColor="text1"/>
          <w:sz w:val="44"/>
          <w:szCs w:val="44"/>
          <w14:textFill>
            <w14:solidFill>
              <w14:schemeClr w14:val="tx1"/>
            </w14:solidFill>
          </w14:textFill>
        </w:rPr>
      </w:pPr>
    </w:p>
    <w:p>
      <w:pPr>
        <w:keepNext w:val="0"/>
        <w:keepLines w:val="0"/>
        <w:pageBreakBefore w:val="0"/>
        <w:wordWrap/>
        <w:overflowPunct/>
        <w:topLinePunct w:val="0"/>
        <w:bidi w:val="0"/>
        <w:spacing w:after="0" w:line="640" w:lineRule="exact"/>
        <w:jc w:val="center"/>
        <w:rPr>
          <w:rFonts w:ascii="Times New Roman" w:hAnsi="Times New Roman" w:eastAsia="方正小标宋_GBK"/>
          <w:b/>
          <w:bCs/>
          <w:color w:val="000000" w:themeColor="text1"/>
          <w:sz w:val="44"/>
          <w:szCs w:val="44"/>
          <w14:textFill>
            <w14:solidFill>
              <w14:schemeClr w14:val="tx1"/>
            </w14:solidFill>
          </w14:textFill>
        </w:rPr>
      </w:pPr>
    </w:p>
    <w:p>
      <w:pPr>
        <w:spacing w:line="700" w:lineRule="exact"/>
        <w:jc w:val="center"/>
        <w:rPr>
          <w:rFonts w:ascii="Times New Roman" w:hAnsi="Times New Roman" w:eastAsia="方正小标宋_GBK"/>
          <w:b w:val="0"/>
          <w:bCs w:val="0"/>
          <w:color w:val="000000" w:themeColor="text1"/>
          <w:sz w:val="44"/>
          <w:szCs w:val="44"/>
          <w14:textFill>
            <w14:solidFill>
              <w14:schemeClr w14:val="tx1"/>
            </w14:solidFill>
          </w14:textFill>
        </w:rPr>
      </w:pPr>
      <w:r>
        <w:rPr>
          <w:rFonts w:ascii="Times New Roman" w:hAnsi="Times New Roman" w:eastAsia="方正小标宋_GBK"/>
          <w:b w:val="0"/>
          <w:bCs w:val="0"/>
          <w:color w:val="000000" w:themeColor="text1"/>
          <w:sz w:val="44"/>
          <w:szCs w:val="44"/>
          <w14:textFill>
            <w14:solidFill>
              <w14:schemeClr w14:val="tx1"/>
            </w14:solidFill>
          </w14:textFill>
        </w:rPr>
        <w:t>中央农村厕所革命整村推进财政奖补项目</w:t>
      </w:r>
    </w:p>
    <w:p>
      <w:pPr>
        <w:spacing w:line="700" w:lineRule="exact"/>
        <w:jc w:val="center"/>
        <w:rPr>
          <w:rFonts w:ascii="Times New Roman" w:hAnsi="Times New Roman" w:eastAsia="方正小标宋_GBK"/>
          <w:b w:val="0"/>
          <w:bCs w:val="0"/>
          <w:color w:val="000000" w:themeColor="text1"/>
          <w:sz w:val="44"/>
          <w:szCs w:val="44"/>
          <w14:textFill>
            <w14:solidFill>
              <w14:schemeClr w14:val="tx1"/>
            </w14:solidFill>
          </w14:textFill>
        </w:rPr>
      </w:pPr>
      <w:r>
        <w:rPr>
          <w:rFonts w:ascii="Times New Roman" w:hAnsi="Times New Roman" w:eastAsia="方正小标宋_GBK"/>
          <w:b w:val="0"/>
          <w:bCs w:val="0"/>
          <w:color w:val="000000" w:themeColor="text1"/>
          <w:sz w:val="44"/>
          <w:szCs w:val="44"/>
          <w14:textFill>
            <w14:solidFill>
              <w14:schemeClr w14:val="tx1"/>
            </w14:solidFill>
          </w14:textFill>
        </w:rPr>
        <w:t>绩效自评报告</w:t>
      </w:r>
    </w:p>
    <w:p>
      <w:pPr>
        <w:jc w:val="center"/>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（2024年度）</w:t>
      </w:r>
    </w:p>
    <w:p>
      <w:pPr>
        <w:autoSpaceDE w:val="0"/>
        <w:adjustRightInd w:val="0"/>
        <w:snapToGrid w:val="0"/>
        <w:spacing w:line="560" w:lineRule="exact"/>
        <w:rPr>
          <w:rFonts w:ascii="Times New Roman" w:hAnsi="Times New Roman" w:eastAsia="方正小标宋简体"/>
          <w:color w:val="000000" w:themeColor="text1"/>
          <w:sz w:val="40"/>
          <w:szCs w:val="40"/>
          <w14:textFill>
            <w14:solidFill>
              <w14:schemeClr w14:val="tx1"/>
            </w14:solidFill>
          </w14:textFill>
        </w:rPr>
      </w:pPr>
    </w:p>
    <w:p>
      <w:pPr>
        <w:autoSpaceDE w:val="0"/>
        <w:adjustRightInd w:val="0"/>
        <w:snapToGrid w:val="0"/>
        <w:spacing w:line="560" w:lineRule="exact"/>
        <w:rPr>
          <w:rFonts w:ascii="Times New Roman" w:hAnsi="Times New Roman" w:eastAsia="方正小标宋简体"/>
          <w:color w:val="000000" w:themeColor="text1"/>
          <w:sz w:val="40"/>
          <w:szCs w:val="40"/>
          <w14:textFill>
            <w14:solidFill>
              <w14:schemeClr w14:val="tx1"/>
            </w14:solidFill>
          </w14:textFill>
        </w:rPr>
      </w:pPr>
    </w:p>
    <w:p>
      <w:pPr>
        <w:autoSpaceDE w:val="0"/>
        <w:adjustRightInd w:val="0"/>
        <w:snapToGrid w:val="0"/>
        <w:spacing w:line="560" w:lineRule="exact"/>
        <w:rPr>
          <w:rFonts w:ascii="Times New Roman" w:hAnsi="Times New Roman" w:eastAsia="方正小标宋简体"/>
          <w:color w:val="000000" w:themeColor="text1"/>
          <w:sz w:val="40"/>
          <w:szCs w:val="40"/>
          <w14:textFill>
            <w14:solidFill>
              <w14:schemeClr w14:val="tx1"/>
            </w14:solidFill>
          </w14:textFill>
        </w:rPr>
      </w:pPr>
    </w:p>
    <w:p>
      <w:pPr>
        <w:autoSpaceDE w:val="0"/>
        <w:adjustRightInd w:val="0"/>
        <w:snapToGrid w:val="0"/>
        <w:spacing w:line="560" w:lineRule="exact"/>
        <w:rPr>
          <w:rFonts w:ascii="Times New Roman" w:hAnsi="Times New Roman" w:eastAsia="方正小标宋简体"/>
          <w:color w:val="000000" w:themeColor="text1"/>
          <w:sz w:val="40"/>
          <w:szCs w:val="40"/>
          <w14:textFill>
            <w14:solidFill>
              <w14:schemeClr w14:val="tx1"/>
            </w14:solidFill>
          </w14:textFill>
        </w:rPr>
      </w:pPr>
    </w:p>
    <w:p>
      <w:pPr>
        <w:autoSpaceDE w:val="0"/>
        <w:adjustRightInd w:val="0"/>
        <w:snapToGrid w:val="0"/>
        <w:spacing w:line="560" w:lineRule="exact"/>
        <w:rPr>
          <w:rFonts w:ascii="Times New Roman" w:hAnsi="Times New Roman" w:eastAsia="方正小标宋简体"/>
          <w:color w:val="000000" w:themeColor="text1"/>
          <w:sz w:val="40"/>
          <w:szCs w:val="40"/>
          <w14:textFill>
            <w14:solidFill>
              <w14:schemeClr w14:val="tx1"/>
            </w14:solidFill>
          </w14:textFill>
        </w:rPr>
      </w:pPr>
    </w:p>
    <w:tbl>
      <w:tblPr>
        <w:tblStyle w:val="24"/>
        <w:tblW w:w="856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8"/>
        <w:gridCol w:w="54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128" w:type="dxa"/>
            <w:vAlign w:val="bottom"/>
          </w:tcPr>
          <w:p>
            <w:pPr>
              <w:spacing w:line="500" w:lineRule="exact"/>
              <w:jc w:val="distribute"/>
              <w:rPr>
                <w:b/>
                <w:bCs/>
                <w:color w:val="000000" w:themeColor="text1"/>
                <w14:textFill>
                  <w14:solidFill>
                    <w14:schemeClr w14:val="tx1"/>
                  </w14:solidFill>
                </w14:textFill>
              </w:rPr>
            </w:pPr>
            <w:r>
              <w:rPr>
                <w:rFonts w:ascii="Times New Roman" w:hAnsi="Times New Roman" w:eastAsia="仿宋_GB2312"/>
                <w:b/>
                <w:bCs/>
                <w:color w:val="000000" w:themeColor="text1"/>
                <w:sz w:val="32"/>
                <w:szCs w:val="32"/>
                <w14:textFill>
                  <w14:solidFill>
                    <w14:schemeClr w14:val="tx1"/>
                  </w14:solidFill>
                </w14:textFill>
              </w:rPr>
              <w:t>项目名称</w:t>
            </w:r>
          </w:p>
        </w:tc>
        <w:tc>
          <w:tcPr>
            <w:tcW w:w="5438" w:type="dxa"/>
            <w:tcBorders>
              <w:bottom w:val="single" w:color="auto" w:sz="4" w:space="0"/>
            </w:tcBorders>
            <w:vAlign w:val="bottom"/>
          </w:tcPr>
          <w:p>
            <w:pPr>
              <w:spacing w:line="500" w:lineRule="exact"/>
              <w:jc w:val="center"/>
              <w:rPr>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农村厕所革命整村推进财政奖补项目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128" w:type="dxa"/>
            <w:vAlign w:val="bottom"/>
          </w:tcPr>
          <w:p>
            <w:pPr>
              <w:spacing w:line="500" w:lineRule="exact"/>
              <w:jc w:val="distribute"/>
              <w:rPr>
                <w:b/>
                <w:bCs/>
                <w:color w:val="000000" w:themeColor="text1"/>
                <w14:textFill>
                  <w14:solidFill>
                    <w14:schemeClr w14:val="tx1"/>
                  </w14:solidFill>
                </w14:textFill>
              </w:rPr>
            </w:pPr>
            <w:r>
              <w:rPr>
                <w:rFonts w:ascii="Times New Roman" w:hAnsi="Times New Roman" w:eastAsia="仿宋_GB2312"/>
                <w:b/>
                <w:bCs/>
                <w:color w:val="000000" w:themeColor="text1"/>
                <w:sz w:val="32"/>
                <w:szCs w:val="32"/>
                <w14:textFill>
                  <w14:solidFill>
                    <w14:schemeClr w14:val="tx1"/>
                  </w14:solidFill>
                </w14:textFill>
              </w:rPr>
              <w:t>实施单位（公章）</w:t>
            </w:r>
          </w:p>
        </w:tc>
        <w:tc>
          <w:tcPr>
            <w:tcW w:w="5438" w:type="dxa"/>
            <w:tcBorders>
              <w:top w:val="single" w:color="auto" w:sz="4" w:space="0"/>
              <w:bottom w:val="single" w:color="auto" w:sz="4" w:space="0"/>
            </w:tcBorders>
            <w:vAlign w:val="bottom"/>
          </w:tcPr>
          <w:p>
            <w:pPr>
              <w:spacing w:line="500" w:lineRule="exact"/>
              <w:jc w:val="center"/>
              <w:rPr>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自治区农业农村厅乡村建设促进处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128" w:type="dxa"/>
            <w:vAlign w:val="bottom"/>
          </w:tcPr>
          <w:p>
            <w:pPr>
              <w:spacing w:line="500" w:lineRule="exact"/>
              <w:jc w:val="distribute"/>
              <w:rPr>
                <w:b/>
                <w:bCs/>
                <w:color w:val="000000" w:themeColor="text1"/>
                <w14:textFill>
                  <w14:solidFill>
                    <w14:schemeClr w14:val="tx1"/>
                  </w14:solidFill>
                </w14:textFill>
              </w:rPr>
            </w:pPr>
            <w:r>
              <w:rPr>
                <w:rFonts w:ascii="Times New Roman" w:hAnsi="Times New Roman" w:eastAsia="仿宋_GB2312"/>
                <w:b/>
                <w:bCs/>
                <w:color w:val="000000" w:themeColor="text1"/>
                <w:sz w:val="32"/>
                <w:szCs w:val="32"/>
                <w14:textFill>
                  <w14:solidFill>
                    <w14:schemeClr w14:val="tx1"/>
                  </w14:solidFill>
                </w14:textFill>
              </w:rPr>
              <w:t>主管部门（公章）</w:t>
            </w:r>
          </w:p>
        </w:tc>
        <w:tc>
          <w:tcPr>
            <w:tcW w:w="5438" w:type="dxa"/>
            <w:tcBorders>
              <w:top w:val="single" w:color="auto" w:sz="4" w:space="0"/>
              <w:bottom w:val="single" w:color="auto" w:sz="4" w:space="0"/>
            </w:tcBorders>
            <w:vAlign w:val="bottom"/>
          </w:tcPr>
          <w:p>
            <w:pPr>
              <w:spacing w:line="500" w:lineRule="exact"/>
              <w:jc w:val="center"/>
              <w:rPr>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自治区农业农村厅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128" w:type="dxa"/>
            <w:vAlign w:val="bottom"/>
          </w:tcPr>
          <w:p>
            <w:pPr>
              <w:spacing w:line="500" w:lineRule="exact"/>
              <w:jc w:val="distribute"/>
              <w:rPr>
                <w:b/>
                <w:bCs/>
                <w:color w:val="000000" w:themeColor="text1"/>
                <w14:textFill>
                  <w14:solidFill>
                    <w14:schemeClr w14:val="tx1"/>
                  </w14:solidFill>
                </w14:textFill>
              </w:rPr>
            </w:pPr>
            <w:bookmarkStart w:id="2" w:name="_GoBack" w:colFirst="0" w:colLast="0"/>
            <w:r>
              <w:rPr>
                <w:rFonts w:ascii="Times New Roman" w:hAnsi="Times New Roman" w:eastAsia="仿宋_GB2312"/>
                <w:b/>
                <w:bCs/>
                <w:color w:val="000000" w:themeColor="text1"/>
                <w:sz w:val="32"/>
                <w:szCs w:val="32"/>
                <w14:textFill>
                  <w14:solidFill>
                    <w14:schemeClr w14:val="tx1"/>
                  </w14:solidFill>
                </w14:textFill>
              </w:rPr>
              <w:t>项目负责人（签章）</w:t>
            </w:r>
          </w:p>
        </w:tc>
        <w:tc>
          <w:tcPr>
            <w:tcW w:w="5438" w:type="dxa"/>
            <w:tcBorders>
              <w:top w:val="single" w:color="auto" w:sz="4" w:space="0"/>
              <w:bottom w:val="single" w:color="auto" w:sz="4" w:space="0"/>
            </w:tcBorders>
            <w:vAlign w:val="bottom"/>
          </w:tcPr>
          <w:p>
            <w:pPr>
              <w:spacing w:line="500" w:lineRule="exact"/>
              <w:jc w:val="center"/>
              <w:rPr>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马伟铖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128" w:type="dxa"/>
            <w:vAlign w:val="bottom"/>
          </w:tcPr>
          <w:p>
            <w:pPr>
              <w:spacing w:line="500" w:lineRule="exact"/>
              <w:jc w:val="distribute"/>
              <w:rPr>
                <w:b/>
                <w:bCs/>
                <w:color w:val="000000" w:themeColor="text1"/>
                <w14:textFill>
                  <w14:solidFill>
                    <w14:schemeClr w14:val="tx1"/>
                  </w14:solidFill>
                </w14:textFill>
              </w:rPr>
            </w:pPr>
            <w:r>
              <w:rPr>
                <w:rFonts w:ascii="Times New Roman" w:hAnsi="Times New Roman" w:eastAsia="仿宋_GB2312"/>
                <w:b/>
                <w:bCs/>
                <w:color w:val="000000" w:themeColor="text1"/>
                <w:sz w:val="32"/>
                <w:szCs w:val="32"/>
                <w14:textFill>
                  <w14:solidFill>
                    <w14:schemeClr w14:val="tx1"/>
                  </w14:solidFill>
                </w14:textFill>
              </w:rPr>
              <w:t>填报时间</w:t>
            </w:r>
          </w:p>
        </w:tc>
        <w:tc>
          <w:tcPr>
            <w:tcW w:w="5438" w:type="dxa"/>
            <w:tcBorders>
              <w:top w:val="single" w:color="auto" w:sz="4" w:space="0"/>
              <w:bottom w:val="single" w:color="auto" w:sz="4" w:space="0"/>
            </w:tcBorders>
            <w:vAlign w:val="bottom"/>
          </w:tcPr>
          <w:p>
            <w:pPr>
              <w:spacing w:line="500" w:lineRule="exact"/>
              <w:jc w:val="center"/>
              <w:rPr>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2025年</w:t>
            </w:r>
            <w:r>
              <w:rPr>
                <w:rFonts w:hint="eastAsia" w:ascii="Times New Roman" w:hAnsi="Times New Roman" w:eastAsia="仿宋_GB2312"/>
                <w:color w:val="000000" w:themeColor="text1"/>
                <w:sz w:val="32"/>
                <w:szCs w:val="32"/>
                <w:lang w:val="en-US" w:eastAsia="zh-CN"/>
                <w14:textFill>
                  <w14:solidFill>
                    <w14:schemeClr w14:val="tx1"/>
                  </w14:solidFill>
                </w14:textFill>
              </w:rPr>
              <w:t>3</w:t>
            </w:r>
            <w:r>
              <w:rPr>
                <w:rFonts w:ascii="Times New Roman" w:hAnsi="Times New Roman" w:eastAsia="仿宋_GB2312"/>
                <w:color w:val="000000" w:themeColor="text1"/>
                <w:sz w:val="32"/>
                <w:szCs w:val="32"/>
                <w14:textFill>
                  <w14:solidFill>
                    <w14:schemeClr w14:val="tx1"/>
                  </w14:solidFill>
                </w14:textFill>
              </w:rPr>
              <w:t>月</w:t>
            </w:r>
            <w:r>
              <w:rPr>
                <w:rFonts w:hint="eastAsia" w:ascii="Times New Roman" w:hAnsi="Times New Roman" w:eastAsia="仿宋_GB2312"/>
                <w:color w:val="000000" w:themeColor="text1"/>
                <w:sz w:val="32"/>
                <w:szCs w:val="32"/>
                <w:lang w:val="en-US" w:eastAsia="zh-CN"/>
                <w14:textFill>
                  <w14:solidFill>
                    <w14:schemeClr w14:val="tx1"/>
                  </w14:solidFill>
                </w14:textFill>
              </w:rPr>
              <w:t>10</w:t>
            </w:r>
            <w:r>
              <w:rPr>
                <w:rFonts w:ascii="Times New Roman" w:hAnsi="Times New Roman" w:eastAsia="仿宋_GB2312"/>
                <w:color w:val="000000" w:themeColor="text1"/>
                <w:sz w:val="32"/>
                <w:szCs w:val="32"/>
                <w14:textFill>
                  <w14:solidFill>
                    <w14:schemeClr w14:val="tx1"/>
                  </w14:solidFill>
                </w14:textFill>
              </w:rPr>
              <w:t>日</w:t>
            </w:r>
          </w:p>
        </w:tc>
      </w:tr>
      <w:bookmarkEnd w:id="2"/>
    </w:tbl>
    <w:p>
      <w:pPr>
        <w:autoSpaceDE w:val="0"/>
        <w:adjustRightInd w:val="0"/>
        <w:snapToGrid w:val="0"/>
        <w:spacing w:line="560" w:lineRule="exact"/>
        <w:rPr>
          <w:rFonts w:ascii="Times New Roman" w:hAnsi="Times New Roman" w:eastAsia="方正小标宋简体"/>
          <w:color w:val="000000" w:themeColor="text1"/>
          <w:sz w:val="40"/>
          <w:szCs w:val="40"/>
          <w14:textFill>
            <w14:solidFill>
              <w14:schemeClr w14:val="tx1"/>
            </w14:solidFill>
          </w14:textFill>
        </w:rPr>
      </w:pPr>
      <w:r>
        <w:rPr>
          <w:rFonts w:ascii="Times New Roman" w:hAnsi="Times New Roman" w:eastAsia="方正小标宋简体"/>
          <w:color w:val="000000" w:themeColor="text1"/>
          <w:sz w:val="40"/>
          <w:szCs w:val="40"/>
          <w14:textFill>
            <w14:solidFill>
              <w14:schemeClr w14:val="tx1"/>
            </w14:solidFill>
          </w14:textFill>
        </w:rPr>
        <w:br w:type="page"/>
      </w:r>
    </w:p>
    <w:p>
      <w:pPr>
        <w:autoSpaceDE w:val="0"/>
        <w:spacing w:line="540" w:lineRule="exact"/>
        <w:contextualSpacing/>
        <w:jc w:val="center"/>
        <w:rPr>
          <w:rFonts w:ascii="Times New Roman" w:hAnsi="Times New Roman" w:eastAsia="方正小标宋简体"/>
          <w:color w:val="000000" w:themeColor="text1"/>
          <w:spacing w:val="-6"/>
          <w:sz w:val="44"/>
          <w:szCs w:val="44"/>
          <w14:textFill>
            <w14:solidFill>
              <w14:schemeClr w14:val="tx1"/>
            </w14:solidFill>
          </w14:textFill>
        </w:rPr>
      </w:pPr>
      <w:bookmarkStart w:id="0" w:name="_Hlk191499946"/>
    </w:p>
    <w:p>
      <w:pPr>
        <w:autoSpaceDE w:val="0"/>
        <w:spacing w:line="540" w:lineRule="exact"/>
        <w:contextualSpacing/>
        <w:jc w:val="center"/>
        <w:rPr>
          <w:rFonts w:ascii="Times New Roman" w:hAnsi="Times New Roman" w:eastAsia="方正小标宋简体"/>
          <w:color w:val="000000" w:themeColor="text1"/>
          <w:spacing w:val="-6"/>
          <w:sz w:val="44"/>
          <w:szCs w:val="44"/>
          <w14:textFill>
            <w14:solidFill>
              <w14:schemeClr w14:val="tx1"/>
            </w14:solidFill>
          </w14:textFill>
        </w:rPr>
      </w:pPr>
      <w:r>
        <w:rPr>
          <w:rFonts w:ascii="Times New Roman" w:hAnsi="Times New Roman" w:eastAsia="方正小标宋简体"/>
          <w:color w:val="000000" w:themeColor="text1"/>
          <w:spacing w:val="-6"/>
          <w:sz w:val="44"/>
          <w:szCs w:val="44"/>
          <w14:textFill>
            <w14:solidFill>
              <w14:schemeClr w14:val="tx1"/>
            </w14:solidFill>
          </w14:textFill>
        </w:rPr>
        <w:t>新疆维吾尔自治区中央农村厕所革命整村推进财政奖补项目2024年度绩效自评报告</w:t>
      </w:r>
    </w:p>
    <w:bookmarkEnd w:id="0"/>
    <w:p>
      <w:pPr>
        <w:autoSpaceDE w:val="0"/>
        <w:spacing w:line="540" w:lineRule="exact"/>
        <w:contextualSpacing/>
        <w:rPr>
          <w:rFonts w:ascii="Times New Roman" w:hAnsi="Times New Roman" w:eastAsia="仿宋_GB2312"/>
          <w:color w:val="000000" w:themeColor="text1"/>
          <w:sz w:val="40"/>
          <w:szCs w:val="40"/>
          <w14:textFill>
            <w14:solidFill>
              <w14:schemeClr w14:val="tx1"/>
            </w14:solidFill>
          </w14:textFill>
        </w:rPr>
      </w:pPr>
    </w:p>
    <w:p>
      <w:pPr>
        <w:autoSpaceDE w:val="0"/>
        <w:spacing w:line="54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新疆维吾尔自治区农业农村厅、财政厅认真贯彻落实党中央全面实施预算绩效管理决策部署，根据《财政部关于开展2024年度中央对地方转移支付预算执行情况绩效自评工作的通知》（财监〔2025〕1号），严格按规范要求组织开展2024年度中央土地指标跨省域调剂收入安排的支出（农村厕所革命整村推进财政奖补）项目资金绩效自评工作。现将自评情况报告如下：</w:t>
      </w:r>
    </w:p>
    <w:p>
      <w:pPr>
        <w:autoSpaceDE w:val="0"/>
        <w:spacing w:line="540" w:lineRule="exact"/>
        <w:ind w:firstLine="640" w:firstLineChars="200"/>
        <w:contextualSpacing/>
        <w:rPr>
          <w:rFonts w:ascii="Times New Roman" w:hAnsi="Times New Roman" w:eastAsia="SimHei"/>
          <w:color w:val="000000" w:themeColor="text1"/>
          <w:sz w:val="32"/>
          <w:szCs w:val="32"/>
          <w14:textFill>
            <w14:solidFill>
              <w14:schemeClr w14:val="tx1"/>
            </w14:solidFill>
          </w14:textFill>
        </w:rPr>
      </w:pPr>
      <w:r>
        <w:rPr>
          <w:rFonts w:ascii="Times New Roman" w:hAnsi="Times New Roman" w:eastAsia="SimHei"/>
          <w:color w:val="000000" w:themeColor="text1"/>
          <w:sz w:val="32"/>
          <w:szCs w:val="32"/>
          <w14:textFill>
            <w14:solidFill>
              <w14:schemeClr w14:val="tx1"/>
            </w14:solidFill>
          </w14:textFill>
        </w:rPr>
        <w:t>一、绩效目标分解下达情况</w:t>
      </w:r>
    </w:p>
    <w:p>
      <w:pPr>
        <w:autoSpaceDE w:val="0"/>
        <w:spacing w:line="540" w:lineRule="exact"/>
        <w:ind w:firstLine="642" w:firstLineChars="200"/>
        <w:contextualSpacing/>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（一）中央下达预算和绩效目标情况</w:t>
      </w:r>
    </w:p>
    <w:p>
      <w:pPr>
        <w:autoSpaceDE w:val="0"/>
        <w:spacing w:line="540" w:lineRule="exact"/>
        <w:ind w:firstLine="642" w:firstLineChars="200"/>
        <w:contextualSpacing/>
        <w:rPr>
          <w:rFonts w:ascii="Times New Roman" w:hAnsi="Times New Roman" w:eastAsia="仿宋_GB2312"/>
          <w:b/>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1.预算情况</w:t>
      </w:r>
    </w:p>
    <w:p>
      <w:pPr>
        <w:pStyle w:val="54"/>
        <w:autoSpaceDE w:val="0"/>
        <w:spacing w:after="0" w:line="540" w:lineRule="exact"/>
        <w:ind w:firstLine="640" w:firstLineChars="200"/>
        <w:contextualSpacing/>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2024年4月12日，财政部以《关于下达2024年土地指标跨省域调剂收入安排的支持预算的通知》（财农〔2024〕9号，以下简称《通知》），向新疆下达2024年土地指标跨省域调剂收入安排的支出预算56311万元，专项支持农村厕所革命整村推进财政奖补。</w:t>
      </w:r>
    </w:p>
    <w:p>
      <w:pPr>
        <w:autoSpaceDE w:val="0"/>
        <w:spacing w:line="54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2.绩效目标情况</w:t>
      </w:r>
    </w:p>
    <w:p>
      <w:pPr>
        <w:autoSpaceDE w:val="0"/>
        <w:spacing w:line="540" w:lineRule="exact"/>
        <w:ind w:firstLine="640" w:firstLineChars="200"/>
        <w:contextualSpacing/>
        <w:rPr>
          <w:rFonts w:ascii="Times New Roman" w:hAnsi="Times New Roman" w:eastAsia="仿宋_GB2312"/>
          <w:color w:val="000000" w:themeColor="text1"/>
          <w:sz w:val="32"/>
          <w:szCs w:val="32"/>
          <w:lang w:bidi="ar"/>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通知》下达了2024年农村厕所革命整村推进财政奖补区域绩效目标，要求各省（区）因地制宜确定“2024年计划完成改厕农户户数”“2024年计划完成整村推进的行政村数”等绩效指标，并按要求报备财政部、农业农村部等部门</w:t>
      </w:r>
      <w:r>
        <w:rPr>
          <w:rFonts w:ascii="Times New Roman" w:hAnsi="Times New Roman" w:eastAsia="仿宋_GB2312"/>
          <w:color w:val="000000" w:themeColor="text1"/>
          <w:sz w:val="32"/>
          <w:szCs w:val="32"/>
          <w:lang w:bidi="ar"/>
          <w14:textFill>
            <w14:solidFill>
              <w14:schemeClr w14:val="tx1"/>
            </w14:solidFill>
          </w14:textFill>
        </w:rPr>
        <w:t>，情况详见下表。</w:t>
      </w:r>
    </w:p>
    <w:p>
      <w:pPr>
        <w:autoSpaceDE w:val="0"/>
        <w:spacing w:line="540" w:lineRule="exact"/>
        <w:ind w:firstLine="640" w:firstLineChars="200"/>
        <w:contextualSpacing/>
        <w:rPr>
          <w:rFonts w:ascii="Times New Roman" w:hAnsi="Times New Roman" w:eastAsia="仿宋_GB2312"/>
          <w:color w:val="000000" w:themeColor="text1"/>
          <w:sz w:val="32"/>
          <w:szCs w:val="32"/>
          <w:lang w:bidi="ar"/>
          <w14:textFill>
            <w14:solidFill>
              <w14:schemeClr w14:val="tx1"/>
            </w14:solidFill>
          </w14:textFill>
        </w:rPr>
      </w:pPr>
    </w:p>
    <w:p>
      <w:pPr>
        <w:spacing w:line="560" w:lineRule="exact"/>
        <w:jc w:val="center"/>
        <w:rPr>
          <w:rFonts w:hint="eastAsia" w:ascii="仿宋_GB2312" w:hAnsi="仿宋_GB2312" w:eastAsia="仿宋_GB2312" w:cs="仿宋_GB2312"/>
          <w:b/>
          <w:bCs/>
          <w:color w:val="000000" w:themeColor="text1"/>
          <w:sz w:val="32"/>
          <w:szCs w:val="32"/>
          <w:lang w:bidi="ar"/>
          <w14:textFill>
            <w14:solidFill>
              <w14:schemeClr w14:val="tx1"/>
            </w14:solidFill>
          </w14:textFill>
        </w:rPr>
      </w:pPr>
      <w:r>
        <w:rPr>
          <w:rFonts w:hint="eastAsia" w:ascii="仿宋_GB2312" w:hAnsi="仿宋_GB2312" w:eastAsia="仿宋_GB2312" w:cs="仿宋_GB2312"/>
          <w:b/>
          <w:bCs/>
          <w:color w:val="000000" w:themeColor="text1"/>
          <w:sz w:val="32"/>
          <w:szCs w:val="32"/>
          <w:lang w:bidi="ar"/>
          <w14:textFill>
            <w14:solidFill>
              <w14:schemeClr w14:val="tx1"/>
            </w14:solidFill>
          </w14:textFill>
        </w:rPr>
        <w:t>中央土地指标跨省域调剂收入安排的支出（支持农村厕所革命整村推进财政奖补）区域绩效目标表</w:t>
      </w:r>
    </w:p>
    <w:p>
      <w:pPr>
        <w:spacing w:line="560" w:lineRule="exact"/>
        <w:jc w:val="center"/>
        <w:rPr>
          <w:rFonts w:hint="eastAsia" w:ascii="仿宋_GB2312" w:hAnsi="仿宋_GB2312" w:eastAsia="仿宋_GB2312" w:cs="仿宋_GB2312"/>
          <w:color w:val="000000" w:themeColor="text1"/>
          <w:sz w:val="32"/>
          <w:szCs w:val="32"/>
          <w:lang w:bidi="ar"/>
          <w14:textFill>
            <w14:solidFill>
              <w14:schemeClr w14:val="tx1"/>
            </w14:solidFill>
          </w14:textFill>
        </w:rPr>
      </w:pPr>
      <w:r>
        <w:rPr>
          <w:rFonts w:hint="eastAsia" w:ascii="仿宋_GB2312" w:hAnsi="仿宋_GB2312" w:eastAsia="仿宋_GB2312" w:cs="仿宋_GB2312"/>
          <w:color w:val="000000" w:themeColor="text1"/>
          <w:sz w:val="32"/>
          <w:szCs w:val="32"/>
          <w:lang w:bidi="ar"/>
          <w14:textFill>
            <w14:solidFill>
              <w14:schemeClr w14:val="tx1"/>
            </w14:solidFill>
          </w14:textFill>
        </w:rPr>
        <w:t>（202</w:t>
      </w:r>
      <w:r>
        <w:rPr>
          <w:rFonts w:ascii="仿宋_GB2312" w:hAnsi="仿宋_GB2312" w:eastAsia="仿宋_GB2312" w:cs="仿宋_GB2312"/>
          <w:color w:val="000000" w:themeColor="text1"/>
          <w:sz w:val="32"/>
          <w:szCs w:val="32"/>
          <w:lang w:val="en" w:bidi="ar"/>
          <w14:textFill>
            <w14:solidFill>
              <w14:schemeClr w14:val="tx1"/>
            </w14:solidFill>
          </w14:textFill>
        </w:rPr>
        <w:t>4</w:t>
      </w:r>
      <w:r>
        <w:rPr>
          <w:rFonts w:hint="eastAsia" w:ascii="仿宋_GB2312" w:hAnsi="仿宋_GB2312" w:eastAsia="仿宋_GB2312" w:cs="仿宋_GB2312"/>
          <w:color w:val="000000" w:themeColor="text1"/>
          <w:sz w:val="32"/>
          <w:szCs w:val="32"/>
          <w:lang w:bidi="ar"/>
          <w14:textFill>
            <w14:solidFill>
              <w14:schemeClr w14:val="tx1"/>
            </w14:solidFill>
          </w14:textFill>
        </w:rPr>
        <w:t>年度）</w:t>
      </w:r>
    </w:p>
    <w:tbl>
      <w:tblPr>
        <w:tblStyle w:val="23"/>
        <w:tblW w:w="8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374"/>
        <w:gridCol w:w="1246"/>
        <w:gridCol w:w="1051"/>
        <w:gridCol w:w="583"/>
        <w:gridCol w:w="837"/>
        <w:gridCol w:w="2158"/>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35" w:hRule="atLeast"/>
          <w:jc w:val="center"/>
        </w:trPr>
        <w:tc>
          <w:tcPr>
            <w:tcW w:w="1374" w:type="dxa"/>
            <w:shd w:val="clear" w:color="auto" w:fill="FFFFFF"/>
            <w:vAlign w:val="bottom"/>
          </w:tcPr>
          <w:p>
            <w:pPr>
              <w:pStyle w:val="55"/>
              <w:widowControl/>
              <w:ind w:firstLine="28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专项名称</w:t>
            </w:r>
          </w:p>
        </w:tc>
        <w:tc>
          <w:tcPr>
            <w:tcW w:w="6952" w:type="dxa"/>
            <w:gridSpan w:val="6"/>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土地指标跨省域调剂收入安排的支出（支持农村厕所革命整村推进财政奖补）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0" w:hRule="atLeast"/>
          <w:jc w:val="center"/>
        </w:trPr>
        <w:tc>
          <w:tcPr>
            <w:tcW w:w="1374" w:type="dxa"/>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中央主管部门</w:t>
            </w:r>
          </w:p>
        </w:tc>
        <w:tc>
          <w:tcPr>
            <w:tcW w:w="2297" w:type="dxa"/>
            <w:gridSpan w:val="2"/>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财政部、农业农村部</w:t>
            </w:r>
          </w:p>
        </w:tc>
        <w:tc>
          <w:tcPr>
            <w:tcW w:w="1420" w:type="dxa"/>
            <w:gridSpan w:val="2"/>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专项实施期</w:t>
            </w:r>
          </w:p>
        </w:tc>
        <w:tc>
          <w:tcPr>
            <w:tcW w:w="3235" w:type="dxa"/>
            <w:gridSpan w:val="2"/>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14:textFill>
                  <w14:solidFill>
                    <w14:schemeClr w14:val="tx1"/>
                  </w14:solidFill>
                </w14:textFill>
              </w:rPr>
              <w:t>2019</w:t>
            </w:r>
            <w:r>
              <w:rPr>
                <w:rFonts w:ascii="Times New Roman" w:hAnsi="Times New Roman" w:eastAsia="FangSong"/>
                <w:b/>
                <w:color w:val="000000" w:themeColor="text1"/>
                <w14:textFill>
                  <w14:solidFill>
                    <w14:schemeClr w14:val="tx1"/>
                  </w14:solidFill>
                </w14:textFill>
              </w:rPr>
              <w:t>—</w:t>
            </w:r>
            <w:r>
              <w:rPr>
                <w:rFonts w:hint="default" w:ascii="Times New Roman" w:hAnsi="Times New Roman" w:eastAsia="FangSong"/>
                <w:b/>
                <w:color w:val="000000" w:themeColor="text1"/>
                <w14:textFill>
                  <w14:solidFill>
                    <w14:schemeClr w14:val="tx1"/>
                  </w14:solidFill>
                </w14:textFill>
              </w:rPr>
              <w:t>202</w:t>
            </w:r>
            <w:r>
              <w:rPr>
                <w:rFonts w:hint="default" w:ascii="Times New Roman" w:hAnsi="Times New Roman" w:eastAsia="FangSong"/>
                <w:b/>
                <w:color w:val="000000" w:themeColor="text1"/>
                <w:lang w:val="en"/>
                <w14:textFill>
                  <w14:solidFill>
                    <w14:schemeClr w14:val="tx1"/>
                  </w14:solidFill>
                </w14:textFill>
              </w:rPr>
              <w:t>4</w:t>
            </w:r>
            <w:r>
              <w:rPr>
                <w:rFonts w:hint="default" w:ascii="Times New Roman" w:hAnsi="Times New Roman" w:eastAsia="FangSong"/>
                <w:color w:val="000000" w:themeColor="text1"/>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0" w:hRule="atLeast"/>
          <w:jc w:val="center"/>
        </w:trPr>
        <w:tc>
          <w:tcPr>
            <w:tcW w:w="1374" w:type="dxa"/>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省级主管部门</w:t>
            </w:r>
          </w:p>
        </w:tc>
        <w:tc>
          <w:tcPr>
            <w:tcW w:w="2297"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新疆维吾尔自治区财政厅</w:t>
            </w:r>
          </w:p>
        </w:tc>
        <w:tc>
          <w:tcPr>
            <w:tcW w:w="1420" w:type="dxa"/>
            <w:gridSpan w:val="2"/>
            <w:shd w:val="clear" w:color="auto" w:fill="FFFFFF"/>
            <w:vAlign w:val="bottom"/>
          </w:tcPr>
          <w:p>
            <w:pPr>
              <w:pStyle w:val="55"/>
              <w:widowControl/>
              <w:ind w:firstLine="16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省级共管部门</w:t>
            </w:r>
          </w:p>
        </w:tc>
        <w:tc>
          <w:tcPr>
            <w:tcW w:w="3235" w:type="dxa"/>
            <w:gridSpan w:val="2"/>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新疆维吾尔自治区农业农村厅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9" w:hRule="atLeast"/>
          <w:jc w:val="center"/>
        </w:trPr>
        <w:tc>
          <w:tcPr>
            <w:tcW w:w="1374" w:type="dxa"/>
            <w:vMerge w:val="restart"/>
            <w:shd w:val="clear" w:color="auto" w:fill="FFFFFF"/>
            <w:vAlign w:val="center"/>
          </w:tcPr>
          <w:p>
            <w:pPr>
              <w:pStyle w:val="56"/>
              <w:widowControl/>
              <w:rPr>
                <w:rFonts w:hint="default" w:ascii="Times New Roman" w:hAnsi="Times New Roman" w:eastAsia="FangSong"/>
                <w:color w:val="000000" w:themeColor="text1"/>
                <w:sz w:val="18"/>
                <w:szCs w:val="18"/>
                <w14:textFill>
                  <w14:solidFill>
                    <w14:schemeClr w14:val="tx1"/>
                  </w14:solidFill>
                </w14:textFill>
              </w:rPr>
            </w:pPr>
            <w:r>
              <w:rPr>
                <w:rFonts w:hint="default" w:ascii="Times New Roman" w:hAnsi="Times New Roman" w:eastAsia="FangSong"/>
                <w:color w:val="000000" w:themeColor="text1"/>
                <w:sz w:val="18"/>
                <w:szCs w:val="18"/>
                <w14:textFill>
                  <w14:solidFill>
                    <w14:schemeClr w14:val="tx1"/>
                  </w14:solidFill>
                </w14:textFill>
              </w:rPr>
              <w:t>资金情况（万元）</w:t>
            </w:r>
          </w:p>
        </w:tc>
        <w:tc>
          <w:tcPr>
            <w:tcW w:w="2297" w:type="dxa"/>
            <w:gridSpan w:val="2"/>
            <w:shd w:val="clear" w:color="auto" w:fill="FFFFFF"/>
            <w:vAlign w:val="bottom"/>
          </w:tcPr>
          <w:p>
            <w:pPr>
              <w:pStyle w:val="55"/>
              <w:widowControl/>
              <w:ind w:firstLine="6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年度资金总额：</w:t>
            </w:r>
          </w:p>
        </w:tc>
        <w:tc>
          <w:tcPr>
            <w:tcW w:w="4655" w:type="dxa"/>
            <w:gridSpan w:val="4"/>
            <w:shd w:val="clear" w:color="auto" w:fill="FFFFFF"/>
            <w:vAlign w:val="bottom"/>
          </w:tcPr>
          <w:p>
            <w:pPr>
              <w:pStyle w:val="55"/>
              <w:widowControl/>
              <w:jc w:val="center"/>
              <w:rPr>
                <w:rFonts w:hint="default" w:ascii="Times New Roman" w:hAnsi="Times New Roman" w:eastAsia="FangSong"/>
                <w:color w:val="000000" w:themeColor="text1"/>
                <w:lang w:val="en"/>
                <w14:textFill>
                  <w14:solidFill>
                    <w14:schemeClr w14:val="tx1"/>
                  </w14:solidFill>
                </w14:textFill>
              </w:rPr>
            </w:pPr>
            <w:r>
              <w:rPr>
                <w:rFonts w:hint="default" w:ascii="Times New Roman" w:hAnsi="Times New Roman" w:eastAsia="FangSong"/>
                <w:b/>
                <w:color w:val="000000" w:themeColor="text1"/>
                <w:lang w:val="en"/>
                <w14:textFill>
                  <w14:solidFill>
                    <w14:schemeClr w14:val="tx1"/>
                  </w14:solidFill>
                </w14:textFill>
              </w:rPr>
              <w:t>56311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2"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297" w:type="dxa"/>
            <w:gridSpan w:val="2"/>
            <w:shd w:val="clear" w:color="auto" w:fill="FFFFFF"/>
            <w:vAlign w:val="bottom"/>
          </w:tcPr>
          <w:p>
            <w:pPr>
              <w:pStyle w:val="55"/>
              <w:widowControl/>
              <w:ind w:firstLine="6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其中：中央奖补</w:t>
            </w:r>
          </w:p>
        </w:tc>
        <w:tc>
          <w:tcPr>
            <w:tcW w:w="4655" w:type="dxa"/>
            <w:gridSpan w:val="4"/>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lang w:val="en"/>
                <w14:textFill>
                  <w14:solidFill>
                    <w14:schemeClr w14:val="tx1"/>
                  </w14:solidFill>
                </w14:textFill>
              </w:rPr>
              <w:t>56311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9"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297"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地方资金</w:t>
            </w:r>
          </w:p>
        </w:tc>
        <w:tc>
          <w:tcPr>
            <w:tcW w:w="4655" w:type="dxa"/>
            <w:gridSpan w:val="4"/>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2"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297"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其他资金</w:t>
            </w:r>
          </w:p>
        </w:tc>
        <w:tc>
          <w:tcPr>
            <w:tcW w:w="4655" w:type="dxa"/>
            <w:gridSpan w:val="4"/>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jc w:val="center"/>
        </w:trPr>
        <w:tc>
          <w:tcPr>
            <w:tcW w:w="1374" w:type="dxa"/>
            <w:shd w:val="clear" w:color="auto" w:fill="FFFFFF"/>
            <w:vAlign w:val="center"/>
          </w:tcPr>
          <w:p>
            <w:pPr>
              <w:pStyle w:val="55"/>
              <w:widowControl/>
              <w:ind w:firstLine="28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年度目标</w:t>
            </w:r>
          </w:p>
        </w:tc>
        <w:tc>
          <w:tcPr>
            <w:tcW w:w="6952" w:type="dxa"/>
            <w:gridSpan w:val="6"/>
            <w:shd w:val="clear" w:color="auto" w:fill="FFFFFF"/>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1.完成本地区农村厕所革命整村推进年度工作计划。</w:t>
            </w:r>
          </w:p>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2.持续系统解决农村厕所问题。</w:t>
            </w:r>
          </w:p>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3.推动建立长效管护机制。.......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 w:hRule="atLeast"/>
          <w:jc w:val="center"/>
        </w:trPr>
        <w:tc>
          <w:tcPr>
            <w:tcW w:w="1374" w:type="dxa"/>
            <w:shd w:val="clear" w:color="auto" w:fill="FFFFFF"/>
          </w:tcPr>
          <w:p>
            <w:pPr>
              <w:jc w:val="center"/>
              <w:rPr>
                <w:rFonts w:ascii="Times New Roman" w:hAnsi="Times New Roman" w:eastAsia="FangSong"/>
                <w:color w:val="000000" w:themeColor="text1"/>
                <w:sz w:val="10"/>
                <w:szCs w:val="10"/>
                <w14:textFill>
                  <w14:solidFill>
                    <w14:schemeClr w14:val="tx1"/>
                  </w14:solidFill>
                </w14:textFill>
              </w:rPr>
            </w:pPr>
          </w:p>
        </w:tc>
        <w:tc>
          <w:tcPr>
            <w:tcW w:w="1246" w:type="dxa"/>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一级指标</w:t>
            </w:r>
          </w:p>
        </w:tc>
        <w:tc>
          <w:tcPr>
            <w:tcW w:w="1634" w:type="dxa"/>
            <w:gridSpan w:val="2"/>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二级指标</w:t>
            </w:r>
          </w:p>
        </w:tc>
        <w:tc>
          <w:tcPr>
            <w:tcW w:w="2995" w:type="dxa"/>
            <w:gridSpan w:val="2"/>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三级指标</w:t>
            </w:r>
          </w:p>
        </w:tc>
        <w:tc>
          <w:tcPr>
            <w:tcW w:w="1077" w:type="dxa"/>
            <w:shd w:val="clear" w:color="auto" w:fill="FFFFFF"/>
            <w:vAlign w:val="bottom"/>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13" w:hRule="atLeast"/>
          <w:jc w:val="center"/>
        </w:trPr>
        <w:tc>
          <w:tcPr>
            <w:tcW w:w="1374" w:type="dxa"/>
            <w:vMerge w:val="restart"/>
            <w:shd w:val="clear" w:color="auto" w:fill="FFFFFF"/>
            <w:vAlign w:val="center"/>
          </w:tcPr>
          <w:p>
            <w:pPr>
              <w:pStyle w:val="55"/>
              <w:widowControl/>
              <w:ind w:firstLine="28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绩效指标</w:t>
            </w:r>
          </w:p>
        </w:tc>
        <w:tc>
          <w:tcPr>
            <w:tcW w:w="1246" w:type="dxa"/>
            <w:vMerge w:val="restart"/>
            <w:shd w:val="clear" w:color="auto" w:fill="FFFFFF"/>
            <w:vAlign w:val="center"/>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产出指标</w:t>
            </w:r>
          </w:p>
        </w:tc>
        <w:tc>
          <w:tcPr>
            <w:tcW w:w="1634" w:type="dxa"/>
            <w:gridSpan w:val="2"/>
            <w:vMerge w:val="restart"/>
            <w:shd w:val="clear" w:color="auto" w:fill="FFFFFF"/>
            <w:vAlign w:val="center"/>
          </w:tcPr>
          <w:p>
            <w:pPr>
              <w:pStyle w:val="55"/>
              <w:widowControl/>
              <w:ind w:firstLine="3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数量指标</w:t>
            </w:r>
          </w:p>
        </w:tc>
        <w:tc>
          <w:tcPr>
            <w:tcW w:w="2995"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14:textFill>
                  <w14:solidFill>
                    <w14:schemeClr w14:val="tx1"/>
                  </w14:solidFill>
                </w14:textFill>
              </w:rPr>
              <w:t>202</w:t>
            </w:r>
            <w:r>
              <w:rPr>
                <w:rFonts w:hint="default" w:ascii="Times New Roman" w:hAnsi="Times New Roman" w:eastAsia="FangSong"/>
                <w:b/>
                <w:color w:val="000000" w:themeColor="text1"/>
                <w:lang w:val="en"/>
                <w14:textFill>
                  <w14:solidFill>
                    <w14:schemeClr w14:val="tx1"/>
                  </w14:solidFill>
                </w14:textFill>
              </w:rPr>
              <w:t>4</w:t>
            </w:r>
            <w:r>
              <w:rPr>
                <w:rFonts w:hint="default" w:ascii="Times New Roman" w:hAnsi="Times New Roman" w:eastAsia="FangSong"/>
                <w:color w:val="000000" w:themeColor="text1"/>
                <w14:textFill>
                  <w14:solidFill>
                    <w14:schemeClr w14:val="tx1"/>
                  </w14:solidFill>
                </w14:textFill>
              </w:rPr>
              <w:t>年计划完成改厕农户户数</w:t>
            </w:r>
          </w:p>
        </w:tc>
        <w:tc>
          <w:tcPr>
            <w:tcW w:w="1077" w:type="dxa"/>
            <w:shd w:val="clear" w:color="auto" w:fill="FFFFFF"/>
            <w:vAlign w:val="bottom"/>
          </w:tcPr>
          <w:p>
            <w:pPr>
              <w:pStyle w:val="55"/>
              <w:widowControl/>
              <w:ind w:firstLine="18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XX户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995"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14:textFill>
                  <w14:solidFill>
                    <w14:schemeClr w14:val="tx1"/>
                  </w14:solidFill>
                </w14:textFill>
              </w:rPr>
              <w:t>202</w:t>
            </w:r>
            <w:r>
              <w:rPr>
                <w:rFonts w:hint="default" w:ascii="Times New Roman" w:hAnsi="Times New Roman" w:eastAsia="FangSong"/>
                <w:b/>
                <w:color w:val="000000" w:themeColor="text1"/>
                <w:lang w:val="en"/>
                <w14:textFill>
                  <w14:solidFill>
                    <w14:schemeClr w14:val="tx1"/>
                  </w14:solidFill>
                </w14:textFill>
              </w:rPr>
              <w:t>4</w:t>
            </w:r>
            <w:r>
              <w:rPr>
                <w:rFonts w:hint="default" w:ascii="Times New Roman" w:hAnsi="Times New Roman" w:eastAsia="FangSong"/>
                <w:color w:val="000000" w:themeColor="text1"/>
                <w14:textFill>
                  <w14:solidFill>
                    <w14:schemeClr w14:val="tx1"/>
                  </w14:solidFill>
                </w14:textFill>
              </w:rPr>
              <w:t>年计划完成整村推进的行政村数</w:t>
            </w:r>
          </w:p>
        </w:tc>
        <w:tc>
          <w:tcPr>
            <w:tcW w:w="1077" w:type="dxa"/>
            <w:shd w:val="clear" w:color="auto" w:fill="FFFFFF"/>
            <w:vAlign w:val="bottom"/>
          </w:tcPr>
          <w:p>
            <w:pPr>
              <w:pStyle w:val="55"/>
              <w:widowControl/>
              <w:ind w:firstLine="18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XX个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5"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995" w:type="dxa"/>
            <w:gridSpan w:val="2"/>
            <w:shd w:val="clear" w:color="auto" w:fill="FFFFFF"/>
            <w:vAlign w:val="center"/>
          </w:tcPr>
          <w:p>
            <w:pPr>
              <w:pStyle w:val="55"/>
              <w:widowControl/>
              <w:rPr>
                <w:rFonts w:hint="default" w:ascii="Times New Roman" w:hAnsi="Times New Roman" w:eastAsia="FangSong"/>
                <w:color w:val="000000" w:themeColor="text1"/>
                <w:lang w:val="en"/>
                <w14:textFill>
                  <w14:solidFill>
                    <w14:schemeClr w14:val="tx1"/>
                  </w14:solidFill>
                </w14:textFill>
              </w:rPr>
            </w:pPr>
            <w:r>
              <w:rPr>
                <w:rFonts w:hint="default" w:ascii="Times New Roman" w:hAnsi="Times New Roman" w:eastAsia="FangSong"/>
                <w:b/>
                <w:color w:val="000000" w:themeColor="text1"/>
                <w:lang w:val="en"/>
                <w14:textFill>
                  <w14:solidFill>
                    <w14:schemeClr w14:val="tx1"/>
                  </w14:solidFill>
                </w14:textFill>
              </w:rPr>
              <w:t>.....</w:t>
            </w:r>
          </w:p>
        </w:tc>
        <w:tc>
          <w:tcPr>
            <w:tcW w:w="1077" w:type="dxa"/>
            <w:shd w:val="clear" w:color="auto" w:fill="FFFFFF"/>
          </w:tcPr>
          <w:p>
            <w:pPr>
              <w:rPr>
                <w:rFonts w:ascii="Times New Roman" w:hAnsi="Times New Roman" w:eastAsia="FangSong"/>
                <w:color w:val="000000" w:themeColor="text1"/>
                <w:sz w:val="10"/>
                <w:szCs w:val="1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5"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restart"/>
            <w:shd w:val="clear" w:color="auto" w:fill="FFFFFF"/>
            <w:vAlign w:val="center"/>
          </w:tcPr>
          <w:p>
            <w:pPr>
              <w:pStyle w:val="55"/>
              <w:widowControl/>
              <w:ind w:firstLine="3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质量指标</w:t>
            </w:r>
          </w:p>
        </w:tc>
        <w:tc>
          <w:tcPr>
            <w:tcW w:w="2995"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改造完的厕所设施合格率</w:t>
            </w:r>
          </w:p>
        </w:tc>
        <w:tc>
          <w:tcPr>
            <w:tcW w:w="1077" w:type="dxa"/>
            <w:shd w:val="clear" w:color="auto" w:fill="FFFFFF"/>
            <w:vAlign w:val="bottom"/>
          </w:tcPr>
          <w:p>
            <w:pPr>
              <w:pStyle w:val="55"/>
              <w:widowControl/>
              <w:ind w:firstLine="2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w:t>
            </w:r>
            <w:r>
              <w:rPr>
                <w:rFonts w:hint="default" w:ascii="Times New Roman" w:hAnsi="Times New Roman" w:eastAsia="FangSong"/>
                <w:b/>
                <w:color w:val="000000" w:themeColor="text1"/>
                <w14:textFill>
                  <w14:solidFill>
                    <w14:schemeClr w14:val="tx1"/>
                  </w14:solidFill>
                </w14:textFill>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6"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995"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农村改厕数据库</w:t>
            </w:r>
          </w:p>
        </w:tc>
        <w:tc>
          <w:tcPr>
            <w:tcW w:w="1077" w:type="dxa"/>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基本建成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0"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995" w:type="dxa"/>
            <w:gridSpan w:val="2"/>
            <w:shd w:val="clear" w:color="auto" w:fill="FFFFFF"/>
            <w:vAlign w:val="center"/>
          </w:tcPr>
          <w:p>
            <w:pPr>
              <w:pStyle w:val="55"/>
              <w:widowControl/>
              <w:rPr>
                <w:rFonts w:hint="default" w:ascii="Times New Roman" w:hAnsi="Times New Roman" w:eastAsia="FangSong"/>
                <w:color w:val="000000" w:themeColor="text1"/>
                <w:lang w:val="en"/>
                <w14:textFill>
                  <w14:solidFill>
                    <w14:schemeClr w14:val="tx1"/>
                  </w14:solidFill>
                </w14:textFill>
              </w:rPr>
            </w:pPr>
            <w:r>
              <w:rPr>
                <w:rFonts w:hint="default" w:ascii="Times New Roman" w:hAnsi="Times New Roman" w:eastAsia="FangSong"/>
                <w:b/>
                <w:color w:val="000000" w:themeColor="text1"/>
                <w:lang w:val="en"/>
                <w14:textFill>
                  <w14:solidFill>
                    <w14:schemeClr w14:val="tx1"/>
                  </w14:solidFill>
                </w14:textFill>
              </w:rPr>
              <w:t>.....</w:t>
            </w:r>
          </w:p>
        </w:tc>
        <w:tc>
          <w:tcPr>
            <w:tcW w:w="1077" w:type="dxa"/>
            <w:shd w:val="clear" w:color="auto" w:fill="FFFFFF"/>
          </w:tcPr>
          <w:p>
            <w:pPr>
              <w:rPr>
                <w:rFonts w:ascii="Times New Roman" w:hAnsi="Times New Roman" w:eastAsia="FangSong"/>
                <w:color w:val="000000" w:themeColor="text1"/>
                <w:sz w:val="10"/>
                <w:szCs w:val="1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22"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shd w:val="clear" w:color="auto" w:fill="FFFFFF"/>
            <w:vAlign w:val="center"/>
          </w:tcPr>
          <w:p>
            <w:pPr>
              <w:pStyle w:val="55"/>
              <w:widowControl/>
              <w:ind w:firstLine="3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时效指标</w:t>
            </w:r>
          </w:p>
        </w:tc>
        <w:tc>
          <w:tcPr>
            <w:tcW w:w="2995"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截至</w:t>
            </w:r>
            <w:r>
              <w:rPr>
                <w:rFonts w:hint="default" w:ascii="Times New Roman" w:hAnsi="Times New Roman" w:eastAsia="FangSong"/>
                <w:b/>
                <w:color w:val="000000" w:themeColor="text1"/>
                <w14:textFill>
                  <w14:solidFill>
                    <w14:schemeClr w14:val="tx1"/>
                  </w14:solidFill>
                </w14:textFill>
              </w:rPr>
              <w:t>202</w:t>
            </w:r>
            <w:r>
              <w:rPr>
                <w:rFonts w:hint="default" w:ascii="Times New Roman" w:hAnsi="Times New Roman" w:eastAsia="FangSong"/>
                <w:b/>
                <w:color w:val="000000" w:themeColor="text1"/>
                <w:lang w:val="en"/>
                <w14:textFill>
                  <w14:solidFill>
                    <w14:schemeClr w14:val="tx1"/>
                  </w14:solidFill>
                </w14:textFill>
              </w:rPr>
              <w:t>4</w:t>
            </w:r>
            <w:r>
              <w:rPr>
                <w:rFonts w:hint="default" w:ascii="Times New Roman" w:hAnsi="Times New Roman" w:eastAsia="FangSong"/>
                <w:color w:val="000000" w:themeColor="text1"/>
                <w14:textFill>
                  <w14:solidFill>
                    <w14:schemeClr w14:val="tx1"/>
                  </w14:solidFill>
                </w14:textFill>
              </w:rPr>
              <w:t>年底，年度土地指标跨省域调剂收入安排的支岀（支持农村厕所革命整村推进财政奖补）资金执行率</w:t>
            </w:r>
          </w:p>
        </w:tc>
        <w:tc>
          <w:tcPr>
            <w:tcW w:w="1077" w:type="dxa"/>
            <w:shd w:val="clear" w:color="auto" w:fill="FFFFFF"/>
            <w:vAlign w:val="center"/>
          </w:tcPr>
          <w:p>
            <w:pPr>
              <w:pStyle w:val="55"/>
              <w:widowControl/>
              <w:ind w:firstLine="2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8"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shd w:val="clear" w:color="auto" w:fill="FFFFFF"/>
            <w:vAlign w:val="center"/>
          </w:tcPr>
          <w:p>
            <w:pPr>
              <w:pStyle w:val="55"/>
              <w:widowControl/>
              <w:ind w:firstLine="3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成本指标</w:t>
            </w:r>
          </w:p>
        </w:tc>
        <w:tc>
          <w:tcPr>
            <w:tcW w:w="2995" w:type="dxa"/>
            <w:gridSpan w:val="2"/>
            <w:shd w:val="clear" w:color="auto" w:fill="FFFFFF"/>
            <w:vAlign w:val="center"/>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lang w:val="en"/>
                <w14:textFill>
                  <w14:solidFill>
                    <w14:schemeClr w14:val="tx1"/>
                  </w14:solidFill>
                </w14:textFill>
              </w:rPr>
              <w:t>.....</w:t>
            </w:r>
          </w:p>
        </w:tc>
        <w:tc>
          <w:tcPr>
            <w:tcW w:w="1077" w:type="dxa"/>
            <w:shd w:val="clear" w:color="auto" w:fill="FFFFFF"/>
          </w:tcPr>
          <w:p>
            <w:pPr>
              <w:rPr>
                <w:rFonts w:ascii="Times New Roman" w:hAnsi="Times New Roman" w:eastAsia="FangSong"/>
                <w:color w:val="000000" w:themeColor="text1"/>
                <w:sz w:val="10"/>
                <w:szCs w:val="1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8"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restart"/>
            <w:shd w:val="clear" w:color="auto" w:fill="FFFFFF"/>
            <w:vAlign w:val="center"/>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效益指标</w:t>
            </w:r>
          </w:p>
        </w:tc>
        <w:tc>
          <w:tcPr>
            <w:tcW w:w="1634" w:type="dxa"/>
            <w:gridSpan w:val="2"/>
            <w:shd w:val="clear" w:color="auto" w:fill="FFFFFF"/>
            <w:vAlign w:val="center"/>
          </w:tcPr>
          <w:p>
            <w:pPr>
              <w:pStyle w:val="55"/>
              <w:widowControl/>
              <w:ind w:firstLine="16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经济效益指标</w:t>
            </w:r>
          </w:p>
        </w:tc>
        <w:tc>
          <w:tcPr>
            <w:tcW w:w="2995" w:type="dxa"/>
            <w:gridSpan w:val="2"/>
            <w:shd w:val="clear" w:color="auto" w:fill="FFFFFF"/>
            <w:vAlign w:val="center"/>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lang w:val="en"/>
                <w14:textFill>
                  <w14:solidFill>
                    <w14:schemeClr w14:val="tx1"/>
                  </w14:solidFill>
                </w14:textFill>
              </w:rPr>
              <w:t>....</w:t>
            </w:r>
          </w:p>
        </w:tc>
        <w:tc>
          <w:tcPr>
            <w:tcW w:w="1077" w:type="dxa"/>
            <w:shd w:val="clear" w:color="auto" w:fill="FFFFFF"/>
          </w:tcPr>
          <w:p>
            <w:pPr>
              <w:rPr>
                <w:rFonts w:ascii="Times New Roman" w:hAnsi="Times New Roman" w:eastAsia="FangSong"/>
                <w:color w:val="000000" w:themeColor="text1"/>
                <w:sz w:val="10"/>
                <w:szCs w:val="1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7"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restart"/>
            <w:shd w:val="clear" w:color="auto" w:fill="FFFFFF"/>
            <w:vAlign w:val="center"/>
          </w:tcPr>
          <w:p>
            <w:pPr>
              <w:pStyle w:val="55"/>
              <w:widowControl/>
              <w:ind w:firstLine="16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社会效益指标</w:t>
            </w:r>
          </w:p>
        </w:tc>
        <w:tc>
          <w:tcPr>
            <w:tcW w:w="2995"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当年完成农村厕所革命整村推进行政村的卫生厕所普及率</w:t>
            </w:r>
          </w:p>
        </w:tc>
        <w:tc>
          <w:tcPr>
            <w:tcW w:w="1077" w:type="dxa"/>
            <w:shd w:val="clear" w:color="auto" w:fill="FFFFFF"/>
            <w:vAlign w:val="center"/>
          </w:tcPr>
          <w:p>
            <w:pPr>
              <w:pStyle w:val="55"/>
              <w:widowControl/>
              <w:ind w:firstLine="2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w:t>
            </w:r>
            <w:r>
              <w:rPr>
                <w:rFonts w:hint="default" w:ascii="Times New Roman" w:hAnsi="Times New Roman" w:eastAsia="FangSong"/>
                <w:b/>
                <w:color w:val="000000" w:themeColor="text1"/>
                <w14:textFill>
                  <w14:solidFill>
                    <w14:schemeClr w14:val="tx1"/>
                  </w14:solidFill>
                </w14:textFill>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5"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995" w:type="dxa"/>
            <w:gridSpan w:val="2"/>
            <w:shd w:val="clear" w:color="auto" w:fill="FFFFFF"/>
            <w:vAlign w:val="center"/>
          </w:tcPr>
          <w:p>
            <w:pPr>
              <w:pStyle w:val="55"/>
              <w:widowControl/>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14:textFill>
                  <w14:solidFill>
                    <w14:schemeClr w14:val="tx1"/>
                  </w14:solidFill>
                </w14:textFill>
              </w:rPr>
              <w:tab/>
            </w:r>
            <w:r>
              <w:rPr>
                <w:rFonts w:hint="default" w:ascii="Times New Roman" w:hAnsi="Times New Roman" w:eastAsia="FangSong"/>
                <w:b/>
                <w:color w:val="000000" w:themeColor="text1"/>
                <w:lang w:val="en"/>
                <w14:textFill>
                  <w14:solidFill>
                    <w14:schemeClr w14:val="tx1"/>
                  </w14:solidFill>
                </w14:textFill>
              </w:rPr>
              <w:t>.....</w:t>
            </w:r>
          </w:p>
        </w:tc>
        <w:tc>
          <w:tcPr>
            <w:tcW w:w="1077" w:type="dxa"/>
            <w:shd w:val="clear" w:color="auto" w:fill="FFFFFF"/>
          </w:tcPr>
          <w:p>
            <w:pPr>
              <w:rPr>
                <w:rFonts w:ascii="Times New Roman" w:hAnsi="Times New Roman" w:eastAsia="FangSong"/>
                <w:color w:val="000000" w:themeColor="text1"/>
                <w:sz w:val="10"/>
                <w:szCs w:val="1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6"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restart"/>
            <w:shd w:val="clear" w:color="auto" w:fill="FFFFFF"/>
            <w:vAlign w:val="center"/>
          </w:tcPr>
          <w:p>
            <w:pPr>
              <w:pStyle w:val="55"/>
              <w:widowControl/>
              <w:ind w:firstLine="16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生态效益指标</w:t>
            </w:r>
          </w:p>
        </w:tc>
        <w:tc>
          <w:tcPr>
            <w:tcW w:w="2995" w:type="dxa"/>
            <w:gridSpan w:val="2"/>
            <w:shd w:val="clear" w:color="auto" w:fill="FFFFFF"/>
            <w:vAlign w:val="bottom"/>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当年完成农村厕所革命整村推进行政村的厕所粪污无害化处理率</w:t>
            </w:r>
          </w:p>
        </w:tc>
        <w:tc>
          <w:tcPr>
            <w:tcW w:w="1077" w:type="dxa"/>
            <w:shd w:val="clear" w:color="auto" w:fill="FFFFFF"/>
            <w:vAlign w:val="center"/>
          </w:tcPr>
          <w:p>
            <w:pPr>
              <w:pStyle w:val="55"/>
              <w:widowControl/>
              <w:ind w:firstLine="2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w:t>
            </w:r>
            <w:r>
              <w:rPr>
                <w:rFonts w:hint="default" w:ascii="Times New Roman" w:hAnsi="Times New Roman" w:eastAsia="FangSong"/>
                <w:b/>
                <w:color w:val="000000" w:themeColor="text1"/>
                <w14:textFill>
                  <w14:solidFill>
                    <w14:schemeClr w14:val="tx1"/>
                  </w14:solidFill>
                </w14:textFill>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7"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995" w:type="dxa"/>
            <w:gridSpan w:val="2"/>
            <w:shd w:val="clear" w:color="auto" w:fill="FFFFFF"/>
            <w:vAlign w:val="center"/>
          </w:tcPr>
          <w:p>
            <w:pPr>
              <w:pStyle w:val="55"/>
              <w:widowControl/>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lang w:val="en"/>
                <w14:textFill>
                  <w14:solidFill>
                    <w14:schemeClr w14:val="tx1"/>
                  </w14:solidFill>
                </w14:textFill>
              </w:rPr>
              <w:t>.....</w:t>
            </w:r>
          </w:p>
        </w:tc>
        <w:tc>
          <w:tcPr>
            <w:tcW w:w="1077" w:type="dxa"/>
            <w:shd w:val="clear" w:color="auto" w:fill="FFFFFF"/>
          </w:tcPr>
          <w:p>
            <w:pPr>
              <w:rPr>
                <w:rFonts w:ascii="Times New Roman" w:hAnsi="Times New Roman" w:eastAsia="FangSong"/>
                <w:color w:val="000000" w:themeColor="text1"/>
                <w:sz w:val="10"/>
                <w:szCs w:val="1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4"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restart"/>
            <w:shd w:val="clear" w:color="auto" w:fill="FFFFFF"/>
            <w:vAlign w:val="center"/>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可持续发展指标</w:t>
            </w:r>
          </w:p>
        </w:tc>
        <w:tc>
          <w:tcPr>
            <w:tcW w:w="2995" w:type="dxa"/>
            <w:gridSpan w:val="2"/>
            <w:shd w:val="clear" w:color="auto" w:fill="FFFFFF"/>
            <w:vAlign w:val="center"/>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当年完成农村厕所革命整村推进行政村的长效管护机制</w:t>
            </w:r>
          </w:p>
        </w:tc>
        <w:tc>
          <w:tcPr>
            <w:tcW w:w="1077" w:type="dxa"/>
            <w:shd w:val="clear" w:color="auto" w:fill="FFFFFF"/>
            <w:vAlign w:val="center"/>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初步建立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78"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634" w:type="dxa"/>
            <w:gridSpan w:val="2"/>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2995" w:type="dxa"/>
            <w:gridSpan w:val="2"/>
            <w:shd w:val="clear" w:color="auto" w:fill="FFFFFF"/>
            <w:vAlign w:val="center"/>
          </w:tcPr>
          <w:p>
            <w:pPr>
              <w:pStyle w:val="55"/>
              <w:widowControl/>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b/>
                <w:color w:val="000000" w:themeColor="text1"/>
                <w:lang w:val="en"/>
                <w14:textFill>
                  <w14:solidFill>
                    <w14:schemeClr w14:val="tx1"/>
                  </w14:solidFill>
                </w14:textFill>
              </w:rPr>
              <w:t>.....</w:t>
            </w:r>
          </w:p>
        </w:tc>
        <w:tc>
          <w:tcPr>
            <w:tcW w:w="1077" w:type="dxa"/>
            <w:shd w:val="clear" w:color="auto" w:fill="FFFFFF"/>
          </w:tcPr>
          <w:p>
            <w:pPr>
              <w:rPr>
                <w:rFonts w:ascii="Times New Roman" w:hAnsi="Times New Roman" w:eastAsia="FangSong"/>
                <w:color w:val="000000" w:themeColor="text1"/>
                <w:sz w:val="10"/>
                <w:szCs w:val="1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30" w:hRule="atLeast"/>
          <w:jc w:val="center"/>
        </w:trPr>
        <w:tc>
          <w:tcPr>
            <w:tcW w:w="1374" w:type="dxa"/>
            <w:vMerge w:val="continue"/>
            <w:shd w:val="clear" w:color="auto" w:fill="FFFFFF"/>
            <w:vAlign w:val="center"/>
          </w:tcPr>
          <w:p>
            <w:pPr>
              <w:rPr>
                <w:rFonts w:ascii="Times New Roman" w:hAnsi="Times New Roman"/>
                <w:color w:val="000000" w:themeColor="text1"/>
                <w:sz w:val="20"/>
                <w:szCs w:val="20"/>
                <w14:textFill>
                  <w14:solidFill>
                    <w14:schemeClr w14:val="tx1"/>
                  </w14:solidFill>
                </w14:textFill>
              </w:rPr>
            </w:pPr>
          </w:p>
        </w:tc>
        <w:tc>
          <w:tcPr>
            <w:tcW w:w="1246" w:type="dxa"/>
            <w:shd w:val="clear" w:color="auto" w:fill="FFFFFF"/>
            <w:vAlign w:val="center"/>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满意度指标</w:t>
            </w:r>
          </w:p>
        </w:tc>
        <w:tc>
          <w:tcPr>
            <w:tcW w:w="1634" w:type="dxa"/>
            <w:gridSpan w:val="2"/>
            <w:shd w:val="clear" w:color="auto" w:fill="FFFFFF"/>
            <w:vAlign w:val="center"/>
          </w:tcPr>
          <w:p>
            <w:pPr>
              <w:pStyle w:val="55"/>
              <w:widowControl/>
              <w:jc w:val="center"/>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服务对象满意度 指标</w:t>
            </w:r>
          </w:p>
        </w:tc>
        <w:tc>
          <w:tcPr>
            <w:tcW w:w="2995" w:type="dxa"/>
            <w:gridSpan w:val="2"/>
            <w:shd w:val="clear" w:color="auto" w:fill="FFFFFF"/>
            <w:vAlign w:val="center"/>
          </w:tcPr>
          <w:p>
            <w:pPr>
              <w:pStyle w:val="55"/>
              <w:widowControl/>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项目区农民满意度</w:t>
            </w:r>
          </w:p>
        </w:tc>
        <w:tc>
          <w:tcPr>
            <w:tcW w:w="1077" w:type="dxa"/>
            <w:shd w:val="clear" w:color="auto" w:fill="FFFFFF"/>
            <w:vAlign w:val="center"/>
          </w:tcPr>
          <w:p>
            <w:pPr>
              <w:pStyle w:val="55"/>
              <w:widowControl/>
              <w:ind w:firstLine="240"/>
              <w:jc w:val="left"/>
              <w:rPr>
                <w:rFonts w:hint="default" w:ascii="Times New Roman" w:hAnsi="Times New Roman" w:eastAsia="FangSong"/>
                <w:color w:val="000000" w:themeColor="text1"/>
                <w14:textFill>
                  <w14:solidFill>
                    <w14:schemeClr w14:val="tx1"/>
                  </w14:solidFill>
                </w14:textFill>
              </w:rPr>
            </w:pPr>
            <w:r>
              <w:rPr>
                <w:rFonts w:hint="default" w:ascii="Times New Roman" w:hAnsi="Times New Roman" w:eastAsia="FangSong"/>
                <w:color w:val="000000" w:themeColor="text1"/>
                <w14:textFill>
                  <w14:solidFill>
                    <w14:schemeClr w14:val="tx1"/>
                  </w14:solidFill>
                </w14:textFill>
              </w:rPr>
              <w:t>≥</w:t>
            </w:r>
            <w:r>
              <w:rPr>
                <w:rFonts w:hint="default" w:ascii="Times New Roman" w:hAnsi="Times New Roman" w:eastAsia="FangSong"/>
                <w:b/>
                <w:color w:val="000000" w:themeColor="text1"/>
                <w14:textFill>
                  <w14:solidFill>
                    <w14:schemeClr w14:val="tx1"/>
                  </w14:solidFill>
                </w14:textFill>
              </w:rPr>
              <w:t>90%</w:t>
            </w:r>
          </w:p>
        </w:tc>
      </w:tr>
    </w:tbl>
    <w:p>
      <w:pPr>
        <w:autoSpaceDE w:val="0"/>
        <w:spacing w:line="540" w:lineRule="exact"/>
        <w:ind w:firstLine="642" w:firstLineChars="200"/>
        <w:contextualSpacing/>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（二）自治区分解下达预算和绩效目标情况</w:t>
      </w:r>
    </w:p>
    <w:p>
      <w:pPr>
        <w:autoSpaceDE w:val="0"/>
        <w:spacing w:line="540" w:lineRule="exact"/>
        <w:ind w:firstLine="642" w:firstLineChars="200"/>
        <w:contextualSpacing/>
        <w:rPr>
          <w:rFonts w:ascii="Times New Roman" w:hAnsi="Times New Roman" w:eastAsia="KaiTi"/>
          <w:b/>
          <w:color w:val="000000" w:themeColor="text1"/>
          <w:sz w:val="32"/>
          <w:szCs w:val="32"/>
          <w14:textFill>
            <w14:solidFill>
              <w14:schemeClr w14:val="tx1"/>
            </w14:solidFill>
          </w14:textFill>
        </w:rPr>
      </w:pPr>
      <w:r>
        <w:rPr>
          <w:rFonts w:ascii="Times New Roman" w:hAnsi="Times New Roman" w:eastAsia="KaiTi"/>
          <w:b/>
          <w:color w:val="000000" w:themeColor="text1"/>
          <w:sz w:val="32"/>
          <w:szCs w:val="32"/>
          <w14:textFill>
            <w14:solidFill>
              <w14:schemeClr w14:val="tx1"/>
            </w14:solidFill>
          </w14:textFill>
        </w:rPr>
        <w:t>1.预算情况</w:t>
      </w:r>
    </w:p>
    <w:p>
      <w:pPr>
        <w:pStyle w:val="54"/>
        <w:autoSpaceDE w:val="0"/>
        <w:spacing w:after="0" w:line="54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2024年4月16日，自治区收到中央下达财政奖补资金56311万元，</w:t>
      </w:r>
      <w:r>
        <w:rPr>
          <w:rFonts w:hint="eastAsia" w:ascii="Times New Roman" w:hAnsi="Times New Roman" w:eastAsia="仿宋_GB2312" w:cs="Times New Roman"/>
          <w:color w:val="000000" w:themeColor="text1"/>
          <w:sz w:val="32"/>
          <w:szCs w:val="32"/>
          <w14:textFill>
            <w14:solidFill>
              <w14:schemeClr w14:val="tx1"/>
            </w14:solidFill>
          </w14:textFill>
        </w:rPr>
        <w:t>并</w:t>
      </w:r>
      <w:r>
        <w:rPr>
          <w:rFonts w:ascii="Times New Roman" w:hAnsi="Times New Roman" w:eastAsia="仿宋_GB2312" w:cs="Times New Roman"/>
          <w:color w:val="000000" w:themeColor="text1"/>
          <w:sz w:val="32"/>
          <w:szCs w:val="32"/>
          <w14:textFill>
            <w14:solidFill>
              <w14:schemeClr w14:val="tx1"/>
            </w14:solidFill>
          </w14:textFill>
        </w:rPr>
        <w:t>于2024年5月11日以《关于下达2024年中央土地指标跨省域调剂收入安排的支出预算（支持农村厕所革命整村推进财政奖补）的通知》（新财振〔2024〕13号）向各地一次性分解下达预算56311万元，占中央下达预算总额的100%，下达率100%。</w:t>
      </w:r>
      <w:r>
        <w:rPr>
          <w:rFonts w:ascii="Times New Roman" w:hAnsi="Times New Roman" w:eastAsia="仿宋_GB2312"/>
          <w:color w:val="000000" w:themeColor="text1"/>
          <w:sz w:val="32"/>
          <w:szCs w:val="32"/>
          <w14:textFill>
            <w14:solidFill>
              <w14:schemeClr w14:val="tx1"/>
            </w14:solidFill>
          </w14:textFill>
        </w:rPr>
        <w:t>资金分解</w:t>
      </w:r>
      <w:r>
        <w:rPr>
          <w:rFonts w:hint="eastAsia" w:ascii="Times New Roman" w:hAnsi="Times New Roman" w:eastAsia="仿宋_GB2312"/>
          <w:color w:val="000000" w:themeColor="text1"/>
          <w:sz w:val="32"/>
          <w:szCs w:val="32"/>
          <w14:textFill>
            <w14:solidFill>
              <w14:schemeClr w14:val="tx1"/>
            </w14:solidFill>
          </w14:textFill>
        </w:rPr>
        <w:t>下达</w:t>
      </w:r>
      <w:r>
        <w:rPr>
          <w:rFonts w:ascii="Times New Roman" w:hAnsi="Times New Roman" w:eastAsia="仿宋_GB2312"/>
          <w:color w:val="000000" w:themeColor="text1"/>
          <w:sz w:val="32"/>
          <w:szCs w:val="32"/>
          <w14:textFill>
            <w14:solidFill>
              <w14:schemeClr w14:val="tx1"/>
            </w14:solidFill>
          </w14:textFill>
        </w:rPr>
        <w:t>如下：</w:t>
      </w:r>
    </w:p>
    <w:p>
      <w:pPr>
        <w:adjustRightInd w:val="0"/>
        <w:snapToGrid w:val="0"/>
        <w:spacing w:line="520" w:lineRule="exact"/>
        <w:jc w:val="center"/>
        <w:rPr>
          <w:rFonts w:hint="eastAsia" w:ascii="仿宋_GB2312" w:hAnsi="仿宋_GB2312" w:eastAsia="仿宋_GB2312" w:cs="仿宋_GB2312"/>
          <w:b/>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2024年中央农村厕所革命整村推进财政奖补资金</w:t>
      </w:r>
    </w:p>
    <w:p>
      <w:pPr>
        <w:adjustRightInd w:val="0"/>
        <w:snapToGrid w:val="0"/>
        <w:spacing w:line="520" w:lineRule="exact"/>
        <w:jc w:val="center"/>
        <w:rPr>
          <w:rFonts w:hint="eastAsia" w:ascii="仿宋_GB2312" w:hAnsi="仿宋_GB2312" w:eastAsia="仿宋_GB2312" w:cs="仿宋_GB2312"/>
          <w:b/>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统计表</w:t>
      </w:r>
    </w:p>
    <w:tbl>
      <w:tblPr>
        <w:tblStyle w:val="23"/>
        <w:tblW w:w="8485" w:type="dxa"/>
        <w:tblInd w:w="91" w:type="dxa"/>
        <w:tblLayout w:type="fixed"/>
        <w:tblCellMar>
          <w:top w:w="0" w:type="dxa"/>
          <w:left w:w="108" w:type="dxa"/>
          <w:bottom w:w="0" w:type="dxa"/>
          <w:right w:w="108" w:type="dxa"/>
        </w:tblCellMar>
      </w:tblPr>
      <w:tblGrid>
        <w:gridCol w:w="950"/>
        <w:gridCol w:w="2549"/>
        <w:gridCol w:w="1600"/>
        <w:gridCol w:w="1825"/>
        <w:gridCol w:w="1561"/>
      </w:tblGrid>
      <w:tr>
        <w:tblPrEx>
          <w:tblCellMar>
            <w:top w:w="0" w:type="dxa"/>
            <w:left w:w="108" w:type="dxa"/>
            <w:bottom w:w="0" w:type="dxa"/>
            <w:right w:w="108" w:type="dxa"/>
          </w:tblCellMar>
        </w:tblPrEx>
        <w:trPr>
          <w:trHeight w:val="431"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序号</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地州、县市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项目数（个）</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资金（万元）</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备注</w:t>
            </w:r>
          </w:p>
        </w:tc>
      </w:tr>
      <w:tr>
        <w:tblPrEx>
          <w:tblCellMar>
            <w:top w:w="0" w:type="dxa"/>
            <w:left w:w="108" w:type="dxa"/>
            <w:bottom w:w="0" w:type="dxa"/>
            <w:right w:w="108" w:type="dxa"/>
          </w:tblCellMar>
        </w:tblPrEx>
        <w:trPr>
          <w:trHeight w:val="378"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合计</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13个地州、54个县市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103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56311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一</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乌鲁木齐市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5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2740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1.达坂城区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1300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2.水磨沟区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440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3.乌鲁木齐县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1000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二</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伊犁州</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14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8354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1.察布查尔县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1677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2.巩留县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1677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6</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3.霍城县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1400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7</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4.特克斯县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8</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5.新源县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2400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9</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6.伊宁县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三</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塔城地区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9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5223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10</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1.额敏县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1257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11</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2.和丰县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1600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12</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3.塔城市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640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13</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4.托里县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678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14</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5.裕民县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1048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四</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阿勒泰地区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5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2915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15</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1.福海县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340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16</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2.富蕴县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1232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17</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3.哈巴河县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683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18</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4.青河县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660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五</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博州</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11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4832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19</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1.博乐市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1480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20</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2.精河县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1462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21</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3.温泉县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1890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六</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昌吉州</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9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4649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22</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1.昌吉市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659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23</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2.阜康市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1260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24</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3.呼图壁县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610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25</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4.玛纳斯县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1800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26</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5.木垒县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320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七</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哈密市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390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27</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1.伊州区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390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八</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吐鲁番市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4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2836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28</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1.高昌区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2836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九</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巴州</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11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6683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29</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1.博湖县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1268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30</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2.和静县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672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31</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3.和硕县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1352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32</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4.库尔勒市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680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33</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5.轮台县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1351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34</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6.且末县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1020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35</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7.尉犁县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340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十</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阿克苏地区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8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4860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36</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1.阿克苏市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1260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37</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2.拜城县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260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38</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3.沙雅县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1010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39</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4.温宿县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665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sz w:val="24"/>
                <w14:textFill>
                  <w14:solidFill>
                    <w14:schemeClr w14:val="tx1"/>
                  </w14:solidFill>
                </w14:textFill>
              </w:rPr>
              <w:t>覆盖2个村</w:t>
            </w: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40</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5.乌什县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1000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41</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6.新和县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665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十一</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克州</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6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2885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42</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1.阿合奇县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975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43</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2.阿克陶县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320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44</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3.阿图什市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1110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45</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4.乌恰县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480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十二</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喀什地区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7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4496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46</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1.巴楚县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1340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47</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2.喀什市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610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48</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3.麦盖提县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2546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十三</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和田地区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13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b/>
                <w:color w:val="000000" w:themeColor="text1"/>
                <w:sz w:val="24"/>
                <w14:textFill>
                  <w14:solidFill>
                    <w14:schemeClr w14:val="tx1"/>
                  </w14:solidFill>
                </w14:textFill>
              </w:rPr>
            </w:pPr>
            <w:r>
              <w:rPr>
                <w:rFonts w:hint="eastAsia" w:ascii="仿宋_GB2312" w:hAnsi="宋体" w:eastAsia="仿宋_GB2312" w:cs="仿宋_GB2312"/>
                <w:b/>
                <w:color w:val="000000" w:themeColor="text1"/>
                <w:kern w:val="0"/>
                <w:sz w:val="24"/>
                <w:lang w:bidi="ar"/>
                <w14:textFill>
                  <w14:solidFill>
                    <w14:schemeClr w14:val="tx1"/>
                  </w14:solidFill>
                </w14:textFill>
              </w:rPr>
              <w:t xml:space="preserve">5448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49</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1.策勒县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407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50</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2.和田市</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2542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51</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3.和田县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687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52</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4.民丰县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327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53</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5.皮山县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2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1158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346" w:hRule="exac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54</w:t>
            </w:r>
          </w:p>
        </w:tc>
        <w:tc>
          <w:tcPr>
            <w:tcW w:w="2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40" w:firstLineChars="100"/>
              <w:jc w:val="left"/>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6.于田县</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1 </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themeColor="text1"/>
                <w:sz w:val="24"/>
                <w14:textFill>
                  <w14:solidFill>
                    <w14:schemeClr w14:val="tx1"/>
                  </w14:solidFill>
                </w14:textFill>
              </w:rPr>
            </w:pPr>
            <w:r>
              <w:rPr>
                <w:rFonts w:hint="eastAsia" w:ascii="仿宋_GB2312" w:hAnsi="宋体" w:eastAsia="仿宋_GB2312" w:cs="仿宋_GB2312"/>
                <w:color w:val="000000" w:themeColor="text1"/>
                <w:kern w:val="0"/>
                <w:sz w:val="24"/>
                <w:lang w:bidi="ar"/>
                <w14:textFill>
                  <w14:solidFill>
                    <w14:schemeClr w14:val="tx1"/>
                  </w14:solidFill>
                </w14:textFill>
              </w:rPr>
              <w:t xml:space="preserve">327 </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color w:val="000000" w:themeColor="text1"/>
                <w:sz w:val="24"/>
                <w14:textFill>
                  <w14:solidFill>
                    <w14:schemeClr w14:val="tx1"/>
                  </w14:solidFill>
                </w14:textFill>
              </w:rPr>
            </w:pPr>
          </w:p>
        </w:tc>
      </w:tr>
    </w:tbl>
    <w:p>
      <w:pPr>
        <w:autoSpaceDE w:val="0"/>
        <w:spacing w:line="540" w:lineRule="exact"/>
        <w:ind w:firstLine="642" w:firstLineChars="200"/>
        <w:contextualSpacing/>
        <w:rPr>
          <w:rFonts w:ascii="Times New Roman" w:hAnsi="Times New Roman" w:eastAsia="KaiTi"/>
          <w:b/>
          <w:color w:val="000000" w:themeColor="text1"/>
          <w:sz w:val="32"/>
          <w:szCs w:val="32"/>
          <w14:textFill>
            <w14:solidFill>
              <w14:schemeClr w14:val="tx1"/>
            </w14:solidFill>
          </w14:textFill>
        </w:rPr>
      </w:pPr>
      <w:r>
        <w:rPr>
          <w:rFonts w:ascii="Times New Roman" w:hAnsi="Times New Roman" w:eastAsia="KaiTi"/>
          <w:b/>
          <w:color w:val="000000" w:themeColor="text1"/>
          <w:sz w:val="32"/>
          <w:szCs w:val="32"/>
          <w14:textFill>
            <w14:solidFill>
              <w14:schemeClr w14:val="tx1"/>
            </w14:solidFill>
          </w14:textFill>
        </w:rPr>
        <w:t>2.绩效目标情况</w:t>
      </w:r>
    </w:p>
    <w:p>
      <w:pPr>
        <w:autoSpaceDE w:val="0"/>
        <w:spacing w:line="54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依据中央下达预算区域性绩效目标，结合我区专项支持农村厕所革命整村推进（农村粪污一体化治理）项目特性，认真研究制定和分解绩效指标及目标值，且从下而上由各地县结合实际逐级研究填报，自治区分类统计汇总赋值</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lang w:bidi="ar"/>
          <w14:textFill>
            <w14:solidFill>
              <w14:schemeClr w14:val="tx1"/>
            </w14:solidFill>
          </w14:textFill>
        </w:rPr>
        <w:t>详见下表</w:t>
      </w:r>
      <w:r>
        <w:rPr>
          <w:rFonts w:ascii="Times New Roman" w:hAnsi="Times New Roman" w:eastAsia="仿宋_GB2312"/>
          <w:color w:val="000000" w:themeColor="text1"/>
          <w:sz w:val="32"/>
          <w:szCs w:val="32"/>
          <w14:textFill>
            <w14:solidFill>
              <w14:schemeClr w14:val="tx1"/>
            </w14:solidFill>
          </w14:textFill>
        </w:rPr>
        <w:t>。</w:t>
      </w:r>
    </w:p>
    <w:p>
      <w:pPr>
        <w:pStyle w:val="2"/>
        <w:rPr>
          <w:rFonts w:hint="default" w:ascii="Times New Roman" w:hAnsi="Times New Roman" w:eastAsia="仿宋_GB2312"/>
          <w:color w:val="000000" w:themeColor="text1"/>
          <w:sz w:val="32"/>
          <w:szCs w:val="32"/>
          <w14:textFill>
            <w14:solidFill>
              <w14:schemeClr w14:val="tx1"/>
            </w14:solidFill>
          </w14:textFill>
        </w:rPr>
        <w:sectPr>
          <w:headerReference r:id="rId5" w:type="default"/>
          <w:footerReference r:id="rId6" w:type="default"/>
          <w:pgSz w:w="11850" w:h="16783"/>
          <w:pgMar w:top="1985" w:right="1474" w:bottom="1276" w:left="1587" w:header="1134" w:footer="992" w:gutter="0"/>
          <w:pgNumType w:fmt="numberInDash"/>
          <w:cols w:space="0" w:num="1"/>
          <w:docGrid w:type="lines" w:linePitch="315" w:charSpace="0"/>
        </w:sectPr>
      </w:pPr>
    </w:p>
    <w:p>
      <w:pPr>
        <w:adjustRightInd w:val="0"/>
        <w:snapToGrid w:val="0"/>
        <w:spacing w:line="520" w:lineRule="exact"/>
        <w:jc w:val="center"/>
        <w:rPr>
          <w:rFonts w:hint="eastAsia" w:ascii="仿宋_GB2312" w:hAnsi="仿宋_GB2312" w:eastAsia="仿宋_GB2312" w:cs="仿宋_GB2312"/>
          <w:b/>
          <w:bCs/>
          <w:color w:val="000000" w:themeColor="text1"/>
          <w:kern w:val="0"/>
          <w:sz w:val="36"/>
          <w:szCs w:val="36"/>
          <w14:textFill>
            <w14:solidFill>
              <w14:schemeClr w14:val="tx1"/>
            </w14:solidFill>
          </w14:textFill>
        </w:rPr>
      </w:pPr>
      <w:r>
        <w:rPr>
          <w:rFonts w:hint="eastAsia" w:ascii="仿宋_GB2312" w:hAnsi="仿宋_GB2312" w:eastAsia="仿宋_GB2312" w:cs="仿宋_GB2312"/>
          <w:b/>
          <w:bCs/>
          <w:color w:val="000000" w:themeColor="text1"/>
          <w:kern w:val="0"/>
          <w:sz w:val="36"/>
          <w:szCs w:val="36"/>
          <w14:textFill>
            <w14:solidFill>
              <w14:schemeClr w14:val="tx1"/>
            </w14:solidFill>
          </w14:textFill>
        </w:rPr>
        <w:t>2024年中央农村厕所革命整村推进财政奖补区域绩效目标表</w:t>
      </w:r>
    </w:p>
    <w:p>
      <w:pPr>
        <w:adjustRightInd w:val="0"/>
        <w:snapToGrid w:val="0"/>
        <w:spacing w:line="520" w:lineRule="exact"/>
        <w:jc w:val="center"/>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kern w:val="0"/>
          <w:sz w:val="36"/>
          <w:szCs w:val="36"/>
          <w14:textFill>
            <w14:solidFill>
              <w14:schemeClr w14:val="tx1"/>
            </w14:solidFill>
          </w14:textFill>
        </w:rPr>
        <w:t>（2024年度）</w:t>
      </w:r>
    </w:p>
    <w:tbl>
      <w:tblPr>
        <w:tblStyle w:val="23"/>
        <w:tblW w:w="15188" w:type="dxa"/>
        <w:jc w:val="center"/>
        <w:tblLayout w:type="fixed"/>
        <w:tblCellMar>
          <w:top w:w="0" w:type="dxa"/>
          <w:left w:w="108" w:type="dxa"/>
          <w:bottom w:w="0" w:type="dxa"/>
          <w:right w:w="108" w:type="dxa"/>
        </w:tblCellMar>
      </w:tblPr>
      <w:tblGrid>
        <w:gridCol w:w="1291"/>
        <w:gridCol w:w="795"/>
        <w:gridCol w:w="794"/>
        <w:gridCol w:w="421"/>
        <w:gridCol w:w="1350"/>
        <w:gridCol w:w="495"/>
        <w:gridCol w:w="871"/>
        <w:gridCol w:w="679"/>
        <w:gridCol w:w="677"/>
        <w:gridCol w:w="671"/>
        <w:gridCol w:w="671"/>
        <w:gridCol w:w="685"/>
        <w:gridCol w:w="674"/>
        <w:gridCol w:w="671"/>
        <w:gridCol w:w="671"/>
        <w:gridCol w:w="671"/>
        <w:gridCol w:w="779"/>
        <w:gridCol w:w="770"/>
        <w:gridCol w:w="765"/>
        <w:gridCol w:w="787"/>
      </w:tblGrid>
      <w:tr>
        <w:tblPrEx>
          <w:tblCellMar>
            <w:top w:w="0" w:type="dxa"/>
            <w:left w:w="108" w:type="dxa"/>
            <w:bottom w:w="0" w:type="dxa"/>
            <w:right w:w="108" w:type="dxa"/>
          </w:tblCellMar>
        </w:tblPrEx>
        <w:trPr>
          <w:trHeight w:val="680" w:hRule="atLeast"/>
          <w:jc w:val="center"/>
        </w:trPr>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专项名称</w:t>
            </w:r>
          </w:p>
        </w:tc>
        <w:tc>
          <w:tcPr>
            <w:tcW w:w="472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土地指标跨省域调剂收入安排的支出（支持农村厕所革命整村推进财政奖补）</w:t>
            </w:r>
          </w:p>
        </w:tc>
        <w:tc>
          <w:tcPr>
            <w:tcW w:w="9171" w:type="dxa"/>
            <w:gridSpan w:val="1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分区域绩效目标</w:t>
            </w:r>
          </w:p>
        </w:tc>
      </w:tr>
      <w:tr>
        <w:tblPrEx>
          <w:tblCellMar>
            <w:top w:w="0" w:type="dxa"/>
            <w:left w:w="108" w:type="dxa"/>
            <w:bottom w:w="0" w:type="dxa"/>
            <w:right w:w="108" w:type="dxa"/>
          </w:tblCellMar>
        </w:tblPrEx>
        <w:trPr>
          <w:trHeight w:val="520" w:hRule="atLeast"/>
          <w:jc w:val="center"/>
        </w:trPr>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中央主管部门</w:t>
            </w: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财政部、农业农村部</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专项实施期</w:t>
            </w:r>
          </w:p>
        </w:tc>
        <w:tc>
          <w:tcPr>
            <w:tcW w:w="136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2019-2024年</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乌鲁木齐市</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伊犁州</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塔城地区</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阿勒泰地区</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博州</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昌吉州</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哈密市</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吐鲁番市</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巴州</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阿克苏地区</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克州</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喀什地区</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和田地区</w:t>
            </w:r>
          </w:p>
        </w:tc>
      </w:tr>
      <w:tr>
        <w:tblPrEx>
          <w:tblCellMar>
            <w:top w:w="0" w:type="dxa"/>
            <w:left w:w="108" w:type="dxa"/>
            <w:bottom w:w="0" w:type="dxa"/>
            <w:right w:w="108" w:type="dxa"/>
          </w:tblCellMar>
        </w:tblPrEx>
        <w:trPr>
          <w:trHeight w:val="480" w:hRule="atLeast"/>
          <w:jc w:val="center"/>
        </w:trPr>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省级主管部门</w:t>
            </w: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新疆维吾尔自治区财政厅</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省级共管部门</w:t>
            </w:r>
          </w:p>
        </w:tc>
        <w:tc>
          <w:tcPr>
            <w:tcW w:w="136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6"/>
                <w:szCs w:val="16"/>
                <w:lang w:bidi="ar"/>
                <w14:textFill>
                  <w14:solidFill>
                    <w14:schemeClr w14:val="tx1"/>
                  </w14:solidFill>
                </w14:textFill>
              </w:rPr>
              <w:t>新疆维吾尔自治区农业农村厅</w:t>
            </w:r>
          </w:p>
        </w:tc>
        <w:tc>
          <w:tcPr>
            <w:tcW w:w="9171" w:type="dxa"/>
            <w:gridSpan w:val="1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各地（州、市）财政局、农业农村局</w:t>
            </w:r>
          </w:p>
        </w:tc>
      </w:tr>
      <w:tr>
        <w:tblPrEx>
          <w:tblCellMar>
            <w:top w:w="0" w:type="dxa"/>
            <w:left w:w="108" w:type="dxa"/>
            <w:bottom w:w="0" w:type="dxa"/>
            <w:right w:w="108" w:type="dxa"/>
          </w:tblCellMar>
        </w:tblPrEx>
        <w:trPr>
          <w:trHeight w:val="400" w:hRule="atLeast"/>
          <w:jc w:val="center"/>
        </w:trPr>
        <w:tc>
          <w:tcPr>
            <w:tcW w:w="12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资金情况（万元）</w:t>
            </w: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年度资金总额：</w:t>
            </w:r>
          </w:p>
        </w:tc>
        <w:tc>
          <w:tcPr>
            <w:tcW w:w="271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56311</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2740</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8354</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5223</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2915</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4832</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4649</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390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2836</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6683</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4860</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2885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4496</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5448</w:t>
            </w:r>
          </w:p>
        </w:tc>
      </w:tr>
      <w:tr>
        <w:tblPrEx>
          <w:tblCellMar>
            <w:top w:w="0" w:type="dxa"/>
            <w:left w:w="108" w:type="dxa"/>
            <w:bottom w:w="0" w:type="dxa"/>
            <w:right w:w="108" w:type="dxa"/>
          </w:tblCellMar>
        </w:tblPrEx>
        <w:trPr>
          <w:trHeight w:val="40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其中：中央奖补</w:t>
            </w:r>
          </w:p>
        </w:tc>
        <w:tc>
          <w:tcPr>
            <w:tcW w:w="271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56311</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2740</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8354</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5223</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2915</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4832</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4649</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390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2836</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6683</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4860</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2885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4496</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5448</w:t>
            </w:r>
          </w:p>
        </w:tc>
      </w:tr>
      <w:tr>
        <w:tblPrEx>
          <w:tblCellMar>
            <w:top w:w="0" w:type="dxa"/>
            <w:left w:w="108" w:type="dxa"/>
            <w:bottom w:w="0" w:type="dxa"/>
            <w:right w:w="108" w:type="dxa"/>
          </w:tblCellMar>
        </w:tblPrEx>
        <w:trPr>
          <w:trHeight w:val="40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地方资金</w:t>
            </w:r>
          </w:p>
        </w:tc>
        <w:tc>
          <w:tcPr>
            <w:tcW w:w="271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0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其他资金</w:t>
            </w:r>
          </w:p>
        </w:tc>
        <w:tc>
          <w:tcPr>
            <w:tcW w:w="271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560" w:hRule="atLeast"/>
          <w:jc w:val="center"/>
        </w:trPr>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年度目标</w:t>
            </w:r>
          </w:p>
        </w:tc>
        <w:tc>
          <w:tcPr>
            <w:tcW w:w="472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1.完成试点示范村农村厕所革命整村推进年度工作计划。2.持续系统解决农村厕所问题。3.推动建立长效管护机制。</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w:t>
            </w:r>
          </w:p>
        </w:tc>
      </w:tr>
      <w:tr>
        <w:tblPrEx>
          <w:tblCellMar>
            <w:top w:w="0" w:type="dxa"/>
            <w:left w:w="108" w:type="dxa"/>
            <w:bottom w:w="0" w:type="dxa"/>
            <w:right w:w="108" w:type="dxa"/>
          </w:tblCellMar>
        </w:tblPrEx>
        <w:trPr>
          <w:trHeight w:val="560" w:hRule="atLeast"/>
          <w:jc w:val="center"/>
        </w:trPr>
        <w:tc>
          <w:tcPr>
            <w:tcW w:w="12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b/>
                <w:color w:val="000000" w:themeColor="text1"/>
                <w:sz w:val="18"/>
                <w:szCs w:val="18"/>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一级指标</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二级指标</w:t>
            </w: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三级指标</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指标值</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1</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2</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3</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4</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5</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6</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7</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8</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9</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10</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11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12</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13</w:t>
            </w:r>
          </w:p>
        </w:tc>
      </w:tr>
      <w:tr>
        <w:tblPrEx>
          <w:tblCellMar>
            <w:top w:w="0" w:type="dxa"/>
            <w:left w:w="108" w:type="dxa"/>
            <w:bottom w:w="0" w:type="dxa"/>
            <w:right w:w="108" w:type="dxa"/>
          </w:tblCellMar>
        </w:tblPrEx>
        <w:trPr>
          <w:trHeight w:val="560" w:hRule="atLeast"/>
          <w:jc w:val="center"/>
        </w:trPr>
        <w:tc>
          <w:tcPr>
            <w:tcW w:w="12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绩效指标</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产出指标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数量指标</w:t>
            </w: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2024</w:t>
            </w: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年计划完成改厕农户数（户）</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231391</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4632</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6533</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3215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2276</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4166</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5370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834</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5639</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8925</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45523</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12800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92603</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38875</w:t>
            </w:r>
          </w:p>
        </w:tc>
      </w:tr>
      <w:tr>
        <w:tblPrEx>
          <w:tblCellMar>
            <w:top w:w="0" w:type="dxa"/>
            <w:left w:w="108" w:type="dxa"/>
            <w:bottom w:w="0" w:type="dxa"/>
            <w:right w:w="108" w:type="dxa"/>
          </w:tblCellMar>
        </w:tblPrEx>
        <w:trPr>
          <w:trHeight w:val="56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b/>
                <w:color w:val="000000" w:themeColor="text1"/>
                <w:sz w:val="18"/>
                <w:szCs w:val="18"/>
                <w14:textFill>
                  <w14:solidFill>
                    <w14:schemeClr w14:val="tx1"/>
                  </w14:solidFill>
                </w14:textFill>
              </w:rPr>
            </w:pP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2024</w:t>
            </w: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年计划完成整村推进的行政村数（个）</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104</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5</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14</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9</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5</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11</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9</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4</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11</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8+1</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6</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7</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13</w:t>
            </w:r>
          </w:p>
        </w:tc>
      </w:tr>
      <w:tr>
        <w:tblPrEx>
          <w:tblCellMar>
            <w:top w:w="0" w:type="dxa"/>
            <w:left w:w="108" w:type="dxa"/>
            <w:bottom w:w="0" w:type="dxa"/>
            <w:right w:w="108" w:type="dxa"/>
          </w:tblCellMar>
        </w:tblPrEx>
        <w:trPr>
          <w:trHeight w:val="56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项目受益户数（户）</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30506</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683</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6897</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1913</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894</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2392</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1470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1485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461</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3031</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3422</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1468</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3009</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FangSong" w:hAnsi="FangSong" w:eastAsia="FangSong" w:cs="FangSong"/>
                <w:color w:val="000000" w:themeColor="text1"/>
                <w:kern w:val="0"/>
                <w:sz w:val="18"/>
                <w:szCs w:val="18"/>
                <w:lang w:bidi="ar"/>
                <w14:textFill>
                  <w14:solidFill>
                    <w14:schemeClr w14:val="tx1"/>
                  </w14:solidFill>
                </w14:textFill>
              </w:rPr>
            </w:pPr>
            <w:r>
              <w:rPr>
                <w:rFonts w:hint="eastAsia" w:ascii="FangSong" w:hAnsi="FangSong" w:eastAsia="FangSong" w:cs="FangSong"/>
                <w:color w:val="000000" w:themeColor="text1"/>
                <w:kern w:val="0"/>
                <w:sz w:val="18"/>
                <w:szCs w:val="18"/>
                <w:lang w:bidi="ar"/>
                <w14:textFill>
                  <w14:solidFill>
                    <w14:schemeClr w14:val="tx1"/>
                  </w14:solidFill>
                </w14:textFill>
              </w:rPr>
              <w:t>3381</w:t>
            </w:r>
          </w:p>
        </w:tc>
      </w:tr>
      <w:tr>
        <w:tblPrEx>
          <w:tblCellMar>
            <w:top w:w="0" w:type="dxa"/>
            <w:left w:w="108" w:type="dxa"/>
            <w:bottom w:w="0" w:type="dxa"/>
            <w:right w:w="108" w:type="dxa"/>
          </w:tblCellMar>
        </w:tblPrEx>
        <w:trPr>
          <w:trHeight w:val="56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质量指标</w:t>
            </w: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改造完的厕所设施合格率</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≥95%</w:t>
            </w:r>
          </w:p>
        </w:tc>
      </w:tr>
      <w:tr>
        <w:tblPrEx>
          <w:tblCellMar>
            <w:top w:w="0" w:type="dxa"/>
            <w:left w:w="108" w:type="dxa"/>
            <w:bottom w:w="0" w:type="dxa"/>
            <w:right w:w="108" w:type="dxa"/>
          </w:tblCellMar>
        </w:tblPrEx>
        <w:trPr>
          <w:trHeight w:val="56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农村改厕数据库</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基本建成</w:t>
            </w:r>
          </w:p>
        </w:tc>
      </w:tr>
      <w:tr>
        <w:tblPrEx>
          <w:tblCellMar>
            <w:top w:w="0" w:type="dxa"/>
            <w:left w:w="108" w:type="dxa"/>
            <w:bottom w:w="0" w:type="dxa"/>
            <w:right w:w="108" w:type="dxa"/>
          </w:tblCellMar>
        </w:tblPrEx>
        <w:trPr>
          <w:trHeight w:val="114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时效指标</w:t>
            </w: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截至</w:t>
            </w:r>
            <w:r>
              <w:rPr>
                <w:rFonts w:hint="eastAsia" w:ascii="方正仿宋_GBK" w:hAnsi="方正仿宋_GBK" w:eastAsia="方正仿宋_GBK" w:cs="方正仿宋_GBK"/>
                <w:b/>
                <w:color w:val="000000" w:themeColor="text1"/>
                <w:kern w:val="0"/>
                <w:sz w:val="18"/>
                <w:szCs w:val="18"/>
                <w:lang w:bidi="ar"/>
                <w14:textFill>
                  <w14:solidFill>
                    <w14:schemeClr w14:val="tx1"/>
                  </w14:solidFill>
                </w14:textFill>
              </w:rPr>
              <w:t>2024</w:t>
            </w: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年底，年度土地指标跨省域调剂收入安排的支岀（支持农村厕所革命整村推进财政奖补）资金执行率</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100%</w:t>
            </w:r>
          </w:p>
        </w:tc>
      </w:tr>
      <w:tr>
        <w:tblPrEx>
          <w:tblCellMar>
            <w:top w:w="0" w:type="dxa"/>
            <w:left w:w="108" w:type="dxa"/>
            <w:bottom w:w="0" w:type="dxa"/>
            <w:right w:w="108" w:type="dxa"/>
          </w:tblCellMar>
        </w:tblPrEx>
        <w:trPr>
          <w:trHeight w:val="69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效益指标</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社会效益指标</w:t>
            </w: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当年完成农村厕所革命整村推进行政村的卫生厕所普及率</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r>
      <w:tr>
        <w:tblPrEx>
          <w:tblCellMar>
            <w:top w:w="0" w:type="dxa"/>
            <w:left w:w="108" w:type="dxa"/>
            <w:bottom w:w="0" w:type="dxa"/>
            <w:right w:w="108" w:type="dxa"/>
          </w:tblCellMar>
        </w:tblPrEx>
        <w:trPr>
          <w:trHeight w:val="70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生态效益指标</w:t>
            </w: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当年完成农村厕所革命整村推进行政村的厕所粪污无害化处理率</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pPr>
            <w:r>
              <w:rPr>
                <w:rFonts w:hint="eastAsia" w:ascii="方正仿宋_GBK" w:hAnsi="方正仿宋_GBK" w:eastAsia="方正仿宋_GBK" w:cs="方正仿宋_GBK"/>
                <w:color w:val="000000" w:themeColor="text1"/>
                <w:kern w:val="0"/>
                <w:sz w:val="15"/>
                <w:szCs w:val="15"/>
                <w:lang w:bidi="ar"/>
                <w14:textFill>
                  <w14:solidFill>
                    <w14:schemeClr w14:val="tx1"/>
                  </w14:solidFill>
                </w14:textFill>
              </w:rPr>
              <w:t>≥85%</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≥85%</w:t>
            </w:r>
          </w:p>
        </w:tc>
      </w:tr>
      <w:tr>
        <w:tblPrEx>
          <w:tblCellMar>
            <w:top w:w="0" w:type="dxa"/>
            <w:left w:w="108" w:type="dxa"/>
            <w:bottom w:w="0" w:type="dxa"/>
            <w:right w:w="108" w:type="dxa"/>
          </w:tblCellMar>
        </w:tblPrEx>
        <w:trPr>
          <w:trHeight w:val="72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可持续发展指标</w:t>
            </w: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当年完成农村厕所革命整村推进行政村的长效管护机制</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初步建立</w:t>
            </w:r>
          </w:p>
        </w:tc>
      </w:tr>
      <w:tr>
        <w:tblPrEx>
          <w:tblCellMar>
            <w:top w:w="0" w:type="dxa"/>
            <w:left w:w="108" w:type="dxa"/>
            <w:bottom w:w="0" w:type="dxa"/>
            <w:right w:w="108" w:type="dxa"/>
          </w:tblCellMar>
        </w:tblPrEx>
        <w:trPr>
          <w:trHeight w:val="540"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方正仿宋_GBK" w:hAnsi="方正仿宋_GBK" w:eastAsia="方正仿宋_GBK" w:cs="方正仿宋_GBK"/>
                <w:color w:val="000000" w:themeColor="text1"/>
                <w:sz w:val="18"/>
                <w:szCs w:val="18"/>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满意度指标</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服务对象满意度指标</w:t>
            </w:r>
          </w:p>
        </w:tc>
        <w:tc>
          <w:tcPr>
            <w:tcW w:w="2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项目区农民满意度</w:t>
            </w:r>
          </w:p>
        </w:tc>
        <w:tc>
          <w:tcPr>
            <w:tcW w:w="8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c>
          <w:tcPr>
            <w:tcW w:w="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方正仿宋_GBK" w:hAnsi="方正仿宋_GBK" w:eastAsia="方正仿宋_GBK" w:cs="方正仿宋_GBK"/>
                <w:color w:val="000000" w:themeColor="text1"/>
                <w:sz w:val="18"/>
                <w:szCs w:val="18"/>
                <w14:textFill>
                  <w14:solidFill>
                    <w14:schemeClr w14:val="tx1"/>
                  </w14:solidFill>
                </w14:textFill>
              </w:rPr>
            </w:pPr>
            <w:r>
              <w:rPr>
                <w:rFonts w:hint="eastAsia" w:ascii="方正仿宋_GBK" w:hAnsi="方正仿宋_GBK" w:eastAsia="方正仿宋_GBK" w:cs="方正仿宋_GBK"/>
                <w:color w:val="000000" w:themeColor="text1"/>
                <w:kern w:val="0"/>
                <w:sz w:val="18"/>
                <w:szCs w:val="18"/>
                <w:lang w:bidi="ar"/>
                <w14:textFill>
                  <w14:solidFill>
                    <w14:schemeClr w14:val="tx1"/>
                  </w14:solidFill>
                </w14:textFill>
              </w:rPr>
              <w:t>≥90%</w:t>
            </w:r>
          </w:p>
        </w:tc>
      </w:tr>
    </w:tbl>
    <w:p>
      <w:pPr>
        <w:pStyle w:val="2"/>
        <w:rPr>
          <w:color w:val="000000" w:themeColor="text1"/>
          <w14:textFill>
            <w14:solidFill>
              <w14:schemeClr w14:val="tx1"/>
            </w14:solidFill>
          </w14:textFill>
        </w:rPr>
        <w:sectPr>
          <w:pgSz w:w="16783" w:h="11850" w:orient="landscape"/>
          <w:pgMar w:top="1587" w:right="2098" w:bottom="1474" w:left="1565" w:header="1134" w:footer="992" w:gutter="0"/>
          <w:pgNumType w:fmt="numberInDash"/>
          <w:cols w:space="0" w:num="1"/>
          <w:docGrid w:type="lines" w:linePitch="315" w:charSpace="0"/>
        </w:sectPr>
      </w:pPr>
    </w:p>
    <w:p>
      <w:pPr>
        <w:pStyle w:val="54"/>
        <w:autoSpaceDE w:val="0"/>
        <w:spacing w:after="0" w:line="540" w:lineRule="exact"/>
        <w:ind w:firstLine="640" w:firstLineChars="200"/>
        <w:contextualSpacing/>
        <w:rPr>
          <w:rFonts w:ascii="Times New Roman" w:hAnsi="Times New Roman" w:eastAsia="方正小标宋简体" w:cs="Times New Roman"/>
          <w:color w:val="000000" w:themeColor="text1"/>
          <w:sz w:val="32"/>
          <w:szCs w:val="32"/>
          <w14:textFill>
            <w14:solidFill>
              <w14:schemeClr w14:val="tx1"/>
            </w14:solidFill>
          </w14:textFill>
        </w:rPr>
      </w:pPr>
      <w:r>
        <w:rPr>
          <w:rFonts w:ascii="Times New Roman" w:hAnsi="Times New Roman" w:eastAsia="SimHei" w:cs="Times New Roman"/>
          <w:color w:val="000000" w:themeColor="text1"/>
          <w:sz w:val="32"/>
          <w:szCs w:val="32"/>
          <w14:textFill>
            <w14:solidFill>
              <w14:schemeClr w14:val="tx1"/>
            </w14:solidFill>
          </w14:textFill>
        </w:rPr>
        <w:t>二、绩效情况分析</w:t>
      </w:r>
    </w:p>
    <w:p>
      <w:pPr>
        <w:spacing w:line="540" w:lineRule="exact"/>
        <w:ind w:firstLine="642" w:firstLineChars="200"/>
        <w:contextualSpacing/>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（一）资金投入情况分析</w:t>
      </w:r>
    </w:p>
    <w:p>
      <w:pPr>
        <w:spacing w:line="54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1.项目资金到位情况分析</w:t>
      </w:r>
    </w:p>
    <w:p>
      <w:pPr>
        <w:pStyle w:val="54"/>
        <w:widowControl/>
        <w:spacing w:after="0" w:line="54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2024年度下达土地指标跨省域调剂收入安排的支出（农村厕所革命整村推进财政奖补）总预算资金56311万元，资金到位56311万元，到位率100%。另外，各地县统筹各类资金974.04万元，加大农村户厕建设工作</w:t>
      </w:r>
      <w:r>
        <w:rPr>
          <w:rFonts w:hint="eastAsia" w:ascii="Times New Roman" w:hAnsi="Times New Roman" w:eastAsia="仿宋_GB2312" w:cs="Times New Roman"/>
          <w:color w:val="000000" w:themeColor="text1"/>
          <w:sz w:val="32"/>
          <w:szCs w:val="32"/>
          <w14:textFill>
            <w14:solidFill>
              <w14:schemeClr w14:val="tx1"/>
            </w14:solidFill>
          </w14:textFill>
        </w:rPr>
        <w:t>力度</w:t>
      </w:r>
      <w:r>
        <w:rPr>
          <w:rFonts w:ascii="Times New Roman" w:hAnsi="Times New Roman" w:eastAsia="仿宋_GB2312" w:cs="Times New Roman"/>
          <w:color w:val="000000" w:themeColor="text1"/>
          <w:sz w:val="32"/>
          <w:szCs w:val="32"/>
          <w14:textFill>
            <w14:solidFill>
              <w14:schemeClr w14:val="tx1"/>
            </w14:solidFill>
          </w14:textFill>
        </w:rPr>
        <w:t>。</w:t>
      </w:r>
    </w:p>
    <w:p>
      <w:pPr>
        <w:spacing w:line="54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2.项目资金执行情况分析</w:t>
      </w:r>
    </w:p>
    <w:p>
      <w:pPr>
        <w:pStyle w:val="54"/>
        <w:widowControl/>
        <w:spacing w:after="0" w:line="54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截至2024年12月31日，2024年度中央土地指标跨省域调剂收入安排的支出预算（农村厕所革命整村推进财政奖补）项目资金执行43498.93万元，执行率77.25%。各地县统筹各类资金执行963.29万元，执行率98.89%</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详见</w:t>
      </w:r>
      <w:r>
        <w:rPr>
          <w:rFonts w:ascii="Times New Roman" w:hAnsi="Times New Roman" w:eastAsia="仿宋_GB2312"/>
          <w:color w:val="000000" w:themeColor="text1"/>
          <w:sz w:val="32"/>
          <w:szCs w:val="32"/>
          <w14:textFill>
            <w14:solidFill>
              <w14:schemeClr w14:val="tx1"/>
            </w14:solidFill>
          </w14:textFill>
        </w:rPr>
        <w:t>如下表。</w:t>
      </w:r>
    </w:p>
    <w:p>
      <w:pPr>
        <w:pStyle w:val="54"/>
        <w:widowControl/>
        <w:spacing w:after="0" w:line="540" w:lineRule="exact"/>
        <w:contextualSpacing/>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2024年农村厕所革命整村推进中央财政奖补项目资金支出</w:t>
      </w:r>
    </w:p>
    <w:p>
      <w:pPr>
        <w:pStyle w:val="54"/>
        <w:widowControl/>
        <w:spacing w:after="0" w:line="540" w:lineRule="exact"/>
        <w:contextualSpacing/>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统计表（万元）</w:t>
      </w:r>
    </w:p>
    <w:tbl>
      <w:tblPr>
        <w:tblStyle w:val="23"/>
        <w:tblW w:w="8727" w:type="dxa"/>
        <w:jc w:val="center"/>
        <w:tblLayout w:type="fixed"/>
        <w:tblCellMar>
          <w:top w:w="0" w:type="dxa"/>
          <w:left w:w="108" w:type="dxa"/>
          <w:bottom w:w="0" w:type="dxa"/>
          <w:right w:w="108" w:type="dxa"/>
        </w:tblCellMar>
      </w:tblPr>
      <w:tblGrid>
        <w:gridCol w:w="875"/>
        <w:gridCol w:w="3152"/>
        <w:gridCol w:w="1183"/>
        <w:gridCol w:w="1398"/>
        <w:gridCol w:w="1143"/>
        <w:gridCol w:w="976"/>
      </w:tblGrid>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
                <w:color w:val="000000" w:themeColor="text1"/>
                <w:sz w:val="28"/>
                <w:szCs w:val="28"/>
                <w14:textFill>
                  <w14:solidFill>
                    <w14:schemeClr w14:val="tx1"/>
                  </w14:solidFill>
                </w14:textFill>
              </w:rPr>
            </w:pPr>
            <w:r>
              <w:rPr>
                <w:rFonts w:ascii="Times New Roman" w:hAnsi="Times New Roman" w:eastAsia="仿宋_GB2312"/>
                <w:b/>
                <w:color w:val="000000" w:themeColor="text1"/>
                <w:kern w:val="0"/>
                <w:sz w:val="28"/>
                <w:szCs w:val="28"/>
                <w14:textFill>
                  <w14:solidFill>
                    <w14:schemeClr w14:val="tx1"/>
                  </w14:solidFill>
                </w14:textFill>
              </w:rPr>
              <w:t>序号</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
                <w:color w:val="000000" w:themeColor="text1"/>
                <w:sz w:val="28"/>
                <w:szCs w:val="28"/>
                <w14:textFill>
                  <w14:solidFill>
                    <w14:schemeClr w14:val="tx1"/>
                  </w14:solidFill>
                </w14:textFill>
              </w:rPr>
            </w:pPr>
            <w:r>
              <w:rPr>
                <w:rFonts w:ascii="Times New Roman" w:hAnsi="Times New Roman" w:eastAsia="仿宋_GB2312"/>
                <w:b/>
                <w:color w:val="000000" w:themeColor="text1"/>
                <w:kern w:val="0"/>
                <w:sz w:val="28"/>
                <w:szCs w:val="28"/>
                <w14:textFill>
                  <w14:solidFill>
                    <w14:schemeClr w14:val="tx1"/>
                  </w14:solidFill>
                </w14:textFill>
              </w:rPr>
              <w:t>地（州、市）</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
                <w:color w:val="000000" w:themeColor="text1"/>
                <w:sz w:val="28"/>
                <w:szCs w:val="28"/>
                <w14:textFill>
                  <w14:solidFill>
                    <w14:schemeClr w14:val="tx1"/>
                  </w14:solidFill>
                </w14:textFill>
              </w:rPr>
            </w:pPr>
            <w:r>
              <w:rPr>
                <w:rFonts w:ascii="Times New Roman" w:hAnsi="Times New Roman" w:eastAsia="仿宋_GB2312"/>
                <w:b/>
                <w:color w:val="000000" w:themeColor="text1"/>
                <w:kern w:val="0"/>
                <w:sz w:val="28"/>
                <w:szCs w:val="28"/>
                <w14:textFill>
                  <w14:solidFill>
                    <w14:schemeClr w14:val="tx1"/>
                  </w14:solidFill>
                </w14:textFill>
              </w:rPr>
              <w:t>资金额</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
                <w:color w:val="000000" w:themeColor="text1"/>
                <w:sz w:val="28"/>
                <w:szCs w:val="28"/>
                <w14:textFill>
                  <w14:solidFill>
                    <w14:schemeClr w14:val="tx1"/>
                  </w14:solidFill>
                </w14:textFill>
              </w:rPr>
            </w:pPr>
            <w:r>
              <w:rPr>
                <w:rFonts w:ascii="Times New Roman" w:hAnsi="Times New Roman" w:eastAsia="仿宋_GB2312"/>
                <w:b/>
                <w:color w:val="000000" w:themeColor="text1"/>
                <w:kern w:val="0"/>
                <w:sz w:val="28"/>
                <w:szCs w:val="28"/>
                <w14:textFill>
                  <w14:solidFill>
                    <w14:schemeClr w14:val="tx1"/>
                  </w14:solidFill>
                </w14:textFill>
              </w:rPr>
              <w:t>支出数</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
                <w:color w:val="000000" w:themeColor="text1"/>
                <w:sz w:val="28"/>
                <w:szCs w:val="28"/>
                <w14:textFill>
                  <w14:solidFill>
                    <w14:schemeClr w14:val="tx1"/>
                  </w14:solidFill>
                </w14:textFill>
              </w:rPr>
            </w:pPr>
            <w:r>
              <w:rPr>
                <w:rFonts w:ascii="Times New Roman" w:hAnsi="Times New Roman" w:eastAsia="仿宋_GB2312"/>
                <w:b/>
                <w:color w:val="000000" w:themeColor="text1"/>
                <w:kern w:val="0"/>
                <w:sz w:val="28"/>
                <w:szCs w:val="28"/>
                <w14:textFill>
                  <w14:solidFill>
                    <w14:schemeClr w14:val="tx1"/>
                  </w14:solidFill>
                </w14:textFill>
              </w:rPr>
              <w:t>进度</w:t>
            </w:r>
          </w:p>
        </w:tc>
        <w:tc>
          <w:tcPr>
            <w:tcW w:w="976" w:type="dxa"/>
            <w:tcBorders>
              <w:top w:val="single" w:color="000000" w:sz="4" w:space="0"/>
              <w:left w:val="single" w:color="000000" w:sz="4" w:space="0"/>
              <w:bottom w:val="nil"/>
              <w:right w:val="single" w:color="000000" w:sz="4" w:space="0"/>
            </w:tcBorders>
            <w:vAlign w:val="center"/>
          </w:tcPr>
          <w:p>
            <w:pPr>
              <w:widowControl/>
              <w:contextualSpacing/>
              <w:jc w:val="center"/>
              <w:textAlignment w:val="center"/>
              <w:rPr>
                <w:rFonts w:ascii="Times New Roman" w:hAnsi="Times New Roman" w:eastAsia="仿宋_GB2312"/>
                <w:b/>
                <w:color w:val="000000" w:themeColor="text1"/>
                <w:sz w:val="28"/>
                <w:szCs w:val="28"/>
                <w14:textFill>
                  <w14:solidFill>
                    <w14:schemeClr w14:val="tx1"/>
                  </w14:solidFill>
                </w14:textFill>
              </w:rPr>
            </w:pPr>
            <w:r>
              <w:rPr>
                <w:rFonts w:ascii="Times New Roman" w:hAnsi="Times New Roman" w:eastAsia="仿宋_GB2312"/>
                <w:b/>
                <w:color w:val="000000" w:themeColor="text1"/>
                <w:kern w:val="0"/>
                <w:sz w:val="28"/>
                <w:szCs w:val="28"/>
                <w14:textFill>
                  <w14:solidFill>
                    <w14:schemeClr w14:val="tx1"/>
                  </w14:solidFill>
                </w14:textFill>
              </w:rPr>
              <w:t>备注</w:t>
            </w:r>
          </w:p>
        </w:tc>
      </w:tr>
      <w:tr>
        <w:tblPrEx>
          <w:tblCellMar>
            <w:top w:w="0" w:type="dxa"/>
            <w:left w:w="108" w:type="dxa"/>
            <w:bottom w:w="0" w:type="dxa"/>
            <w:right w:w="108" w:type="dxa"/>
          </w:tblCellMar>
        </w:tblPrEx>
        <w:trPr>
          <w:trHeight w:val="567" w:hRule="exact"/>
          <w:jc w:val="center"/>
        </w:trPr>
        <w:tc>
          <w:tcPr>
            <w:tcW w:w="4027" w:type="dxa"/>
            <w:gridSpan w:val="2"/>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合计</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56311</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43498.93</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77.</w:t>
            </w:r>
            <w:r>
              <w:rPr>
                <w:rFonts w:ascii="Times New Roman" w:hAnsi="Times New Roman" w:eastAsia="仿宋_GB2312"/>
                <w:bCs/>
                <w:color w:val="000000" w:themeColor="text1"/>
                <w:kern w:val="0"/>
                <w:sz w:val="28"/>
                <w:szCs w:val="28"/>
                <w:lang w:val="en"/>
                <w14:textFill>
                  <w14:solidFill>
                    <w14:schemeClr w14:val="tx1"/>
                  </w14:solidFill>
                </w14:textFill>
              </w:rPr>
              <w:t>25</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一</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乌鲁木齐市</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2740</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2304</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84.</w:t>
            </w:r>
            <w:r>
              <w:rPr>
                <w:rFonts w:ascii="Times New Roman" w:hAnsi="Times New Roman" w:eastAsia="仿宋_GB2312"/>
                <w:bCs/>
                <w:color w:val="000000" w:themeColor="text1"/>
                <w:kern w:val="0"/>
                <w:sz w:val="28"/>
                <w:szCs w:val="28"/>
                <w:lang w:val="en"/>
                <w14:textFill>
                  <w14:solidFill>
                    <w14:schemeClr w14:val="tx1"/>
                  </w14:solidFill>
                </w14:textFill>
              </w:rPr>
              <w:t>09</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kern w:val="0"/>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二</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伊犁哈萨克自治州</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8354</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6123.44</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73.30%</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三</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塔城地区</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5223</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4571</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87.5</w:t>
            </w:r>
            <w:r>
              <w:rPr>
                <w:rFonts w:ascii="Times New Roman" w:hAnsi="Times New Roman" w:eastAsia="仿宋_GB2312"/>
                <w:bCs/>
                <w:color w:val="000000" w:themeColor="text1"/>
                <w:kern w:val="0"/>
                <w:sz w:val="28"/>
                <w:szCs w:val="28"/>
                <w:lang w:val="en"/>
                <w14:textFill>
                  <w14:solidFill>
                    <w14:schemeClr w14:val="tx1"/>
                  </w14:solidFill>
                </w14:textFill>
              </w:rPr>
              <w:t>2</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四</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阿勒泰地区</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2915</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2401</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82.</w:t>
            </w:r>
            <w:r>
              <w:rPr>
                <w:rFonts w:ascii="Times New Roman" w:hAnsi="Times New Roman" w:eastAsia="仿宋_GB2312"/>
                <w:bCs/>
                <w:color w:val="000000" w:themeColor="text1"/>
                <w:kern w:val="0"/>
                <w:sz w:val="28"/>
                <w:szCs w:val="28"/>
                <w:lang w:val="en"/>
                <w14:textFill>
                  <w14:solidFill>
                    <w14:schemeClr w14:val="tx1"/>
                  </w14:solidFill>
                </w14:textFill>
              </w:rPr>
              <w:t>37</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kern w:val="0"/>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五</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博尔塔拉蒙古自治州</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4832</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4794.2</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99.2</w:t>
            </w:r>
            <w:r>
              <w:rPr>
                <w:rFonts w:ascii="Times New Roman" w:hAnsi="Times New Roman" w:eastAsia="仿宋_GB2312"/>
                <w:bCs/>
                <w:color w:val="000000" w:themeColor="text1"/>
                <w:kern w:val="0"/>
                <w:sz w:val="28"/>
                <w:szCs w:val="28"/>
                <w:lang w:val="en"/>
                <w14:textFill>
                  <w14:solidFill>
                    <w14:schemeClr w14:val="tx1"/>
                  </w14:solidFill>
                </w14:textFill>
              </w:rPr>
              <w:t>2</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六</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昌吉回族自治州</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4649</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4254.67</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91.5</w:t>
            </w:r>
            <w:r>
              <w:rPr>
                <w:rFonts w:ascii="Times New Roman" w:hAnsi="Times New Roman" w:eastAsia="仿宋_GB2312"/>
                <w:bCs/>
                <w:color w:val="000000" w:themeColor="text1"/>
                <w:kern w:val="0"/>
                <w:sz w:val="28"/>
                <w:szCs w:val="28"/>
                <w:lang w:val="en"/>
                <w14:textFill>
                  <w14:solidFill>
                    <w14:schemeClr w14:val="tx1"/>
                  </w14:solidFill>
                </w14:textFill>
              </w:rPr>
              <w:t>2</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七</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哈密市</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390</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270.6</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69.</w:t>
            </w:r>
            <w:r>
              <w:rPr>
                <w:rFonts w:ascii="Times New Roman" w:hAnsi="Times New Roman" w:eastAsia="仿宋_GB2312"/>
                <w:bCs/>
                <w:color w:val="000000" w:themeColor="text1"/>
                <w:kern w:val="0"/>
                <w:sz w:val="28"/>
                <w:szCs w:val="28"/>
                <w:lang w:val="en"/>
                <w14:textFill>
                  <w14:solidFill>
                    <w14:schemeClr w14:val="tx1"/>
                  </w14:solidFill>
                </w14:textFill>
              </w:rPr>
              <w:t>38</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八</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吐鲁番市</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2836</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2173.07</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76.6</w:t>
            </w:r>
            <w:r>
              <w:rPr>
                <w:rFonts w:ascii="Times New Roman" w:hAnsi="Times New Roman" w:eastAsia="仿宋_GB2312"/>
                <w:bCs/>
                <w:color w:val="000000" w:themeColor="text1"/>
                <w:kern w:val="0"/>
                <w:sz w:val="28"/>
                <w:szCs w:val="28"/>
                <w:lang w:val="en"/>
                <w14:textFill>
                  <w14:solidFill>
                    <w14:schemeClr w14:val="tx1"/>
                  </w14:solidFill>
                </w14:textFill>
              </w:rPr>
              <w:t>2</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九</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巴音郭楞蒙古自治州</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6683</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5440</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81.40%</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十</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阿克苏地区</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4860</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4082.61</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84.00%</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十一</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克孜勒苏柯尔克孜自治州</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2885</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2637.88</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91.4</w:t>
            </w:r>
            <w:r>
              <w:rPr>
                <w:rFonts w:ascii="Times New Roman" w:hAnsi="Times New Roman" w:eastAsia="仿宋_GB2312"/>
                <w:bCs/>
                <w:color w:val="000000" w:themeColor="text1"/>
                <w:kern w:val="0"/>
                <w:sz w:val="28"/>
                <w:szCs w:val="28"/>
                <w:lang w:val="en"/>
                <w14:textFill>
                  <w14:solidFill>
                    <w14:schemeClr w14:val="tx1"/>
                  </w14:solidFill>
                </w14:textFill>
              </w:rPr>
              <w:t>3</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十二</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喀什地区</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4496</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3332.46</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74.1</w:t>
            </w:r>
            <w:r>
              <w:rPr>
                <w:rFonts w:ascii="Times New Roman" w:hAnsi="Times New Roman" w:eastAsia="仿宋_GB2312"/>
                <w:bCs/>
                <w:color w:val="000000" w:themeColor="text1"/>
                <w:kern w:val="0"/>
                <w:sz w:val="28"/>
                <w:szCs w:val="28"/>
                <w:lang w:val="en"/>
                <w14:textFill>
                  <w14:solidFill>
                    <w14:schemeClr w14:val="tx1"/>
                  </w14:solidFill>
                </w14:textFill>
              </w:rPr>
              <w:t>2</w:t>
            </w:r>
            <w:r>
              <w:rPr>
                <w:rFonts w:ascii="Times New Roman" w:hAnsi="Times New Roman" w:eastAsia="仿宋_GB2312"/>
                <w:bCs/>
                <w:color w:val="000000" w:themeColor="text1"/>
                <w:kern w:val="0"/>
                <w:sz w:val="28"/>
                <w:szCs w:val="28"/>
                <w14:textFill>
                  <w14:solidFill>
                    <w14:schemeClr w14:val="tx1"/>
                  </w14:solidFill>
                </w14:textFill>
              </w:rPr>
              <w:t>%</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67" w:hRule="exact"/>
          <w:jc w:val="center"/>
        </w:trPr>
        <w:tc>
          <w:tcPr>
            <w:tcW w:w="875"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十三</w:t>
            </w:r>
          </w:p>
        </w:tc>
        <w:tc>
          <w:tcPr>
            <w:tcW w:w="3152"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left"/>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和田地区</w:t>
            </w:r>
          </w:p>
        </w:tc>
        <w:tc>
          <w:tcPr>
            <w:tcW w:w="118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5448</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1114</w:t>
            </w:r>
          </w:p>
        </w:tc>
        <w:tc>
          <w:tcPr>
            <w:tcW w:w="1143" w:type="dxa"/>
            <w:tcBorders>
              <w:top w:val="single" w:color="000000" w:sz="4" w:space="0"/>
              <w:left w:val="single" w:color="000000" w:sz="4" w:space="0"/>
              <w:bottom w:val="single" w:color="000000" w:sz="4" w:space="0"/>
              <w:right w:val="single" w:color="000000" w:sz="4" w:space="0"/>
            </w:tcBorders>
            <w:vAlign w:val="center"/>
          </w:tcPr>
          <w:p>
            <w:pPr>
              <w:widowControl/>
              <w:contextualSpacing/>
              <w:jc w:val="center"/>
              <w:textAlignment w:val="cente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kern w:val="0"/>
                <w:sz w:val="28"/>
                <w:szCs w:val="28"/>
                <w14:textFill>
                  <w14:solidFill>
                    <w14:schemeClr w14:val="tx1"/>
                  </w14:solidFill>
                </w14:textFill>
              </w:rPr>
              <w:t>20.</w:t>
            </w:r>
            <w:r>
              <w:rPr>
                <w:rFonts w:ascii="Times New Roman" w:hAnsi="Times New Roman" w:eastAsia="仿宋_GB2312"/>
                <w:bCs/>
                <w:color w:val="000000" w:themeColor="text1"/>
                <w:kern w:val="0"/>
                <w:sz w:val="28"/>
                <w:szCs w:val="28"/>
                <w:lang w:val="en"/>
                <w14:textFill>
                  <w14:solidFill>
                    <w14:schemeClr w14:val="tx1"/>
                  </w14:solidFill>
                </w14:textFill>
              </w:rPr>
              <w:t>4</w:t>
            </w:r>
            <w:r>
              <w:rPr>
                <w:rFonts w:ascii="Times New Roman" w:hAnsi="Times New Roman" w:eastAsia="仿宋_GB2312"/>
                <w:bCs/>
                <w:color w:val="000000" w:themeColor="text1"/>
                <w:kern w:val="0"/>
                <w:sz w:val="28"/>
                <w:szCs w:val="28"/>
                <w14:textFill>
                  <w14:solidFill>
                    <w14:schemeClr w14:val="tx1"/>
                  </w14:solidFill>
                </w14:textFill>
              </w:rPr>
              <w:t>5%</w:t>
            </w:r>
          </w:p>
        </w:tc>
        <w:tc>
          <w:tcPr>
            <w:tcW w:w="976"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ascii="Times New Roman" w:hAnsi="Times New Roman" w:eastAsia="仿宋_GB2312"/>
                <w:bCs/>
                <w:color w:val="000000" w:themeColor="text1"/>
                <w:sz w:val="24"/>
                <w14:textFill>
                  <w14:solidFill>
                    <w14:schemeClr w14:val="tx1"/>
                  </w14:solidFill>
                </w14:textFill>
              </w:rPr>
            </w:pPr>
          </w:p>
        </w:tc>
      </w:tr>
    </w:tbl>
    <w:p>
      <w:pPr>
        <w:spacing w:line="560" w:lineRule="exact"/>
        <w:ind w:firstLine="642" w:firstLineChars="200"/>
        <w:contextualSpacing/>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（二）资金管理分析情况</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根据《财政部关于印发&lt;土地指标跨省域调剂收入安排的支出管理暂行办法&gt;的通知》（财预〔2019〕64号）、《财政部 农业农村部关于开展农村“厕所革命”整村推进财政奖补工作的通知》（财农〔2019〕19号）和《自治区农业农村厅农业项目管理办法（试行）》（新农办计〔2022〕22号）、《自治区财政厅农业农村厅乡村振兴局关于规范自治区农村厕所革命整村推进财政奖补资金使用管理工作的通知》（新财振〔2022〕13号）等，瞄准预算绩效目标，加强项目资金的科学分配、及时拨付、规范使用，严格落实支出责任，不断强化项目资金管理。</w:t>
      </w:r>
    </w:p>
    <w:p>
      <w:pPr>
        <w:spacing w:line="56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1.资金分配科学性。</w:t>
      </w:r>
      <w:r>
        <w:rPr>
          <w:rFonts w:ascii="Times New Roman" w:hAnsi="Times New Roman" w:eastAsia="仿宋_GB2312"/>
          <w:color w:val="000000" w:themeColor="text1"/>
          <w:sz w:val="32"/>
          <w:szCs w:val="32"/>
          <w14:textFill>
            <w14:solidFill>
              <w14:schemeClr w14:val="tx1"/>
            </w14:solidFill>
          </w14:textFill>
        </w:rPr>
        <w:t>坚持“因素分配+专家论证”的综合分配方式，因素分配确定各地（州、市）财政奖补资金的规模，做到资金分配公开公平；专家论证确保项目建设内容、投资概算的合规合理，体现项目安排的竞争性和“优中选优”原则。</w:t>
      </w:r>
    </w:p>
    <w:p>
      <w:pPr>
        <w:spacing w:line="56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2.资金下达及时性。</w:t>
      </w:r>
      <w:r>
        <w:rPr>
          <w:rFonts w:ascii="Times New Roman" w:hAnsi="Times New Roman" w:eastAsia="仿宋_GB2312"/>
          <w:color w:val="000000" w:themeColor="text1"/>
          <w:sz w:val="32"/>
          <w:szCs w:val="32"/>
          <w14:textFill>
            <w14:solidFill>
              <w14:schemeClr w14:val="tx1"/>
            </w14:solidFill>
          </w14:textFill>
        </w:rPr>
        <w:t>全面落实《通知》要求，预算资金30日内一次性足额分配下达各地县，做到项目资金及时下达</w:t>
      </w:r>
      <w:r>
        <w:rPr>
          <w:rFonts w:hint="eastAsia" w:ascii="Times New Roman" w:hAnsi="Times New Roman" w:eastAsia="仿宋_GB2312"/>
          <w:color w:val="000000" w:themeColor="text1"/>
          <w:sz w:val="32"/>
          <w:szCs w:val="32"/>
          <w14:textFill>
            <w14:solidFill>
              <w14:schemeClr w14:val="tx1"/>
            </w14:solidFill>
          </w14:textFill>
        </w:rPr>
        <w:t>，即自治区2024年4月16日收到中央财政奖补，2024年5月11日分配下达各地，用时25日</w:t>
      </w:r>
      <w:r>
        <w:rPr>
          <w:rFonts w:ascii="Times New Roman" w:hAnsi="Times New Roman" w:eastAsia="仿宋_GB2312"/>
          <w:color w:val="000000" w:themeColor="text1"/>
          <w:sz w:val="32"/>
          <w:szCs w:val="32"/>
          <w14:textFill>
            <w14:solidFill>
              <w14:schemeClr w14:val="tx1"/>
            </w14:solidFill>
          </w14:textFill>
        </w:rPr>
        <w:t>。</w:t>
      </w:r>
    </w:p>
    <w:p>
      <w:pPr>
        <w:spacing w:line="56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3.资金拨付合规性。</w:t>
      </w:r>
      <w:r>
        <w:rPr>
          <w:rFonts w:ascii="Times New Roman" w:hAnsi="Times New Roman" w:eastAsia="仿宋_GB2312"/>
          <w:color w:val="000000" w:themeColor="text1"/>
          <w:sz w:val="32"/>
          <w:szCs w:val="32"/>
          <w14:textFill>
            <w14:solidFill>
              <w14:schemeClr w14:val="tx1"/>
            </w14:solidFill>
          </w14:textFill>
        </w:rPr>
        <w:t>严格执行国库集中支付制度，项目县按工程项目进度核拨资金，</w:t>
      </w:r>
      <w:r>
        <w:rPr>
          <w:rFonts w:ascii="Times New Roman" w:hAnsi="Times New Roman" w:eastAsia="仿宋_GB2312"/>
          <w:color w:val="000000" w:themeColor="text1"/>
          <w:spacing w:val="-6"/>
          <w:sz w:val="32"/>
          <w:szCs w:val="32"/>
          <w14:textFill>
            <w14:solidFill>
              <w14:schemeClr w14:val="tx1"/>
            </w14:solidFill>
          </w14:textFill>
        </w:rPr>
        <w:t>未出现以拨代支、虚列支出或违规将资金从国库转入财政专户或支付到预算单位实有资金账户等问题。</w:t>
      </w:r>
    </w:p>
    <w:p>
      <w:pPr>
        <w:spacing w:line="56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4.资金使用规范性。</w:t>
      </w:r>
      <w:r>
        <w:rPr>
          <w:rFonts w:ascii="Times New Roman" w:hAnsi="Times New Roman" w:eastAsia="仿宋_GB2312"/>
          <w:color w:val="000000" w:themeColor="text1"/>
          <w:sz w:val="32"/>
          <w:szCs w:val="32"/>
          <w14:textFill>
            <w14:solidFill>
              <w14:schemeClr w14:val="tx1"/>
            </w14:solidFill>
          </w14:textFill>
        </w:rPr>
        <w:t>严格按照下达预算科目，按照《财政部农业农村部关于开展农村“厕所革命”整村推进财政奖补工作的通知》（财农〔2019〕19号）和《关于印发&lt;2024年中央农村厕所革命整村推进财政奖补（农村粪污一体化处理）试点示范项目实施方案&gt;的通知》（新农办办函〔2024〕258号）有关要求，资金主要支持项目村农村粪污收集、储存、运输、资源化利用及后期管护能力提升等方面的公共设施设备建设，通过强化各级监管，未出现截留、挤占、挪用或擅自调整等问题。</w:t>
      </w:r>
    </w:p>
    <w:p>
      <w:pPr>
        <w:spacing w:line="56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5.资金执行准确性。</w:t>
      </w:r>
      <w:r>
        <w:rPr>
          <w:rFonts w:ascii="Times New Roman" w:hAnsi="Times New Roman" w:eastAsia="仿宋_GB2312"/>
          <w:color w:val="000000" w:themeColor="text1"/>
          <w:sz w:val="32"/>
          <w:szCs w:val="32"/>
          <w14:textFill>
            <w14:solidFill>
              <w14:schemeClr w14:val="tx1"/>
            </w14:solidFill>
          </w14:textFill>
        </w:rPr>
        <w:t>能够按照上级下达和地方预算安排金额执行，执行符合要求。</w:t>
      </w:r>
      <w:r>
        <w:rPr>
          <w:rFonts w:hint="eastAsia" w:ascii="Times New Roman" w:hAnsi="Times New Roman" w:eastAsia="仿宋_GB2312"/>
          <w:color w:val="000000" w:themeColor="text1"/>
          <w:sz w:val="32"/>
          <w:szCs w:val="32"/>
          <w14:textFill>
            <w14:solidFill>
              <w14:schemeClr w14:val="tx1"/>
            </w14:solidFill>
          </w14:textFill>
        </w:rPr>
        <w:t>首先，自治区农业农村厅与自治区财政厅下达资金文件同步下达项目实施方案，明确项目资金使用投向、范围等规定要求。其次，坚持按月调度分析项目及资金进度工作机制，强化项目单位和财政部门的日常联系沟通，对执行进度缓慢、绩效目标有偏差情况，及时召开项目调度视频会议通报进展、敦促各地加快项目实施推进项目及资金支持进度，确保项目及资金进度和质效。</w:t>
      </w:r>
    </w:p>
    <w:p>
      <w:pPr>
        <w:spacing w:line="56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6.预算绩效管理情况。</w:t>
      </w:r>
      <w:r>
        <w:rPr>
          <w:rFonts w:ascii="Times New Roman" w:hAnsi="Times New Roman" w:eastAsia="仿宋_GB2312"/>
          <w:color w:val="000000" w:themeColor="text1"/>
          <w:sz w:val="32"/>
          <w:szCs w:val="32"/>
          <w14:textFill>
            <w14:solidFill>
              <w14:schemeClr w14:val="tx1"/>
            </w14:solidFill>
          </w14:textFill>
        </w:rPr>
        <w:t>严格履行预算绩效职责，认真制定、及时下达区域性绩效目标，定期组织开展绩效监控和绩效评价，按时完成专项年度自评报告编报和绩效自评表填报等绩效管理任务。</w:t>
      </w:r>
    </w:p>
    <w:p>
      <w:pPr>
        <w:spacing w:line="560" w:lineRule="exact"/>
        <w:ind w:firstLine="642"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7.支出责任履行情况。</w:t>
      </w:r>
      <w:r>
        <w:rPr>
          <w:rFonts w:ascii="Times New Roman" w:hAnsi="Times New Roman" w:eastAsia="仿宋_GB2312"/>
          <w:color w:val="000000" w:themeColor="text1"/>
          <w:sz w:val="32"/>
          <w:szCs w:val="32"/>
          <w14:textFill>
            <w14:solidFill>
              <w14:schemeClr w14:val="tx1"/>
            </w14:solidFill>
          </w14:textFill>
        </w:rPr>
        <w:t>坚持自治区负总责、地县抓落实、乡村抓落地的工作机制，加大统筹协调</w:t>
      </w:r>
      <w:r>
        <w:rPr>
          <w:rFonts w:hint="eastAsia" w:ascii="Times New Roman" w:hAnsi="Times New Roman" w:eastAsia="仿宋_GB2312"/>
          <w:color w:val="000000" w:themeColor="text1"/>
          <w:sz w:val="32"/>
          <w:szCs w:val="32"/>
          <w14:textFill>
            <w14:solidFill>
              <w14:schemeClr w14:val="tx1"/>
            </w14:solidFill>
          </w14:textFill>
        </w:rPr>
        <w:t>，全面</w:t>
      </w:r>
      <w:r>
        <w:rPr>
          <w:rFonts w:ascii="Times New Roman" w:hAnsi="Times New Roman" w:eastAsia="仿宋_GB2312"/>
          <w:color w:val="000000" w:themeColor="text1"/>
          <w:sz w:val="32"/>
          <w:szCs w:val="32"/>
          <w14:textFill>
            <w14:solidFill>
              <w14:schemeClr w14:val="tx1"/>
            </w14:solidFill>
          </w14:textFill>
        </w:rPr>
        <w:t>落实资金、资源、人才</w:t>
      </w:r>
      <w:r>
        <w:rPr>
          <w:rFonts w:hint="eastAsia" w:ascii="Times New Roman" w:hAnsi="Times New Roman" w:eastAsia="仿宋_GB2312"/>
          <w:color w:val="000000" w:themeColor="text1"/>
          <w:sz w:val="32"/>
          <w:szCs w:val="32"/>
          <w14:textFill>
            <w14:solidFill>
              <w14:schemeClr w14:val="tx1"/>
            </w14:solidFill>
          </w14:textFill>
        </w:rPr>
        <w:t>等</w:t>
      </w:r>
      <w:r>
        <w:rPr>
          <w:rFonts w:ascii="Times New Roman" w:hAnsi="Times New Roman" w:eastAsia="仿宋_GB2312"/>
          <w:color w:val="000000" w:themeColor="text1"/>
          <w:sz w:val="32"/>
          <w:szCs w:val="32"/>
          <w14:textFill>
            <w14:solidFill>
              <w14:schemeClr w14:val="tx1"/>
            </w14:solidFill>
          </w14:textFill>
        </w:rPr>
        <w:t>支持政策。同时，全面</w:t>
      </w:r>
      <w:r>
        <w:rPr>
          <w:rFonts w:hint="eastAsia" w:ascii="Times New Roman" w:hAnsi="Times New Roman" w:eastAsia="仿宋_GB2312"/>
          <w:color w:val="000000" w:themeColor="text1"/>
          <w:sz w:val="32"/>
          <w:szCs w:val="32"/>
          <w14:textFill>
            <w14:solidFill>
              <w14:schemeClr w14:val="tx1"/>
            </w14:solidFill>
          </w14:textFill>
        </w:rPr>
        <w:t>落实</w:t>
      </w:r>
      <w:r>
        <w:rPr>
          <w:rFonts w:ascii="Times New Roman" w:hAnsi="Times New Roman" w:eastAsia="仿宋_GB2312"/>
          <w:color w:val="000000" w:themeColor="text1"/>
          <w:sz w:val="32"/>
          <w:szCs w:val="32"/>
          <w14:textFill>
            <w14:solidFill>
              <w14:schemeClr w14:val="tx1"/>
            </w14:solidFill>
          </w14:textFill>
        </w:rPr>
        <w:t>部门支出责任，</w:t>
      </w:r>
      <w:r>
        <w:rPr>
          <w:rFonts w:hint="eastAsia" w:ascii="Times New Roman" w:hAnsi="Times New Roman" w:eastAsia="仿宋_GB2312"/>
          <w:color w:val="000000" w:themeColor="text1"/>
          <w:sz w:val="32"/>
          <w:szCs w:val="32"/>
          <w14:textFill>
            <w14:solidFill>
              <w14:schemeClr w14:val="tx1"/>
            </w14:solidFill>
          </w14:textFill>
        </w:rPr>
        <w:t>及时研究出台《关于报送乡村建设项目资金进展情况的通知》（新农办乡建函〔2024〕375号），健全完善项目实施进度和资金支出进度调度工作机制，建立按月调度、定期通报工作制度，形成数据及时上报、进度定期分析、问题及时整改的良好工作气氛，进一步压实各级各部门在项目及资金使用管理中的责任。</w:t>
      </w:r>
    </w:p>
    <w:p>
      <w:pPr>
        <w:spacing w:line="560" w:lineRule="exact"/>
        <w:ind w:firstLine="581" w:firstLineChars="181"/>
        <w:contextualSpacing/>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（三）总体绩效目标完成情况分析</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经认真分析13个地（州、市）及54个县（市、区）的预算执行和绩效自评情况，截至2024年12月31日，项目资金总体绩效目标按预期有序推进落实。</w:t>
      </w:r>
    </w:p>
    <w:p>
      <w:pPr>
        <w:spacing w:line="560" w:lineRule="exact"/>
        <w:ind w:firstLine="581" w:firstLineChars="181"/>
        <w:contextualSpacing/>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（四）绩效指标完成情况分析</w:t>
      </w:r>
    </w:p>
    <w:p>
      <w:pPr>
        <w:spacing w:line="560" w:lineRule="exact"/>
        <w:ind w:firstLine="642" w:firstLineChars="200"/>
        <w:contextualSpacing/>
        <w:rPr>
          <w:rFonts w:ascii="Times New Roman" w:hAnsi="Times New Roman" w:eastAsia="仿宋_GB2312"/>
          <w:b/>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1.产出指标完成情况分析</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（1）数量指标</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a.2024年计划完成改厕农户户数（户）指标，按照上级不下达指令性计划任务的要求，经各地自下而上研究需求，计划指标值确定为231391户，实际完成285838户，完成率123.53%，偏差率23.53%。</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b.2024年计划农村厕所革命整村推进的行政村数指标，按照上级不下达指令性计划任务的要求，经各地自下而上研究上报项目实施村情况，计划指标值确定104个，实际落实完成92个，完成率88.46%，偏差率11.54%</w:t>
      </w:r>
      <w:r>
        <w:rPr>
          <w:rFonts w:hint="eastAsia" w:ascii="Times New Roman" w:hAnsi="Times New Roman" w:eastAsia="仿宋_GB2312"/>
          <w:color w:val="000000" w:themeColor="text1"/>
          <w:sz w:val="32"/>
          <w:szCs w:val="32"/>
          <w14:textFill>
            <w14:solidFill>
              <w14:schemeClr w14:val="tx1"/>
            </w14:solidFill>
          </w14:textFill>
        </w:rPr>
        <w:t>。偏差原因</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因项目前期准备、实施进度及季节性施工等因素，截至</w:t>
      </w:r>
      <w:r>
        <w:rPr>
          <w:rFonts w:ascii="Times New Roman" w:hAnsi="Times New Roman" w:eastAsia="仿宋_GB2312"/>
          <w:color w:val="000000" w:themeColor="text1"/>
          <w:sz w:val="32"/>
          <w:szCs w:val="32"/>
          <w14:textFill>
            <w14:solidFill>
              <w14:schemeClr w14:val="tx1"/>
            </w14:solidFill>
          </w14:textFill>
        </w:rPr>
        <w:t>2024年</w:t>
      </w:r>
      <w:r>
        <w:rPr>
          <w:rFonts w:hint="eastAsia" w:ascii="Times New Roman" w:hAnsi="Times New Roman" w:eastAsia="仿宋_GB2312"/>
          <w:color w:val="000000" w:themeColor="text1"/>
          <w:sz w:val="32"/>
          <w:szCs w:val="32"/>
          <w14:textFill>
            <w14:solidFill>
              <w14:schemeClr w14:val="tx1"/>
            </w14:solidFill>
          </w14:textFill>
        </w:rPr>
        <w:t>年底仍有部分</w:t>
      </w:r>
      <w:r>
        <w:rPr>
          <w:rFonts w:ascii="Times New Roman" w:hAnsi="Times New Roman" w:eastAsia="仿宋_GB2312"/>
          <w:color w:val="000000" w:themeColor="text1"/>
          <w:sz w:val="32"/>
          <w:szCs w:val="32"/>
          <w14:textFill>
            <w14:solidFill>
              <w14:schemeClr w14:val="tx1"/>
            </w14:solidFill>
          </w14:textFill>
        </w:rPr>
        <w:t>项目未能按</w:t>
      </w:r>
      <w:r>
        <w:rPr>
          <w:rFonts w:hint="eastAsia" w:ascii="Times New Roman" w:hAnsi="Times New Roman" w:eastAsia="仿宋_GB2312"/>
          <w:color w:val="000000" w:themeColor="text1"/>
          <w:sz w:val="32"/>
          <w:szCs w:val="32"/>
          <w14:textFill>
            <w14:solidFill>
              <w14:schemeClr w14:val="tx1"/>
            </w14:solidFill>
          </w14:textFill>
        </w:rPr>
        <w:t>预期</w:t>
      </w:r>
      <w:r>
        <w:rPr>
          <w:rFonts w:ascii="Times New Roman" w:hAnsi="Times New Roman" w:eastAsia="仿宋_GB2312"/>
          <w:color w:val="000000" w:themeColor="text1"/>
          <w:sz w:val="32"/>
          <w:szCs w:val="32"/>
          <w14:textFill>
            <w14:solidFill>
              <w14:schemeClr w14:val="tx1"/>
            </w14:solidFill>
          </w14:textFill>
        </w:rPr>
        <w:t>竣工验收，导致整村推进村</w:t>
      </w:r>
      <w:r>
        <w:rPr>
          <w:rFonts w:hint="eastAsia" w:ascii="Times New Roman" w:hAnsi="Times New Roman" w:eastAsia="仿宋_GB2312"/>
          <w:color w:val="000000" w:themeColor="text1"/>
          <w:sz w:val="32"/>
          <w:szCs w:val="32"/>
          <w14:textFill>
            <w14:solidFill>
              <w14:schemeClr w14:val="tx1"/>
            </w14:solidFill>
          </w14:textFill>
        </w:rPr>
        <w:t>数</w:t>
      </w:r>
      <w:r>
        <w:rPr>
          <w:rFonts w:ascii="Times New Roman" w:hAnsi="Times New Roman" w:eastAsia="仿宋_GB2312"/>
          <w:color w:val="000000" w:themeColor="text1"/>
          <w:sz w:val="32"/>
          <w:szCs w:val="32"/>
          <w14:textFill>
            <w14:solidFill>
              <w14:schemeClr w14:val="tx1"/>
            </w14:solidFill>
          </w14:textFill>
        </w:rPr>
        <w:t>未</w:t>
      </w:r>
      <w:r>
        <w:rPr>
          <w:rFonts w:hint="eastAsia" w:ascii="Times New Roman" w:hAnsi="Times New Roman" w:eastAsia="仿宋_GB2312"/>
          <w:color w:val="000000" w:themeColor="text1"/>
          <w:sz w:val="32"/>
          <w:szCs w:val="32"/>
          <w14:textFill>
            <w14:solidFill>
              <w14:schemeClr w14:val="tx1"/>
            </w14:solidFill>
          </w14:textFill>
        </w:rPr>
        <w:t>达到预期目标</w:t>
      </w:r>
      <w:r>
        <w:rPr>
          <w:rFonts w:ascii="Times New Roman" w:hAnsi="Times New Roman" w:eastAsia="仿宋_GB2312"/>
          <w:color w:val="000000" w:themeColor="text1"/>
          <w:sz w:val="32"/>
          <w:szCs w:val="32"/>
          <w14:textFill>
            <w14:solidFill>
              <w14:schemeClr w14:val="tx1"/>
            </w14:solidFill>
          </w14:textFill>
        </w:rPr>
        <w:t>。</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（2）质量指标</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a.改造完的厕所设施合格率指标，指标值≧95%，实际完成98%，完成率100%，偏差率0%。</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b.农村改厕数据库指标，指标值“基本建成”，实际完成</w:t>
      </w:r>
      <w:r>
        <w:rPr>
          <w:rFonts w:hint="eastAsia" w:ascii="Times New Roman" w:hAnsi="Times New Roman" w:eastAsia="仿宋_GB2312"/>
          <w:color w:val="000000" w:themeColor="text1"/>
          <w:sz w:val="32"/>
          <w:szCs w:val="32"/>
          <w14:textFill>
            <w14:solidFill>
              <w14:schemeClr w14:val="tx1"/>
            </w14:solidFill>
          </w14:textFill>
        </w:rPr>
        <w:t>100%（即，2022年已在自治区衔接推进乡村振兴信息系统增设户厕管理模块，各地常态化管理使用）</w:t>
      </w:r>
      <w:r>
        <w:rPr>
          <w:rFonts w:ascii="Times New Roman" w:hAnsi="Times New Roman" w:eastAsia="仿宋_GB2312"/>
          <w:color w:val="000000" w:themeColor="text1"/>
          <w:sz w:val="32"/>
          <w:szCs w:val="32"/>
          <w14:textFill>
            <w14:solidFill>
              <w14:schemeClr w14:val="tx1"/>
            </w14:solidFill>
          </w14:textFill>
        </w:rPr>
        <w:t>，完成率100%，偏差率0%。</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（3）时效指标</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a.截至2024年底，项目资金执行率指标，指标值确定100%，实际完成77.25%，完成率77.25%，偏差率22.75%。</w:t>
      </w:r>
      <w:r>
        <w:rPr>
          <w:rFonts w:hint="eastAsia" w:ascii="Times New Roman" w:hAnsi="Times New Roman" w:eastAsia="仿宋_GB2312"/>
          <w:color w:val="000000" w:themeColor="text1"/>
          <w:sz w:val="32"/>
          <w:szCs w:val="32"/>
          <w14:textFill>
            <w14:solidFill>
              <w14:schemeClr w14:val="tx1"/>
            </w14:solidFill>
          </w14:textFill>
        </w:rPr>
        <w:t>偏差原因</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b/>
          <w:bCs/>
          <w:color w:val="000000" w:themeColor="text1"/>
          <w:sz w:val="32"/>
          <w:szCs w:val="32"/>
          <w14:textFill>
            <w14:solidFill>
              <w14:schemeClr w14:val="tx1"/>
            </w14:solidFill>
          </w14:textFill>
        </w:rPr>
        <w:t>一是</w:t>
      </w:r>
      <w:r>
        <w:rPr>
          <w:rFonts w:hint="eastAsia" w:ascii="Times New Roman" w:hAnsi="Times New Roman" w:eastAsia="仿宋_GB2312"/>
          <w:color w:val="000000" w:themeColor="text1"/>
          <w:sz w:val="32"/>
          <w:szCs w:val="32"/>
          <w14:textFill>
            <w14:solidFill>
              <w14:schemeClr w14:val="tx1"/>
            </w14:solidFill>
          </w14:textFill>
        </w:rPr>
        <w:t>此次中央奖补资金分配下达从中央和自治区层面较上年晚了5个多月（即非提前预告资金），对项目有效组织实施和进度产生了一定的影响；</w:t>
      </w:r>
      <w:r>
        <w:rPr>
          <w:rFonts w:hint="eastAsia" w:ascii="Times New Roman" w:hAnsi="Times New Roman" w:eastAsia="仿宋_GB2312"/>
          <w:b/>
          <w:bCs/>
          <w:color w:val="000000" w:themeColor="text1"/>
          <w:sz w:val="32"/>
          <w:szCs w:val="32"/>
          <w14:textFill>
            <w14:solidFill>
              <w14:schemeClr w14:val="tx1"/>
            </w14:solidFill>
          </w14:textFill>
        </w:rPr>
        <w:t>二是</w:t>
      </w:r>
      <w:r>
        <w:rPr>
          <w:rFonts w:hint="eastAsia" w:ascii="Times New Roman" w:hAnsi="Times New Roman" w:eastAsia="仿宋_GB2312"/>
          <w:color w:val="000000" w:themeColor="text1"/>
          <w:sz w:val="32"/>
          <w:szCs w:val="32"/>
          <w14:textFill>
            <w14:solidFill>
              <w14:schemeClr w14:val="tx1"/>
            </w14:solidFill>
          </w14:textFill>
        </w:rPr>
        <w:t>项目前期准备、施工进度及季节性施工因素等，也导致部分项目2024年底不能完毕施工和竣工验收，导致项目进度和资金支出缓慢；</w:t>
      </w:r>
      <w:r>
        <w:rPr>
          <w:rFonts w:hint="eastAsia" w:ascii="Times New Roman" w:hAnsi="Times New Roman" w:eastAsia="仿宋_GB2312"/>
          <w:b/>
          <w:bCs/>
          <w:color w:val="000000" w:themeColor="text1"/>
          <w:sz w:val="32"/>
          <w:szCs w:val="32"/>
          <w14:textFill>
            <w14:solidFill>
              <w14:schemeClr w14:val="tx1"/>
            </w14:solidFill>
          </w14:textFill>
        </w:rPr>
        <w:t>三是</w:t>
      </w:r>
      <w:r>
        <w:rPr>
          <w:rFonts w:hint="eastAsia" w:ascii="Times New Roman" w:hAnsi="Times New Roman" w:eastAsia="仿宋_GB2312"/>
          <w:color w:val="000000" w:themeColor="text1"/>
          <w:sz w:val="32"/>
          <w:szCs w:val="32"/>
          <w14:textFill>
            <w14:solidFill>
              <w14:schemeClr w14:val="tx1"/>
            </w14:solidFill>
          </w14:textFill>
        </w:rPr>
        <w:t>部分项目招投标（政府采购）环节切实节约投资预算，但地方顾虑项目施工和竣工决算产生投入波动，故这部分资金无法调整使用和支出，另可保留3%的项目质保金等，都影响到资金的支出进度。</w:t>
      </w:r>
    </w:p>
    <w:p>
      <w:pPr>
        <w:spacing w:line="560" w:lineRule="exact"/>
        <w:ind w:firstLine="642" w:firstLineChars="200"/>
        <w:contextualSpacing/>
        <w:rPr>
          <w:rFonts w:ascii="Times New Roman" w:hAnsi="Times New Roman" w:eastAsia="仿宋_GB2312"/>
          <w:b/>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2.效益指标完成情况分析</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（1）社会效益</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a.当年完成农村厕所革命整村推进行政村的卫生厕所普及率指标，指标值≥80%，自治区结合实施农村粪污一体化项目性质提高5个百分点（即指标值≥85%），实际完成90%，完成率100%（对比自治区指标值完成率100%），偏差率0%（对比自治区指标值偏差率0%）。</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（2）生态效益指标</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a.当年完成农村厕所革命整村推进行政村的厕所粪污无害化处理率指标，指标值≥85%，实际完成91%，完成率100%，偏差率0%。</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（3）可持续影响指标</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a.当年完成农村厕所革命整村推进行政村的长效管护机制指标，指标值“初步建立”，实际完成</w:t>
      </w:r>
      <w:r>
        <w:rPr>
          <w:rFonts w:hint="eastAsia" w:ascii="Times New Roman" w:hAnsi="Times New Roman" w:eastAsia="仿宋_GB2312"/>
          <w:color w:val="000000" w:themeColor="text1"/>
          <w:sz w:val="32"/>
          <w:szCs w:val="32"/>
          <w14:textFill>
            <w14:solidFill>
              <w14:schemeClr w14:val="tx1"/>
            </w14:solidFill>
          </w14:textFill>
        </w:rPr>
        <w:t>100%（即</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项目地县乡村已</w:t>
      </w:r>
      <w:r>
        <w:rPr>
          <w:rFonts w:ascii="Times New Roman" w:hAnsi="Times New Roman" w:eastAsia="仿宋_GB2312"/>
          <w:color w:val="000000" w:themeColor="text1"/>
          <w:sz w:val="32"/>
          <w:szCs w:val="32"/>
          <w14:textFill>
            <w14:solidFill>
              <w14:schemeClr w14:val="tx1"/>
            </w14:solidFill>
          </w14:textFill>
        </w:rPr>
        <w:t>基本建立</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完成率100%，偏差率0%。</w:t>
      </w:r>
    </w:p>
    <w:p>
      <w:pPr>
        <w:spacing w:line="560" w:lineRule="exact"/>
        <w:ind w:firstLine="642" w:firstLineChars="200"/>
        <w:contextualSpacing/>
        <w:rPr>
          <w:rFonts w:ascii="Times New Roman" w:hAnsi="Times New Roman" w:eastAsia="仿宋_GB2312"/>
          <w:b/>
          <w:color w:val="000000" w:themeColor="text1"/>
          <w:sz w:val="32"/>
          <w:szCs w:val="32"/>
          <w14:textFill>
            <w14:solidFill>
              <w14:schemeClr w14:val="tx1"/>
            </w14:solidFill>
          </w14:textFill>
        </w:rPr>
      </w:pPr>
      <w:r>
        <w:rPr>
          <w:rFonts w:ascii="Times New Roman" w:hAnsi="Times New Roman" w:eastAsia="仿宋_GB2312"/>
          <w:b/>
          <w:color w:val="000000" w:themeColor="text1"/>
          <w:sz w:val="32"/>
          <w:szCs w:val="32"/>
          <w14:textFill>
            <w14:solidFill>
              <w14:schemeClr w14:val="tx1"/>
            </w14:solidFill>
          </w14:textFill>
        </w:rPr>
        <w:t>3.满意度指标完成情况分析</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（1）服务对象满意度指标</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a.项目区农民满意度指标，指标值≥90%，实际完成96%，完成率100%，偏差率0%。</w:t>
      </w:r>
    </w:p>
    <w:p>
      <w:pPr>
        <w:spacing w:line="560" w:lineRule="exact"/>
        <w:ind w:firstLine="640" w:firstLineChars="200"/>
        <w:contextualSpacing/>
        <w:rPr>
          <w:rFonts w:ascii="Times New Roman" w:hAnsi="Times New Roman" w:eastAsia="SimHei"/>
          <w:color w:val="000000" w:themeColor="text1"/>
          <w:sz w:val="32"/>
          <w:szCs w:val="32"/>
          <w14:textFill>
            <w14:solidFill>
              <w14:schemeClr w14:val="tx1"/>
            </w14:solidFill>
          </w14:textFill>
        </w:rPr>
      </w:pPr>
      <w:r>
        <w:rPr>
          <w:rFonts w:ascii="Times New Roman" w:hAnsi="Times New Roman" w:eastAsia="SimHei"/>
          <w:color w:val="000000" w:themeColor="text1"/>
          <w:sz w:val="32"/>
          <w:szCs w:val="32"/>
          <w14:textFill>
            <w14:solidFill>
              <w14:schemeClr w14:val="tx1"/>
            </w14:solidFill>
          </w14:textFill>
        </w:rPr>
        <w:t>三、偏离绩效目标的原因和下一步改进措施</w:t>
      </w:r>
    </w:p>
    <w:p>
      <w:pPr>
        <w:spacing w:line="560" w:lineRule="exact"/>
        <w:ind w:firstLine="642" w:firstLineChars="200"/>
        <w:contextualSpacing/>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（一）偏离的绩效目标</w:t>
      </w:r>
    </w:p>
    <w:p>
      <w:pPr>
        <w:spacing w:line="560" w:lineRule="exact"/>
        <w:ind w:firstLine="640" w:firstLineChars="200"/>
        <w:contextualSpacing/>
        <w:rPr>
          <w:rFonts w:ascii="Times New Roman" w:hAnsi="Times New Roman" w:eastAsia="仿宋_GB2312"/>
          <w:color w:val="000000" w:themeColor="text1"/>
          <w:spacing w:val="-6"/>
          <w:sz w:val="32"/>
          <w:szCs w:val="32"/>
          <w14:textFill>
            <w14:solidFill>
              <w14:schemeClr w14:val="tx1"/>
            </w14:solidFill>
          </w14:textFill>
        </w:rPr>
      </w:pPr>
      <w:bookmarkStart w:id="1" w:name="OLE_LINK1"/>
      <w:r>
        <w:rPr>
          <w:rFonts w:ascii="Times New Roman" w:hAnsi="Times New Roman" w:eastAsia="仿宋_GB2312"/>
          <w:color w:val="000000" w:themeColor="text1"/>
          <w:sz w:val="32"/>
          <w:szCs w:val="32"/>
          <w14:textFill>
            <w14:solidFill>
              <w14:schemeClr w14:val="tx1"/>
            </w14:solidFill>
          </w14:textFill>
        </w:rPr>
        <w:t>有</w:t>
      </w:r>
      <w:r>
        <w:rPr>
          <w:rFonts w:ascii="Times New Roman" w:hAnsi="Times New Roman" w:eastAsia="仿宋_GB2312"/>
          <w:color w:val="000000" w:themeColor="text1"/>
          <w:sz w:val="32"/>
          <w:szCs w:val="32"/>
          <w:lang w:val="en"/>
          <w14:textFill>
            <w14:solidFill>
              <w14:schemeClr w14:val="tx1"/>
            </w14:solidFill>
          </w14:textFill>
        </w:rPr>
        <w:t>两</w:t>
      </w:r>
      <w:r>
        <w:rPr>
          <w:rFonts w:ascii="Times New Roman" w:hAnsi="Times New Roman" w:eastAsia="仿宋_GB2312"/>
          <w:color w:val="000000" w:themeColor="text1"/>
          <w:spacing w:val="-6"/>
          <w:sz w:val="32"/>
          <w:szCs w:val="32"/>
          <w14:textFill>
            <w14:solidFill>
              <w14:schemeClr w14:val="tx1"/>
            </w14:solidFill>
          </w14:textFill>
        </w:rPr>
        <w:t>项指标</w:t>
      </w:r>
      <w:r>
        <w:rPr>
          <w:rFonts w:hint="eastAsia" w:ascii="Times New Roman" w:hAnsi="Times New Roman" w:eastAsia="仿宋_GB2312"/>
          <w:color w:val="000000" w:themeColor="text1"/>
          <w:spacing w:val="-6"/>
          <w:sz w:val="32"/>
          <w:szCs w:val="32"/>
          <w14:textFill>
            <w14:solidFill>
              <w14:schemeClr w14:val="tx1"/>
            </w14:solidFill>
          </w14:textFill>
        </w:rPr>
        <w:t>未达到预期目标</w:t>
      </w:r>
      <w:r>
        <w:rPr>
          <w:rFonts w:ascii="Times New Roman" w:hAnsi="Times New Roman" w:eastAsia="仿宋_GB2312"/>
          <w:color w:val="000000" w:themeColor="text1"/>
          <w:spacing w:val="-6"/>
          <w:sz w:val="32"/>
          <w:szCs w:val="32"/>
          <w14:textFill>
            <w14:solidFill>
              <w14:schemeClr w14:val="tx1"/>
            </w14:solidFill>
          </w14:textFill>
        </w:rPr>
        <w:t>，但偏差率均未超过30%。</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1.数量指标中的b.</w:t>
      </w:r>
      <w:r>
        <w:rPr>
          <w:rFonts w:ascii="Times New Roman" w:hAnsi="Times New Roman"/>
          <w:color w:val="000000" w:themeColor="text1"/>
          <w14:textFill>
            <w14:solidFill>
              <w14:schemeClr w14:val="tx1"/>
            </w14:solidFill>
          </w14:textFill>
        </w:rPr>
        <w:t xml:space="preserve"> </w:t>
      </w:r>
      <w:r>
        <w:rPr>
          <w:rFonts w:ascii="Times New Roman" w:hAnsi="Times New Roman" w:eastAsia="仿宋_GB2312"/>
          <w:color w:val="000000" w:themeColor="text1"/>
          <w:sz w:val="32"/>
          <w:szCs w:val="32"/>
          <w14:textFill>
            <w14:solidFill>
              <w14:schemeClr w14:val="tx1"/>
            </w14:solidFill>
          </w14:textFill>
        </w:rPr>
        <w:t>2024年计划完成整村推进的行政村数（个）指标偏差11.54%，未完成原因：</w:t>
      </w:r>
      <w:r>
        <w:rPr>
          <w:rFonts w:hint="eastAsia" w:ascii="Times New Roman" w:hAnsi="Times New Roman" w:eastAsia="仿宋_GB2312"/>
          <w:color w:val="000000" w:themeColor="text1"/>
          <w:sz w:val="32"/>
          <w:szCs w:val="32"/>
          <w14:textFill>
            <w14:solidFill>
              <w14:schemeClr w14:val="tx1"/>
            </w14:solidFill>
          </w14:textFill>
        </w:rPr>
        <w:t>因项目前期准备、实施进度及季节性施工等因素，截至</w:t>
      </w:r>
      <w:r>
        <w:rPr>
          <w:rFonts w:ascii="Times New Roman" w:hAnsi="Times New Roman" w:eastAsia="仿宋_GB2312"/>
          <w:color w:val="000000" w:themeColor="text1"/>
          <w:sz w:val="32"/>
          <w:szCs w:val="32"/>
          <w14:textFill>
            <w14:solidFill>
              <w14:schemeClr w14:val="tx1"/>
            </w14:solidFill>
          </w14:textFill>
        </w:rPr>
        <w:t>2024年</w:t>
      </w:r>
      <w:r>
        <w:rPr>
          <w:rFonts w:hint="eastAsia" w:ascii="Times New Roman" w:hAnsi="Times New Roman" w:eastAsia="仿宋_GB2312"/>
          <w:color w:val="000000" w:themeColor="text1"/>
          <w:sz w:val="32"/>
          <w:szCs w:val="32"/>
          <w14:textFill>
            <w14:solidFill>
              <w14:schemeClr w14:val="tx1"/>
            </w14:solidFill>
          </w14:textFill>
        </w:rPr>
        <w:t>年底仍有部分</w:t>
      </w:r>
      <w:r>
        <w:rPr>
          <w:rFonts w:ascii="Times New Roman" w:hAnsi="Times New Roman" w:eastAsia="仿宋_GB2312"/>
          <w:color w:val="000000" w:themeColor="text1"/>
          <w:sz w:val="32"/>
          <w:szCs w:val="32"/>
          <w14:textFill>
            <w14:solidFill>
              <w14:schemeClr w14:val="tx1"/>
            </w14:solidFill>
          </w14:textFill>
        </w:rPr>
        <w:t>项目未能按</w:t>
      </w:r>
      <w:r>
        <w:rPr>
          <w:rFonts w:hint="eastAsia" w:ascii="Times New Roman" w:hAnsi="Times New Roman" w:eastAsia="仿宋_GB2312"/>
          <w:color w:val="000000" w:themeColor="text1"/>
          <w:sz w:val="32"/>
          <w:szCs w:val="32"/>
          <w14:textFill>
            <w14:solidFill>
              <w14:schemeClr w14:val="tx1"/>
            </w14:solidFill>
          </w14:textFill>
        </w:rPr>
        <w:t>预期</w:t>
      </w:r>
      <w:r>
        <w:rPr>
          <w:rFonts w:ascii="Times New Roman" w:hAnsi="Times New Roman" w:eastAsia="仿宋_GB2312"/>
          <w:color w:val="000000" w:themeColor="text1"/>
          <w:sz w:val="32"/>
          <w:szCs w:val="32"/>
          <w14:textFill>
            <w14:solidFill>
              <w14:schemeClr w14:val="tx1"/>
            </w14:solidFill>
          </w14:textFill>
        </w:rPr>
        <w:t>竣工验收，导致整村推进村</w:t>
      </w:r>
      <w:r>
        <w:rPr>
          <w:rFonts w:hint="eastAsia" w:ascii="Times New Roman" w:hAnsi="Times New Roman" w:eastAsia="仿宋_GB2312"/>
          <w:color w:val="000000" w:themeColor="text1"/>
          <w:sz w:val="32"/>
          <w:szCs w:val="32"/>
          <w14:textFill>
            <w14:solidFill>
              <w14:schemeClr w14:val="tx1"/>
            </w14:solidFill>
          </w14:textFill>
        </w:rPr>
        <w:t>数</w:t>
      </w:r>
      <w:r>
        <w:rPr>
          <w:rFonts w:ascii="Times New Roman" w:hAnsi="Times New Roman" w:eastAsia="仿宋_GB2312"/>
          <w:color w:val="000000" w:themeColor="text1"/>
          <w:sz w:val="32"/>
          <w:szCs w:val="32"/>
          <w14:textFill>
            <w14:solidFill>
              <w14:schemeClr w14:val="tx1"/>
            </w14:solidFill>
          </w14:textFill>
        </w:rPr>
        <w:t>未</w:t>
      </w:r>
      <w:r>
        <w:rPr>
          <w:rFonts w:hint="eastAsia" w:ascii="Times New Roman" w:hAnsi="Times New Roman" w:eastAsia="仿宋_GB2312"/>
          <w:color w:val="000000" w:themeColor="text1"/>
          <w:sz w:val="32"/>
          <w:szCs w:val="32"/>
          <w14:textFill>
            <w14:solidFill>
              <w14:schemeClr w14:val="tx1"/>
            </w14:solidFill>
          </w14:textFill>
        </w:rPr>
        <w:t>达到预期目标</w:t>
      </w:r>
      <w:r>
        <w:rPr>
          <w:rFonts w:ascii="Times New Roman" w:hAnsi="Times New Roman" w:eastAsia="仿宋_GB2312"/>
          <w:color w:val="000000" w:themeColor="text1"/>
          <w:sz w:val="32"/>
          <w:szCs w:val="32"/>
          <w14:textFill>
            <w14:solidFill>
              <w14:schemeClr w14:val="tx1"/>
            </w14:solidFill>
          </w14:textFill>
        </w:rPr>
        <w:t>。</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lang w:val="en"/>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.时效指标中的a.年度土地指标跨省域调剂收入安排的支出（支持农村厕所革命整村推进财政奖补）资金执行率指标偏差22.75%，未完成原因为：</w:t>
      </w:r>
      <w:bookmarkEnd w:id="1"/>
      <w:r>
        <w:rPr>
          <w:rFonts w:hint="eastAsia" w:ascii="Times New Roman" w:hAnsi="Times New Roman" w:eastAsia="仿宋_GB2312"/>
          <w:b/>
          <w:bCs/>
          <w:color w:val="000000" w:themeColor="text1"/>
          <w:sz w:val="32"/>
          <w:szCs w:val="32"/>
          <w14:textFill>
            <w14:solidFill>
              <w14:schemeClr w14:val="tx1"/>
            </w14:solidFill>
          </w14:textFill>
        </w:rPr>
        <w:t>一是</w:t>
      </w:r>
      <w:r>
        <w:rPr>
          <w:rFonts w:hint="eastAsia" w:ascii="Times New Roman" w:hAnsi="Times New Roman" w:eastAsia="仿宋_GB2312"/>
          <w:color w:val="000000" w:themeColor="text1"/>
          <w:sz w:val="32"/>
          <w:szCs w:val="32"/>
          <w14:textFill>
            <w14:solidFill>
              <w14:schemeClr w14:val="tx1"/>
            </w14:solidFill>
          </w14:textFill>
        </w:rPr>
        <w:t>此次中央奖补资金分配下达从中央和自治区层面较上年晚了5个多月（即非提前预告资金），对项目有效组织实施和进度产生了一定的影响；</w:t>
      </w:r>
      <w:r>
        <w:rPr>
          <w:rFonts w:hint="eastAsia" w:ascii="Times New Roman" w:hAnsi="Times New Roman" w:eastAsia="仿宋_GB2312"/>
          <w:b/>
          <w:bCs/>
          <w:color w:val="000000" w:themeColor="text1"/>
          <w:sz w:val="32"/>
          <w:szCs w:val="32"/>
          <w14:textFill>
            <w14:solidFill>
              <w14:schemeClr w14:val="tx1"/>
            </w14:solidFill>
          </w14:textFill>
        </w:rPr>
        <w:t>二是</w:t>
      </w:r>
      <w:r>
        <w:rPr>
          <w:rFonts w:hint="eastAsia" w:ascii="Times New Roman" w:hAnsi="Times New Roman" w:eastAsia="仿宋_GB2312"/>
          <w:color w:val="000000" w:themeColor="text1"/>
          <w:sz w:val="32"/>
          <w:szCs w:val="32"/>
          <w14:textFill>
            <w14:solidFill>
              <w14:schemeClr w14:val="tx1"/>
            </w14:solidFill>
          </w14:textFill>
        </w:rPr>
        <w:t>项目前期准备、施工进度及季节性施工因素等，也导致部分项目2024年底不能完毕施工和竣工验收，导致项目进度和资金支出缓慢；</w:t>
      </w:r>
      <w:r>
        <w:rPr>
          <w:rFonts w:hint="eastAsia" w:ascii="Times New Roman" w:hAnsi="Times New Roman" w:eastAsia="仿宋_GB2312"/>
          <w:b/>
          <w:bCs/>
          <w:color w:val="000000" w:themeColor="text1"/>
          <w:sz w:val="32"/>
          <w:szCs w:val="32"/>
          <w14:textFill>
            <w14:solidFill>
              <w14:schemeClr w14:val="tx1"/>
            </w14:solidFill>
          </w14:textFill>
        </w:rPr>
        <w:t>三是</w:t>
      </w:r>
      <w:r>
        <w:rPr>
          <w:rFonts w:hint="eastAsia" w:ascii="Times New Roman" w:hAnsi="Times New Roman" w:eastAsia="仿宋_GB2312"/>
          <w:color w:val="000000" w:themeColor="text1"/>
          <w:sz w:val="32"/>
          <w:szCs w:val="32"/>
          <w14:textFill>
            <w14:solidFill>
              <w14:schemeClr w14:val="tx1"/>
            </w14:solidFill>
          </w14:textFill>
        </w:rPr>
        <w:t>部分项目招投标（政府采购）环节切实节约投资预算，但地方顾虑项目施工和竣工决算产生投入波动，故这部分资金无法调整使用和支出，另可保留3%的项目质保金等，都影响到资金的支出进度。</w:t>
      </w:r>
    </w:p>
    <w:p>
      <w:pPr>
        <w:spacing w:line="560" w:lineRule="exact"/>
        <w:ind w:firstLine="642" w:firstLineChars="200"/>
        <w:contextualSpacing/>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（二）下一步改进措施</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鉴于项目施工受季节性等客观因素影响，当前项目实施进度和资金支出率未能达到预期目标，为确保项目顺利推进并圆满完成，将敦促各地全力做好2025年开春动工及竣工验收等工作，具体措施：</w:t>
      </w:r>
      <w:r>
        <w:rPr>
          <w:rFonts w:ascii="Times New Roman" w:hAnsi="Times New Roman" w:eastAsia="仿宋_GB2312"/>
          <w:b/>
          <w:bCs/>
          <w:color w:val="000000" w:themeColor="text1"/>
          <w:sz w:val="32"/>
          <w:szCs w:val="32"/>
          <w14:textFill>
            <w14:solidFill>
              <w14:schemeClr w14:val="tx1"/>
            </w14:solidFill>
          </w14:textFill>
        </w:rPr>
        <w:t>一是强化协同合作，夯实工作基础。</w:t>
      </w:r>
      <w:r>
        <w:rPr>
          <w:rFonts w:ascii="Times New Roman" w:hAnsi="Times New Roman" w:eastAsia="仿宋_GB2312"/>
          <w:color w:val="000000" w:themeColor="text1"/>
          <w:sz w:val="32"/>
          <w:szCs w:val="32"/>
          <w14:textFill>
            <w14:solidFill>
              <w14:schemeClr w14:val="tx1"/>
            </w14:solidFill>
          </w14:textFill>
        </w:rPr>
        <w:t>将改善农村人居环境作为乡村振兴战略的核心任务，积极主动加强与财政、生态环境、住建等相关部门的沟通，实现信息共享、资源整合，协同发力，共同把控工程质量，从源头保障项目的高质量推进。</w:t>
      </w:r>
      <w:r>
        <w:rPr>
          <w:rFonts w:ascii="Times New Roman" w:hAnsi="Times New Roman" w:eastAsia="仿宋_GB2312"/>
          <w:b/>
          <w:bCs/>
          <w:color w:val="000000" w:themeColor="text1"/>
          <w:sz w:val="32"/>
          <w:szCs w:val="32"/>
          <w14:textFill>
            <w14:solidFill>
              <w14:schemeClr w14:val="tx1"/>
            </w14:solidFill>
          </w14:textFill>
        </w:rPr>
        <w:t>二是加快项目执行，提升资金效能。</w:t>
      </w:r>
      <w:r>
        <w:rPr>
          <w:rFonts w:ascii="Times New Roman" w:hAnsi="Times New Roman" w:eastAsia="仿宋_GB2312"/>
          <w:color w:val="000000" w:themeColor="text1"/>
          <w:sz w:val="32"/>
          <w:szCs w:val="32"/>
          <w14:textFill>
            <w14:solidFill>
              <w14:schemeClr w14:val="tx1"/>
            </w14:solidFill>
          </w14:textFill>
        </w:rPr>
        <w:t>对项目工程进度缓慢、资金支出率较低的地县，深入剖析原因，坚持问题导向，制定切实可行的改进措施。在开春后迅速组织施工力量，优化施工流程，加快项目实施进程，确保工程尽早竣工交付。同时，敦促各地优化资金支付流程，加快资金拨付速度，提高资金使用效率。</w:t>
      </w:r>
      <w:r>
        <w:rPr>
          <w:rFonts w:ascii="Times New Roman" w:hAnsi="Times New Roman" w:eastAsia="仿宋_GB2312"/>
          <w:b/>
          <w:bCs/>
          <w:color w:val="000000" w:themeColor="text1"/>
          <w:sz w:val="32"/>
          <w:szCs w:val="32"/>
          <w14:textFill>
            <w14:solidFill>
              <w14:schemeClr w14:val="tx1"/>
            </w14:solidFill>
          </w14:textFill>
        </w:rPr>
        <w:t>三是加强监督管理，确保目标达成。</w:t>
      </w:r>
      <w:r>
        <w:rPr>
          <w:rFonts w:ascii="Times New Roman" w:hAnsi="Times New Roman" w:eastAsia="仿宋_GB2312"/>
          <w:color w:val="000000" w:themeColor="text1"/>
          <w:sz w:val="32"/>
          <w:szCs w:val="32"/>
          <w14:textFill>
            <w14:solidFill>
              <w14:schemeClr w14:val="tx1"/>
            </w14:solidFill>
          </w14:textFill>
        </w:rPr>
        <w:t>依据相关制度要求，定期开展实地指导和进度调度工作。通过实地查看、数据统计等方式，及时、准确掌握项目进展及资金流向。进一步压实地</w:t>
      </w:r>
      <w:r>
        <w:rPr>
          <w:rFonts w:hint="eastAsia" w:ascii="Times New Roman" w:hAnsi="Times New Roman" w:eastAsia="仿宋_GB2312"/>
          <w:color w:val="000000" w:themeColor="text1"/>
          <w:sz w:val="32"/>
          <w:szCs w:val="32"/>
          <w14:textFill>
            <w14:solidFill>
              <w14:schemeClr w14:val="tx1"/>
            </w14:solidFill>
          </w14:textFill>
        </w:rPr>
        <w:t>（州、市）</w:t>
      </w:r>
      <w:r>
        <w:rPr>
          <w:rFonts w:ascii="Times New Roman" w:hAnsi="Times New Roman" w:eastAsia="仿宋_GB2312"/>
          <w:color w:val="000000" w:themeColor="text1"/>
          <w:sz w:val="32"/>
          <w:szCs w:val="32"/>
          <w14:textFill>
            <w14:solidFill>
              <w14:schemeClr w14:val="tx1"/>
            </w14:solidFill>
          </w14:textFill>
        </w:rPr>
        <w:t>监管责任，强化县</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市</w:t>
      </w:r>
      <w:r>
        <w:rPr>
          <w:rFonts w:hint="eastAsia" w:ascii="Times New Roman" w:hAnsi="Times New Roman" w:eastAsia="仿宋_GB2312"/>
          <w:color w:val="000000" w:themeColor="text1"/>
          <w:sz w:val="32"/>
          <w:szCs w:val="32"/>
          <w14:textFill>
            <w14:solidFill>
              <w14:schemeClr w14:val="tx1"/>
            </w14:solidFill>
          </w14:textFill>
        </w:rPr>
        <w:t>、区）</w:t>
      </w:r>
      <w:r>
        <w:rPr>
          <w:rFonts w:ascii="Times New Roman" w:hAnsi="Times New Roman" w:eastAsia="仿宋_GB2312"/>
          <w:color w:val="000000" w:themeColor="text1"/>
          <w:sz w:val="32"/>
          <w:szCs w:val="32"/>
          <w14:textFill>
            <w14:solidFill>
              <w14:schemeClr w14:val="tx1"/>
            </w14:solidFill>
          </w14:textFill>
        </w:rPr>
        <w:t>主体责任意识，通过有效的</w:t>
      </w:r>
      <w:r>
        <w:rPr>
          <w:rFonts w:ascii="Times New Roman" w:hAnsi="Times New Roman" w:eastAsia="仿宋_GB2312"/>
          <w:color w:val="000000" w:themeColor="text1"/>
          <w:spacing w:val="-6"/>
          <w:sz w:val="32"/>
          <w:szCs w:val="32"/>
          <w14:textFill>
            <w14:solidFill>
              <w14:schemeClr w14:val="tx1"/>
            </w14:solidFill>
          </w14:textFill>
        </w:rPr>
        <w:t>监督管理，推动项目早日完工，资金高效支出，加快实现既定绩效目标。</w:t>
      </w:r>
    </w:p>
    <w:p>
      <w:pPr>
        <w:spacing w:line="560" w:lineRule="exact"/>
        <w:ind w:firstLine="640" w:firstLineChars="200"/>
        <w:contextualSpacing/>
        <w:rPr>
          <w:rFonts w:ascii="Times New Roman" w:hAnsi="Times New Roman" w:eastAsia="SimHei"/>
          <w:b/>
          <w:color w:val="000000" w:themeColor="text1"/>
          <w:sz w:val="32"/>
          <w:szCs w:val="32"/>
          <w14:textFill>
            <w14:solidFill>
              <w14:schemeClr w14:val="tx1"/>
            </w14:solidFill>
          </w14:textFill>
        </w:rPr>
      </w:pPr>
      <w:r>
        <w:rPr>
          <w:rFonts w:ascii="Times New Roman" w:hAnsi="Times New Roman" w:eastAsia="SimHei"/>
          <w:color w:val="000000" w:themeColor="text1"/>
          <w:sz w:val="32"/>
          <w:szCs w:val="32"/>
          <w14:textFill>
            <w14:solidFill>
              <w14:schemeClr w14:val="tx1"/>
            </w14:solidFill>
          </w14:textFill>
        </w:rPr>
        <w:t>四、绩效自评结果拟应用和公开情况</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（一）按照财政部《项目支出绩效评价管理办法》（财预〔2020〕10号）规定，经自评，2024年中央土地指标跨省域调剂收入安排的支出（农村厕所革命整村推进财政奖补）绩效自评得分为9</w:t>
      </w:r>
      <w:r>
        <w:rPr>
          <w:rFonts w:hint="eastAsia" w:ascii="Times New Roman" w:hAnsi="Times New Roman" w:eastAsia="仿宋_GB2312"/>
          <w:color w:val="000000" w:themeColor="text1"/>
          <w:sz w:val="32"/>
          <w:szCs w:val="32"/>
          <w14:textFill>
            <w14:solidFill>
              <w14:schemeClr w14:val="tx1"/>
            </w14:solidFill>
          </w14:textFill>
        </w:rPr>
        <w:t>5</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82</w:t>
      </w:r>
      <w:r>
        <w:rPr>
          <w:rFonts w:ascii="Times New Roman" w:hAnsi="Times New Roman" w:eastAsia="仿宋_GB2312"/>
          <w:color w:val="000000" w:themeColor="text1"/>
          <w:sz w:val="32"/>
          <w:szCs w:val="32"/>
          <w14:textFill>
            <w14:solidFill>
              <w14:schemeClr w14:val="tx1"/>
            </w14:solidFill>
          </w14:textFill>
        </w:rPr>
        <w:t>分，其中：预算执行7.76分、产出指标4</w:t>
      </w:r>
      <w:r>
        <w:rPr>
          <w:rFonts w:hint="eastAsia" w:ascii="Times New Roman" w:hAnsi="Times New Roman" w:eastAsia="仿宋_GB2312"/>
          <w:color w:val="000000" w:themeColor="text1"/>
          <w:sz w:val="32"/>
          <w:szCs w:val="32"/>
          <w14:textFill>
            <w14:solidFill>
              <w14:schemeClr w14:val="tx1"/>
            </w14:solidFill>
          </w14:textFill>
        </w:rPr>
        <w:t>8</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05</w:t>
      </w:r>
      <w:r>
        <w:rPr>
          <w:rFonts w:ascii="Times New Roman" w:hAnsi="Times New Roman" w:eastAsia="仿宋_GB2312"/>
          <w:color w:val="000000" w:themeColor="text1"/>
          <w:sz w:val="32"/>
          <w:szCs w:val="32"/>
          <w14:textFill>
            <w14:solidFill>
              <w14:schemeClr w14:val="tx1"/>
            </w14:solidFill>
          </w14:textFill>
        </w:rPr>
        <w:t>分、效益指标30分、服务对象满意度指标10分，自评结果为“优”。</w:t>
      </w:r>
    </w:p>
    <w:p>
      <w:pPr>
        <w:spacing w:line="5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（二）在持续强化绩效管理的前提下，将年度绩效结果与下一年度资金分配、项目安排有效挂钩，形成以绩效结果为导向的正向激励工作机制，提高项目资金效益。</w:t>
      </w:r>
    </w:p>
    <w:p>
      <w:pPr>
        <w:widowControl/>
        <w:spacing w:line="560" w:lineRule="exact"/>
        <w:ind w:firstLine="640" w:firstLineChars="200"/>
        <w:contextualSpacing/>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（三）最终评价结果将在自治区农业农村厅和自治区财政厅门户网站进行公示公开，广泛接受社会监督。</w:t>
      </w:r>
    </w:p>
    <w:p>
      <w:pPr>
        <w:widowControl/>
        <w:spacing w:line="560" w:lineRule="exact"/>
        <w:ind w:firstLine="640" w:firstLineChars="200"/>
        <w:contextualSpacing/>
        <w:jc w:val="left"/>
        <w:rPr>
          <w:rFonts w:ascii="Times New Roman" w:hAnsi="Times New Roman" w:eastAsia="SimHei"/>
          <w:color w:val="000000" w:themeColor="text1"/>
          <w:kern w:val="0"/>
          <w:sz w:val="32"/>
          <w:szCs w:val="32"/>
          <w14:textFill>
            <w14:solidFill>
              <w14:schemeClr w14:val="tx1"/>
            </w14:solidFill>
          </w14:textFill>
        </w:rPr>
      </w:pPr>
      <w:r>
        <w:rPr>
          <w:rFonts w:ascii="Times New Roman" w:hAnsi="Times New Roman" w:eastAsia="SimHei"/>
          <w:color w:val="000000" w:themeColor="text1"/>
          <w:kern w:val="0"/>
          <w:sz w:val="32"/>
          <w:szCs w:val="32"/>
          <w14:textFill>
            <w14:solidFill>
              <w14:schemeClr w14:val="tx1"/>
            </w14:solidFill>
          </w14:textFill>
        </w:rPr>
        <w:t>五、其他需要说明的问题</w:t>
      </w:r>
    </w:p>
    <w:p>
      <w:pPr>
        <w:widowControl/>
        <w:spacing w:line="560" w:lineRule="exact"/>
        <w:ind w:firstLine="640" w:firstLineChars="200"/>
        <w:contextualSpacing/>
        <w:jc w:val="left"/>
        <w:rPr>
          <w:rFonts w:ascii="Times New Roman" w:hAnsi="Times New Roman" w:eastAsia="仿宋_GB2312"/>
          <w:color w:val="000000" w:themeColor="text1"/>
          <w:kern w:val="0"/>
          <w:sz w:val="32"/>
          <w:szCs w:val="32"/>
          <w14:textFill>
            <w14:solidFill>
              <w14:schemeClr w14:val="tx1"/>
            </w14:solidFill>
          </w14:textFill>
        </w:rPr>
      </w:pPr>
      <w:r>
        <w:rPr>
          <w:rFonts w:ascii="Times New Roman" w:hAnsi="Times New Roman" w:eastAsia="仿宋_GB2312"/>
          <w:color w:val="000000" w:themeColor="text1"/>
          <w:kern w:val="0"/>
          <w:sz w:val="32"/>
          <w:szCs w:val="32"/>
          <w14:textFill>
            <w14:solidFill>
              <w14:schemeClr w14:val="tx1"/>
            </w14:solidFill>
          </w14:textFill>
        </w:rPr>
        <w:t>中央巡视、各级审计和财政监督中未反馈问题。</w:t>
      </w:r>
    </w:p>
    <w:p>
      <w:pPr>
        <w:widowControl/>
        <w:spacing w:line="560" w:lineRule="exact"/>
        <w:ind w:firstLine="640" w:firstLineChars="200"/>
        <w:contextualSpacing/>
        <w:jc w:val="left"/>
        <w:rPr>
          <w:rFonts w:ascii="Times New Roman" w:hAnsi="Times New Roman" w:eastAsia="SimHei"/>
          <w:color w:val="000000" w:themeColor="text1"/>
          <w:kern w:val="0"/>
          <w:sz w:val="32"/>
          <w:szCs w:val="32"/>
          <w14:textFill>
            <w14:solidFill>
              <w14:schemeClr w14:val="tx1"/>
            </w14:solidFill>
          </w14:textFill>
        </w:rPr>
      </w:pPr>
      <w:r>
        <w:rPr>
          <w:rFonts w:ascii="Times New Roman" w:hAnsi="Times New Roman" w:eastAsia="SimHei"/>
          <w:color w:val="000000" w:themeColor="text1"/>
          <w:kern w:val="0"/>
          <w:sz w:val="32"/>
          <w:szCs w:val="32"/>
          <w14:textFill>
            <w14:solidFill>
              <w14:schemeClr w14:val="tx1"/>
            </w14:solidFill>
          </w14:textFill>
        </w:rPr>
        <w:t>六、附件</w:t>
      </w:r>
    </w:p>
    <w:p>
      <w:pPr>
        <w:pStyle w:val="54"/>
        <w:widowControl/>
        <w:spacing w:after="0" w:line="560" w:lineRule="exact"/>
        <w:ind w:firstLine="640" w:firstLineChars="200"/>
        <w:contextualSpacing/>
        <w:rPr>
          <w:rFonts w:ascii="Times New Roman" w:hAnsi="Times New Roman" w:eastAsia="方正小标宋简体"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2024年中央土地指标跨省域调剂收入安排的支出预算（农村厕所革命整村推进财政奖补）转移支付区域绩效目标自评表</w:t>
      </w:r>
      <w:r>
        <w:rPr>
          <w:rFonts w:ascii="Times New Roman" w:hAnsi="Times New Roman" w:cs="Times New Roman"/>
          <w:b/>
          <w:color w:val="000000" w:themeColor="text1"/>
          <w:sz w:val="32"/>
          <w:szCs w:val="32"/>
          <w14:textFill>
            <w14:solidFill>
              <w14:schemeClr w14:val="tx1"/>
            </w14:solidFill>
          </w14:textFill>
        </w:rPr>
        <w:br w:type="page"/>
      </w:r>
    </w:p>
    <w:p>
      <w:pPr>
        <w:autoSpaceDE w:val="0"/>
        <w:adjustRightInd w:val="0"/>
        <w:snapToGrid w:val="0"/>
        <w:spacing w:line="560" w:lineRule="exact"/>
        <w:jc w:val="center"/>
        <w:rPr>
          <w:rFonts w:ascii="Times New Roman" w:hAnsi="Times New Roman" w:eastAsia="方正小标宋简体"/>
          <w:color w:val="000000" w:themeColor="text1"/>
          <w:sz w:val="32"/>
          <w:szCs w:val="32"/>
          <w14:textFill>
            <w14:solidFill>
              <w14:schemeClr w14:val="tx1"/>
            </w14:solidFill>
          </w14:textFill>
        </w:rPr>
      </w:pPr>
      <w:r>
        <w:rPr>
          <w:rFonts w:ascii="Times New Roman" w:hAnsi="Times New Roman" w:eastAsia="方正小标宋简体"/>
          <w:color w:val="000000" w:themeColor="text1"/>
          <w:sz w:val="32"/>
          <w:szCs w:val="32"/>
          <w14:textFill>
            <w14:solidFill>
              <w14:schemeClr w14:val="tx1"/>
            </w14:solidFill>
          </w14:textFill>
        </w:rPr>
        <w:t>中央土地指标跨省域调剂收入安排的支出预算（农村厕所革命整村推进财政奖补）转移支付区域绩效目标自评表</w:t>
      </w:r>
    </w:p>
    <w:p>
      <w:pPr>
        <w:widowControl/>
        <w:autoSpaceDE w:val="0"/>
        <w:adjustRightInd w:val="0"/>
        <w:snapToGrid w:val="0"/>
        <w:spacing w:line="400" w:lineRule="exact"/>
        <w:jc w:val="center"/>
        <w:rPr>
          <w:rFonts w:ascii="Times New Roman" w:hAnsi="Times New Roman" w:eastAsia="楷体_GB2312"/>
          <w:bCs/>
          <w:color w:val="000000" w:themeColor="text1"/>
          <w:kern w:val="0"/>
          <w:sz w:val="24"/>
          <w14:textFill>
            <w14:solidFill>
              <w14:schemeClr w14:val="tx1"/>
            </w14:solidFill>
          </w14:textFill>
        </w:rPr>
      </w:pPr>
      <w:r>
        <w:rPr>
          <w:rFonts w:ascii="Times New Roman" w:hAnsi="Times New Roman" w:eastAsia="楷体_GB2312"/>
          <w:bCs/>
          <w:color w:val="000000" w:themeColor="text1"/>
          <w:kern w:val="0"/>
          <w:sz w:val="24"/>
          <w14:textFill>
            <w14:solidFill>
              <w14:schemeClr w14:val="tx1"/>
            </w14:solidFill>
          </w14:textFill>
        </w:rPr>
        <w:t>（2024年度）</w:t>
      </w:r>
    </w:p>
    <w:tbl>
      <w:tblPr>
        <w:tblStyle w:val="23"/>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789"/>
        <w:gridCol w:w="1225"/>
        <w:gridCol w:w="1048"/>
        <w:gridCol w:w="992"/>
        <w:gridCol w:w="711"/>
        <w:gridCol w:w="82"/>
        <w:gridCol w:w="397"/>
        <w:gridCol w:w="1418"/>
        <w:gridCol w:w="26"/>
        <w:gridCol w:w="845"/>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gridSpan w:val="2"/>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hint="eastAsia" w:ascii="SimHei" w:hAnsi="SimHei" w:eastAsia="SimHei" w:cs="SimHei"/>
                <w:color w:val="000000" w:themeColor="text1"/>
                <w:kern w:val="0"/>
                <w:sz w:val="18"/>
                <w:szCs w:val="18"/>
                <w14:textFill>
                  <w14:solidFill>
                    <w14:schemeClr w14:val="tx1"/>
                  </w14:solidFill>
                </w14:textFill>
              </w:rPr>
              <w:t>转移支付（项目）名称</w:t>
            </w:r>
          </w:p>
        </w:tc>
        <w:tc>
          <w:tcPr>
            <w:tcW w:w="7919" w:type="dxa"/>
            <w:gridSpan w:val="10"/>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中央土地指标跨省域调剂收入安排的支出预算（农村厕所革命整村推进财政奖补）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gridSpan w:val="2"/>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hint="eastAsia" w:ascii="SimHei" w:hAnsi="SimHei" w:eastAsia="SimHei" w:cs="SimHei"/>
                <w:color w:val="000000" w:themeColor="text1"/>
                <w:kern w:val="0"/>
                <w:sz w:val="18"/>
                <w:szCs w:val="18"/>
                <w14:textFill>
                  <w14:solidFill>
                    <w14:schemeClr w14:val="tx1"/>
                  </w14:solidFill>
                </w14:textFill>
              </w:rPr>
              <w:t>中央主管部门</w:t>
            </w:r>
          </w:p>
        </w:tc>
        <w:tc>
          <w:tcPr>
            <w:tcW w:w="7919" w:type="dxa"/>
            <w:gridSpan w:val="10"/>
            <w:vAlign w:val="center"/>
          </w:tcPr>
          <w:p>
            <w:pPr>
              <w:widowControl/>
              <w:snapToGrid w:val="0"/>
              <w:spacing w:line="240" w:lineRule="exact"/>
              <w:jc w:val="center"/>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gridSpan w:val="2"/>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hint="eastAsia" w:ascii="SimHei" w:hAnsi="SimHei" w:eastAsia="SimHei" w:cs="SimHei"/>
                <w:color w:val="000000" w:themeColor="text1"/>
                <w:kern w:val="0"/>
                <w:sz w:val="18"/>
                <w:szCs w:val="18"/>
                <w14:textFill>
                  <w14:solidFill>
                    <w14:schemeClr w14:val="tx1"/>
                  </w14:solidFill>
                </w14:textFill>
              </w:rPr>
              <w:t>地方主管部门</w:t>
            </w:r>
          </w:p>
        </w:tc>
        <w:tc>
          <w:tcPr>
            <w:tcW w:w="3265" w:type="dxa"/>
            <w:gridSpan w:val="3"/>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自治区农业农村厅</w:t>
            </w:r>
          </w:p>
        </w:tc>
        <w:tc>
          <w:tcPr>
            <w:tcW w:w="793" w:type="dxa"/>
            <w:gridSpan w:val="2"/>
            <w:vAlign w:val="center"/>
          </w:tcPr>
          <w:p>
            <w:pPr>
              <w:widowControl/>
              <w:snapToGrid w:val="0"/>
              <w:spacing w:line="240" w:lineRule="exact"/>
              <w:jc w:val="center"/>
              <w:rPr>
                <w:rFonts w:ascii="Times New Roman" w:hAnsi="Times New Roman" w:eastAsia="仿宋_GB2312"/>
                <w:color w:val="000000" w:themeColor="text1"/>
                <w:spacing w:val="-2"/>
                <w:sz w:val="18"/>
                <w:szCs w:val="18"/>
                <w14:textFill>
                  <w14:solidFill>
                    <w14:schemeClr w14:val="tx1"/>
                  </w14:solidFill>
                </w14:textFill>
              </w:rPr>
            </w:pPr>
            <w:r>
              <w:rPr>
                <w:rFonts w:ascii="Times New Roman" w:hAnsi="Times New Roman" w:eastAsia="仿宋_GB2312"/>
                <w:color w:val="000000" w:themeColor="text1"/>
                <w:spacing w:val="-2"/>
                <w:sz w:val="18"/>
                <w:szCs w:val="18"/>
                <w14:textFill>
                  <w14:solidFill>
                    <w14:schemeClr w14:val="tx1"/>
                  </w14:solidFill>
                </w14:textFill>
              </w:rPr>
              <w:t>资金使用单位</w:t>
            </w:r>
          </w:p>
        </w:tc>
        <w:tc>
          <w:tcPr>
            <w:tcW w:w="3861" w:type="dxa"/>
            <w:gridSpan w:val="5"/>
            <w:vAlign w:val="center"/>
          </w:tcPr>
          <w:p>
            <w:pPr>
              <w:widowControl/>
              <w:snapToGrid w:val="0"/>
              <w:spacing w:line="240" w:lineRule="exact"/>
              <w:jc w:val="center"/>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13个地（州、市）54个县（市、区）农业农村局及其各乡镇人民政府等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gridSpan w:val="2"/>
            <w:vMerge w:val="restart"/>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hint="eastAsia" w:ascii="SimHei" w:hAnsi="SimHei" w:eastAsia="SimHei" w:cs="SimHei"/>
                <w:color w:val="000000" w:themeColor="text1"/>
                <w:kern w:val="0"/>
                <w:sz w:val="18"/>
                <w:szCs w:val="18"/>
                <w14:textFill>
                  <w14:solidFill>
                    <w14:schemeClr w14:val="tx1"/>
                  </w14:solidFill>
                </w14:textFill>
              </w:rPr>
              <w:t>资金投入情况</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hint="eastAsia" w:ascii="SimHei" w:hAnsi="SimHei" w:eastAsia="SimHei" w:cs="SimHei"/>
                <w:color w:val="000000" w:themeColor="text1"/>
                <w:kern w:val="0"/>
                <w:sz w:val="18"/>
                <w:szCs w:val="18"/>
                <w14:textFill>
                  <w14:solidFill>
                    <w14:schemeClr w14:val="tx1"/>
                  </w14:solidFill>
                </w14:textFill>
              </w:rPr>
              <w:t>（万元）</w:t>
            </w:r>
          </w:p>
        </w:tc>
        <w:tc>
          <w:tcPr>
            <w:tcW w:w="2273" w:type="dxa"/>
            <w:gridSpan w:val="2"/>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p>
        </w:tc>
        <w:tc>
          <w:tcPr>
            <w:tcW w:w="1703" w:type="dxa"/>
            <w:gridSpan w:val="2"/>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全年预算数（A）</w:t>
            </w:r>
          </w:p>
        </w:tc>
        <w:tc>
          <w:tcPr>
            <w:tcW w:w="1923" w:type="dxa"/>
            <w:gridSpan w:val="4"/>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全年执行数（B）</w:t>
            </w:r>
          </w:p>
        </w:tc>
        <w:tc>
          <w:tcPr>
            <w:tcW w:w="2020" w:type="dxa"/>
            <w:gridSpan w:val="2"/>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预算执行率</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（B/A×100%）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gridSpan w:val="2"/>
            <w:vMerge w:val="continue"/>
            <w:vAlign w:val="center"/>
          </w:tcPr>
          <w:p>
            <w:pPr>
              <w:spacing w:line="240" w:lineRule="exact"/>
              <w:jc w:val="center"/>
              <w:rPr>
                <w:rFonts w:hint="eastAsia" w:ascii="SimHei" w:hAnsi="SimHei" w:eastAsia="SimHei" w:cs="SimHei"/>
                <w:color w:val="000000" w:themeColor="text1"/>
                <w:sz w:val="18"/>
                <w:szCs w:val="18"/>
                <w14:textFill>
                  <w14:solidFill>
                    <w14:schemeClr w14:val="tx1"/>
                  </w14:solidFill>
                </w14:textFill>
              </w:rPr>
            </w:pPr>
          </w:p>
        </w:tc>
        <w:tc>
          <w:tcPr>
            <w:tcW w:w="2273" w:type="dxa"/>
            <w:gridSpan w:val="2"/>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年度资金总额：</w:t>
            </w:r>
          </w:p>
        </w:tc>
        <w:tc>
          <w:tcPr>
            <w:tcW w:w="1703" w:type="dxa"/>
            <w:gridSpan w:val="2"/>
            <w:vAlign w:val="center"/>
          </w:tcPr>
          <w:p>
            <w:pPr>
              <w:widowControl/>
              <w:spacing w:line="240" w:lineRule="exact"/>
              <w:jc w:val="center"/>
              <w:textAlignment w:val="center"/>
              <w:rPr>
                <w:rFonts w:ascii="Times New Roman" w:hAnsi="Times New Roman" w:eastAsia="仿宋_GB2312"/>
                <w:color w:val="000000" w:themeColor="text1"/>
                <w:kern w:val="0"/>
                <w:sz w:val="20"/>
                <w:szCs w:val="20"/>
                <w:lang w:val="en"/>
                <w14:textFill>
                  <w14:solidFill>
                    <w14:schemeClr w14:val="tx1"/>
                  </w14:solidFill>
                </w14:textFill>
              </w:rPr>
            </w:pPr>
            <w:r>
              <w:rPr>
                <w:rFonts w:ascii="Times New Roman" w:hAnsi="Times New Roman" w:eastAsia="仿宋_GB2312"/>
                <w:color w:val="000000" w:themeColor="text1"/>
                <w:kern w:val="0"/>
                <w:sz w:val="20"/>
                <w:szCs w:val="20"/>
                <w14:textFill>
                  <w14:solidFill>
                    <w14:schemeClr w14:val="tx1"/>
                  </w14:solidFill>
                </w14:textFill>
              </w:rPr>
              <w:t>5</w:t>
            </w:r>
            <w:r>
              <w:rPr>
                <w:rFonts w:ascii="Times New Roman" w:hAnsi="Times New Roman" w:eastAsia="仿宋_GB2312"/>
                <w:color w:val="000000" w:themeColor="text1"/>
                <w:kern w:val="0"/>
                <w:sz w:val="20"/>
                <w:szCs w:val="20"/>
                <w:lang w:val="en"/>
                <w14:textFill>
                  <w14:solidFill>
                    <w14:schemeClr w14:val="tx1"/>
                  </w14:solidFill>
                </w14:textFill>
              </w:rPr>
              <w:t>7285.04</w:t>
            </w:r>
          </w:p>
        </w:tc>
        <w:tc>
          <w:tcPr>
            <w:tcW w:w="1923" w:type="dxa"/>
            <w:gridSpan w:val="4"/>
            <w:vAlign w:val="center"/>
          </w:tcPr>
          <w:p>
            <w:pPr>
              <w:spacing w:line="240" w:lineRule="exact"/>
              <w:jc w:val="center"/>
              <w:rPr>
                <w:rFonts w:ascii="Times New Roman" w:hAnsi="Times New Roman" w:eastAsia="仿宋_GB2312"/>
                <w:color w:val="000000" w:themeColor="text1"/>
                <w:sz w:val="20"/>
                <w:szCs w:val="20"/>
                <w:lang w:val="en"/>
                <w14:textFill>
                  <w14:solidFill>
                    <w14:schemeClr w14:val="tx1"/>
                  </w14:solidFill>
                </w14:textFill>
              </w:rPr>
            </w:pPr>
            <w:r>
              <w:rPr>
                <w:rFonts w:ascii="Times New Roman" w:hAnsi="Times New Roman" w:eastAsia="仿宋_GB2312"/>
                <w:color w:val="000000" w:themeColor="text1"/>
                <w:sz w:val="20"/>
                <w:szCs w:val="20"/>
                <w14:textFill>
                  <w14:solidFill>
                    <w14:schemeClr w14:val="tx1"/>
                  </w14:solidFill>
                </w14:textFill>
              </w:rPr>
              <w:t>444</w:t>
            </w:r>
            <w:r>
              <w:rPr>
                <w:rFonts w:ascii="Times New Roman" w:hAnsi="Times New Roman" w:eastAsia="仿宋_GB2312"/>
                <w:color w:val="000000" w:themeColor="text1"/>
                <w:sz w:val="20"/>
                <w:szCs w:val="20"/>
                <w:lang w:val="en"/>
                <w14:textFill>
                  <w14:solidFill>
                    <w14:schemeClr w14:val="tx1"/>
                  </w14:solidFill>
                </w14:textFill>
              </w:rPr>
              <w:t>62</w:t>
            </w:r>
            <w:r>
              <w:rPr>
                <w:rFonts w:ascii="Times New Roman" w:hAnsi="Times New Roman" w:eastAsia="仿宋_GB2312"/>
                <w:color w:val="000000" w:themeColor="text1"/>
                <w:sz w:val="20"/>
                <w:szCs w:val="20"/>
                <w14:textFill>
                  <w14:solidFill>
                    <w14:schemeClr w14:val="tx1"/>
                  </w14:solidFill>
                </w14:textFill>
              </w:rPr>
              <w:t>.</w:t>
            </w:r>
            <w:r>
              <w:rPr>
                <w:rFonts w:ascii="Times New Roman" w:hAnsi="Times New Roman" w:eastAsia="仿宋_GB2312"/>
                <w:color w:val="000000" w:themeColor="text1"/>
                <w:sz w:val="20"/>
                <w:szCs w:val="20"/>
                <w:lang w:val="en"/>
                <w14:textFill>
                  <w14:solidFill>
                    <w14:schemeClr w14:val="tx1"/>
                  </w14:solidFill>
                </w14:textFill>
              </w:rPr>
              <w:t>22</w:t>
            </w:r>
          </w:p>
        </w:tc>
        <w:tc>
          <w:tcPr>
            <w:tcW w:w="2020" w:type="dxa"/>
            <w:gridSpan w:val="2"/>
            <w:vAlign w:val="center"/>
          </w:tcPr>
          <w:p>
            <w:pPr>
              <w:spacing w:line="240" w:lineRule="exact"/>
              <w:jc w:val="center"/>
              <w:rPr>
                <w:rFonts w:ascii="Times New Roman" w:hAnsi="Times New Roman" w:eastAsia="仿宋_GB2312"/>
                <w:color w:val="000000" w:themeColor="text1"/>
                <w:sz w:val="20"/>
                <w:szCs w:val="20"/>
                <w14:textFill>
                  <w14:solidFill>
                    <w14:schemeClr w14:val="tx1"/>
                  </w14:solidFill>
                </w14:textFill>
              </w:rPr>
            </w:pPr>
            <w:r>
              <w:rPr>
                <w:rFonts w:ascii="Times New Roman" w:hAnsi="Times New Roman" w:eastAsia="仿宋_GB2312"/>
                <w:color w:val="000000" w:themeColor="text1"/>
                <w:sz w:val="20"/>
                <w:szCs w:val="20"/>
                <w14:textFill>
                  <w14:solidFill>
                    <w14:schemeClr w14:val="tx1"/>
                  </w14:solidFill>
                </w14:textFill>
              </w:rPr>
              <w:t>77.6</w:t>
            </w:r>
            <w:r>
              <w:rPr>
                <w:rFonts w:ascii="Times New Roman" w:hAnsi="Times New Roman" w:eastAsia="仿宋_GB2312"/>
                <w:color w:val="000000" w:themeColor="text1"/>
                <w:sz w:val="20"/>
                <w:szCs w:val="20"/>
                <w:lang w:val="en"/>
                <w14:textFill>
                  <w14:solidFill>
                    <w14:schemeClr w14:val="tx1"/>
                  </w14:solidFill>
                </w14:textFill>
              </w:rPr>
              <w:t>2</w:t>
            </w:r>
            <w:r>
              <w:rPr>
                <w:rFonts w:ascii="Times New Roman" w:hAnsi="Times New Roman" w:eastAsia="仿宋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gridSpan w:val="2"/>
            <w:vMerge w:val="continue"/>
            <w:vAlign w:val="center"/>
          </w:tcPr>
          <w:p>
            <w:pPr>
              <w:spacing w:line="240" w:lineRule="exact"/>
              <w:jc w:val="center"/>
              <w:rPr>
                <w:rFonts w:hint="eastAsia" w:ascii="SimHei" w:hAnsi="SimHei" w:eastAsia="SimHei" w:cs="SimHei"/>
                <w:color w:val="000000" w:themeColor="text1"/>
                <w:sz w:val="18"/>
                <w:szCs w:val="18"/>
                <w14:textFill>
                  <w14:solidFill>
                    <w14:schemeClr w14:val="tx1"/>
                  </w14:solidFill>
                </w14:textFill>
              </w:rPr>
            </w:pPr>
          </w:p>
        </w:tc>
        <w:tc>
          <w:tcPr>
            <w:tcW w:w="2273" w:type="dxa"/>
            <w:gridSpan w:val="2"/>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spacing w:val="-1"/>
                <w:sz w:val="18"/>
                <w:szCs w:val="18"/>
                <w14:textFill>
                  <w14:solidFill>
                    <w14:schemeClr w14:val="tx1"/>
                  </w14:solidFill>
                </w14:textFill>
              </w:rPr>
              <w:t>其中：中央财政资金</w:t>
            </w:r>
          </w:p>
        </w:tc>
        <w:tc>
          <w:tcPr>
            <w:tcW w:w="1703" w:type="dxa"/>
            <w:gridSpan w:val="2"/>
            <w:vAlign w:val="center"/>
          </w:tcPr>
          <w:p>
            <w:pPr>
              <w:widowControl/>
              <w:spacing w:line="240" w:lineRule="exact"/>
              <w:jc w:val="center"/>
              <w:textAlignment w:val="center"/>
              <w:rPr>
                <w:rFonts w:ascii="Times New Roman" w:hAnsi="Times New Roman" w:eastAsia="仿宋_GB2312"/>
                <w:color w:val="000000" w:themeColor="text1"/>
                <w:kern w:val="0"/>
                <w:sz w:val="20"/>
                <w:szCs w:val="20"/>
                <w14:textFill>
                  <w14:solidFill>
                    <w14:schemeClr w14:val="tx1"/>
                  </w14:solidFill>
                </w14:textFill>
              </w:rPr>
            </w:pPr>
            <w:r>
              <w:rPr>
                <w:rFonts w:ascii="Times New Roman" w:hAnsi="Times New Roman" w:eastAsia="仿宋_GB2312"/>
                <w:color w:val="000000" w:themeColor="text1"/>
                <w:kern w:val="0"/>
                <w:sz w:val="20"/>
                <w:szCs w:val="20"/>
                <w14:textFill>
                  <w14:solidFill>
                    <w14:schemeClr w14:val="tx1"/>
                  </w14:solidFill>
                </w14:textFill>
              </w:rPr>
              <w:t>56311</w:t>
            </w:r>
          </w:p>
        </w:tc>
        <w:tc>
          <w:tcPr>
            <w:tcW w:w="1923" w:type="dxa"/>
            <w:gridSpan w:val="4"/>
            <w:vAlign w:val="center"/>
          </w:tcPr>
          <w:p>
            <w:pPr>
              <w:spacing w:line="240" w:lineRule="exact"/>
              <w:jc w:val="center"/>
              <w:rPr>
                <w:rFonts w:ascii="Times New Roman" w:hAnsi="Times New Roman" w:eastAsia="仿宋_GB2312"/>
                <w:color w:val="000000" w:themeColor="text1"/>
                <w:sz w:val="20"/>
                <w:szCs w:val="20"/>
                <w14:textFill>
                  <w14:solidFill>
                    <w14:schemeClr w14:val="tx1"/>
                  </w14:solidFill>
                </w14:textFill>
              </w:rPr>
            </w:pPr>
            <w:r>
              <w:rPr>
                <w:rFonts w:ascii="Times New Roman" w:hAnsi="Times New Roman" w:eastAsia="仿宋_GB2312"/>
                <w:color w:val="000000" w:themeColor="text1"/>
                <w:sz w:val="20"/>
                <w:szCs w:val="20"/>
                <w14:textFill>
                  <w14:solidFill>
                    <w14:schemeClr w14:val="tx1"/>
                  </w14:solidFill>
                </w14:textFill>
              </w:rPr>
              <w:t>43498.93</w:t>
            </w:r>
          </w:p>
        </w:tc>
        <w:tc>
          <w:tcPr>
            <w:tcW w:w="2020" w:type="dxa"/>
            <w:gridSpan w:val="2"/>
            <w:vAlign w:val="center"/>
          </w:tcPr>
          <w:p>
            <w:pPr>
              <w:spacing w:line="240" w:lineRule="exact"/>
              <w:jc w:val="center"/>
              <w:rPr>
                <w:rFonts w:ascii="Times New Roman" w:hAnsi="Times New Roman" w:eastAsia="仿宋_GB2312"/>
                <w:color w:val="000000" w:themeColor="text1"/>
                <w:sz w:val="20"/>
                <w:szCs w:val="20"/>
                <w14:textFill>
                  <w14:solidFill>
                    <w14:schemeClr w14:val="tx1"/>
                  </w14:solidFill>
                </w14:textFill>
              </w:rPr>
            </w:pPr>
            <w:r>
              <w:rPr>
                <w:rFonts w:ascii="Times New Roman" w:hAnsi="Times New Roman" w:eastAsia="仿宋_GB2312"/>
                <w:color w:val="000000" w:themeColor="text1"/>
                <w:sz w:val="20"/>
                <w:szCs w:val="20"/>
                <w14:textFill>
                  <w14:solidFill>
                    <w14:schemeClr w14:val="tx1"/>
                  </w14:solidFill>
                </w14:textFill>
              </w:rPr>
              <w:t>77.25%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gridSpan w:val="2"/>
            <w:vMerge w:val="continue"/>
            <w:vAlign w:val="center"/>
          </w:tcPr>
          <w:p>
            <w:pPr>
              <w:spacing w:line="240" w:lineRule="exact"/>
              <w:jc w:val="center"/>
              <w:rPr>
                <w:rFonts w:hint="eastAsia" w:ascii="SimHei" w:hAnsi="SimHei" w:eastAsia="SimHei" w:cs="SimHei"/>
                <w:color w:val="000000" w:themeColor="text1"/>
                <w:sz w:val="18"/>
                <w:szCs w:val="18"/>
                <w14:textFill>
                  <w14:solidFill>
                    <w14:schemeClr w14:val="tx1"/>
                  </w14:solidFill>
                </w14:textFill>
              </w:rPr>
            </w:pPr>
          </w:p>
        </w:tc>
        <w:tc>
          <w:tcPr>
            <w:tcW w:w="2273" w:type="dxa"/>
            <w:gridSpan w:val="2"/>
            <w:vAlign w:val="center"/>
          </w:tcPr>
          <w:p>
            <w:pPr>
              <w:widowControl/>
              <w:snapToGrid w:val="0"/>
              <w:spacing w:line="240" w:lineRule="exact"/>
              <w:jc w:val="left"/>
              <w:rPr>
                <w:rFonts w:ascii="Times New Roman" w:hAnsi="Times New Roman" w:eastAsia="仿宋_GB2312"/>
                <w:snapToGrid w:val="0"/>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*地方资金（仅支持改厕）</w:t>
            </w:r>
          </w:p>
        </w:tc>
        <w:tc>
          <w:tcPr>
            <w:tcW w:w="1703" w:type="dxa"/>
            <w:gridSpan w:val="2"/>
            <w:vAlign w:val="center"/>
          </w:tcPr>
          <w:p>
            <w:pPr>
              <w:widowControl/>
              <w:snapToGrid w:val="0"/>
              <w:spacing w:line="240" w:lineRule="exact"/>
              <w:jc w:val="center"/>
              <w:rPr>
                <w:rFonts w:ascii="Times New Roman" w:hAnsi="Times New Roman" w:eastAsia="仿宋_GB2312"/>
                <w:snapToGrid w:val="0"/>
                <w:color w:val="000000" w:themeColor="text1"/>
                <w:kern w:val="0"/>
                <w:sz w:val="20"/>
                <w:szCs w:val="20"/>
                <w:lang w:val="en"/>
                <w14:textFill>
                  <w14:solidFill>
                    <w14:schemeClr w14:val="tx1"/>
                  </w14:solidFill>
                </w14:textFill>
              </w:rPr>
            </w:pPr>
            <w:r>
              <w:rPr>
                <w:rFonts w:ascii="Times New Roman" w:hAnsi="Times New Roman" w:eastAsia="仿宋_GB2312"/>
                <w:snapToGrid w:val="0"/>
                <w:color w:val="000000" w:themeColor="text1"/>
                <w:kern w:val="0"/>
                <w:sz w:val="20"/>
                <w:szCs w:val="20"/>
                <w:lang w:val="en"/>
                <w14:textFill>
                  <w14:solidFill>
                    <w14:schemeClr w14:val="tx1"/>
                  </w14:solidFill>
                </w14:textFill>
              </w:rPr>
              <w:t>70</w:t>
            </w:r>
            <w:r>
              <w:rPr>
                <w:rFonts w:ascii="Times New Roman" w:hAnsi="Times New Roman" w:eastAsia="仿宋_GB2312"/>
                <w:snapToGrid w:val="0"/>
                <w:color w:val="000000" w:themeColor="text1"/>
                <w:kern w:val="0"/>
                <w:sz w:val="20"/>
                <w:szCs w:val="20"/>
                <w14:textFill>
                  <w14:solidFill>
                    <w14:schemeClr w14:val="tx1"/>
                  </w14:solidFill>
                </w14:textFill>
              </w:rPr>
              <w:t>.</w:t>
            </w:r>
            <w:r>
              <w:rPr>
                <w:rFonts w:ascii="Times New Roman" w:hAnsi="Times New Roman" w:eastAsia="仿宋_GB2312"/>
                <w:snapToGrid w:val="0"/>
                <w:color w:val="000000" w:themeColor="text1"/>
                <w:kern w:val="0"/>
                <w:sz w:val="20"/>
                <w:szCs w:val="20"/>
                <w:lang w:val="en"/>
                <w14:textFill>
                  <w14:solidFill>
                    <w14:schemeClr w14:val="tx1"/>
                  </w14:solidFill>
                </w14:textFill>
              </w:rPr>
              <w:t>81</w:t>
            </w:r>
          </w:p>
        </w:tc>
        <w:tc>
          <w:tcPr>
            <w:tcW w:w="1923" w:type="dxa"/>
            <w:gridSpan w:val="4"/>
            <w:vAlign w:val="center"/>
          </w:tcPr>
          <w:p>
            <w:pPr>
              <w:spacing w:line="240" w:lineRule="exact"/>
              <w:jc w:val="center"/>
              <w:rPr>
                <w:rFonts w:ascii="Times New Roman" w:hAnsi="Times New Roman" w:eastAsia="仿宋_GB2312"/>
                <w:color w:val="000000" w:themeColor="text1"/>
                <w:kern w:val="0"/>
                <w:sz w:val="20"/>
                <w:szCs w:val="20"/>
                <w14:textFill>
                  <w14:solidFill>
                    <w14:schemeClr w14:val="tx1"/>
                  </w14:solidFill>
                </w14:textFill>
              </w:rPr>
            </w:pPr>
            <w:r>
              <w:rPr>
                <w:rFonts w:ascii="Times New Roman" w:hAnsi="Times New Roman" w:eastAsia="仿宋_GB2312"/>
                <w:snapToGrid w:val="0"/>
                <w:color w:val="000000" w:themeColor="text1"/>
                <w:kern w:val="0"/>
                <w:sz w:val="20"/>
                <w:szCs w:val="20"/>
                <w:lang w:val="en"/>
                <w14:textFill>
                  <w14:solidFill>
                    <w14:schemeClr w14:val="tx1"/>
                  </w14:solidFill>
                </w14:textFill>
              </w:rPr>
              <w:t>70</w:t>
            </w:r>
            <w:r>
              <w:rPr>
                <w:rFonts w:ascii="Times New Roman" w:hAnsi="Times New Roman" w:eastAsia="仿宋_GB2312"/>
                <w:snapToGrid w:val="0"/>
                <w:color w:val="000000" w:themeColor="text1"/>
                <w:kern w:val="0"/>
                <w:sz w:val="20"/>
                <w:szCs w:val="20"/>
                <w14:textFill>
                  <w14:solidFill>
                    <w14:schemeClr w14:val="tx1"/>
                  </w14:solidFill>
                </w14:textFill>
              </w:rPr>
              <w:t>.</w:t>
            </w:r>
            <w:r>
              <w:rPr>
                <w:rFonts w:ascii="Times New Roman" w:hAnsi="Times New Roman" w:eastAsia="仿宋_GB2312"/>
                <w:snapToGrid w:val="0"/>
                <w:color w:val="000000" w:themeColor="text1"/>
                <w:kern w:val="0"/>
                <w:sz w:val="20"/>
                <w:szCs w:val="20"/>
                <w:lang w:val="en"/>
                <w14:textFill>
                  <w14:solidFill>
                    <w14:schemeClr w14:val="tx1"/>
                  </w14:solidFill>
                </w14:textFill>
              </w:rPr>
              <w:t>81</w:t>
            </w:r>
          </w:p>
        </w:tc>
        <w:tc>
          <w:tcPr>
            <w:tcW w:w="2020" w:type="dxa"/>
            <w:gridSpan w:val="2"/>
            <w:vAlign w:val="center"/>
          </w:tcPr>
          <w:p>
            <w:pPr>
              <w:spacing w:line="240" w:lineRule="exact"/>
              <w:jc w:val="center"/>
              <w:rPr>
                <w:rFonts w:ascii="Times New Roman" w:hAnsi="Times New Roman" w:eastAsia="仿宋_GB2312"/>
                <w:color w:val="000000" w:themeColor="text1"/>
                <w:kern w:val="0"/>
                <w:sz w:val="20"/>
                <w:szCs w:val="20"/>
                <w14:textFill>
                  <w14:solidFill>
                    <w14:schemeClr w14:val="tx1"/>
                  </w14:solidFill>
                </w14:textFill>
              </w:rPr>
            </w:pPr>
            <w:r>
              <w:rPr>
                <w:rFonts w:ascii="Times New Roman" w:hAnsi="Times New Roman" w:eastAsia="仿宋_GB2312"/>
                <w:color w:val="000000" w:themeColor="text1"/>
                <w:kern w:val="0"/>
                <w:sz w:val="20"/>
                <w:szCs w:val="20"/>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gridSpan w:val="2"/>
            <w:vMerge w:val="continue"/>
            <w:vAlign w:val="center"/>
          </w:tcPr>
          <w:p>
            <w:pPr>
              <w:spacing w:line="240" w:lineRule="exact"/>
              <w:jc w:val="center"/>
              <w:rPr>
                <w:rFonts w:hint="eastAsia" w:ascii="SimHei" w:hAnsi="SimHei" w:eastAsia="SimHei" w:cs="SimHei"/>
                <w:color w:val="000000" w:themeColor="text1"/>
                <w:sz w:val="18"/>
                <w:szCs w:val="18"/>
                <w14:textFill>
                  <w14:solidFill>
                    <w14:schemeClr w14:val="tx1"/>
                  </w14:solidFill>
                </w14:textFill>
              </w:rPr>
            </w:pPr>
          </w:p>
        </w:tc>
        <w:tc>
          <w:tcPr>
            <w:tcW w:w="2273" w:type="dxa"/>
            <w:gridSpan w:val="2"/>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*其他资金（仅支持改厕）</w:t>
            </w:r>
          </w:p>
        </w:tc>
        <w:tc>
          <w:tcPr>
            <w:tcW w:w="1703" w:type="dxa"/>
            <w:gridSpan w:val="2"/>
            <w:vAlign w:val="center"/>
          </w:tcPr>
          <w:p>
            <w:pPr>
              <w:widowControl/>
              <w:snapToGrid w:val="0"/>
              <w:spacing w:line="240" w:lineRule="exact"/>
              <w:jc w:val="center"/>
              <w:rPr>
                <w:rFonts w:ascii="Times New Roman" w:hAnsi="Times New Roman" w:eastAsia="仿宋_GB2312"/>
                <w:color w:val="000000" w:themeColor="text1"/>
                <w:kern w:val="0"/>
                <w:sz w:val="20"/>
                <w:szCs w:val="20"/>
                <w14:textFill>
                  <w14:solidFill>
                    <w14:schemeClr w14:val="tx1"/>
                  </w14:solidFill>
                </w14:textFill>
              </w:rPr>
            </w:pPr>
            <w:r>
              <w:rPr>
                <w:rFonts w:ascii="Times New Roman" w:hAnsi="Times New Roman" w:eastAsia="仿宋_GB2312"/>
                <w:color w:val="000000" w:themeColor="text1"/>
                <w:kern w:val="0"/>
                <w:sz w:val="20"/>
                <w:szCs w:val="20"/>
                <w14:textFill>
                  <w14:solidFill>
                    <w14:schemeClr w14:val="tx1"/>
                  </w14:solidFill>
                </w14:textFill>
              </w:rPr>
              <w:t>903.23</w:t>
            </w:r>
          </w:p>
        </w:tc>
        <w:tc>
          <w:tcPr>
            <w:tcW w:w="1923" w:type="dxa"/>
            <w:gridSpan w:val="4"/>
            <w:vAlign w:val="center"/>
          </w:tcPr>
          <w:p>
            <w:pPr>
              <w:spacing w:line="240" w:lineRule="exact"/>
              <w:jc w:val="center"/>
              <w:rPr>
                <w:rFonts w:ascii="Times New Roman" w:hAnsi="Times New Roman" w:eastAsia="仿宋_GB2312"/>
                <w:color w:val="000000" w:themeColor="text1"/>
                <w:kern w:val="0"/>
                <w:sz w:val="20"/>
                <w:szCs w:val="20"/>
                <w14:textFill>
                  <w14:solidFill>
                    <w14:schemeClr w14:val="tx1"/>
                  </w14:solidFill>
                </w14:textFill>
              </w:rPr>
            </w:pPr>
            <w:r>
              <w:rPr>
                <w:rFonts w:ascii="Times New Roman" w:hAnsi="Times New Roman" w:eastAsia="仿宋_GB2312"/>
                <w:color w:val="000000" w:themeColor="text1"/>
                <w:kern w:val="0"/>
                <w:sz w:val="20"/>
                <w:szCs w:val="20"/>
                <w14:textFill>
                  <w14:solidFill>
                    <w14:schemeClr w14:val="tx1"/>
                  </w14:solidFill>
                </w14:textFill>
              </w:rPr>
              <w:t>892.48</w:t>
            </w:r>
          </w:p>
        </w:tc>
        <w:tc>
          <w:tcPr>
            <w:tcW w:w="2020" w:type="dxa"/>
            <w:gridSpan w:val="2"/>
            <w:vAlign w:val="center"/>
          </w:tcPr>
          <w:p>
            <w:pPr>
              <w:spacing w:line="240" w:lineRule="exact"/>
              <w:jc w:val="center"/>
              <w:rPr>
                <w:rFonts w:ascii="Times New Roman" w:hAnsi="Times New Roman" w:eastAsia="仿宋_GB2312"/>
                <w:color w:val="000000" w:themeColor="text1"/>
                <w:kern w:val="0"/>
                <w:sz w:val="20"/>
                <w:szCs w:val="20"/>
                <w14:textFill>
                  <w14:solidFill>
                    <w14:schemeClr w14:val="tx1"/>
                  </w14:solidFill>
                </w14:textFill>
              </w:rPr>
            </w:pPr>
            <w:r>
              <w:rPr>
                <w:rFonts w:ascii="Times New Roman" w:hAnsi="Times New Roman" w:eastAsia="仿宋_GB2312"/>
                <w:color w:val="000000" w:themeColor="text1"/>
                <w:kern w:val="0"/>
                <w:sz w:val="20"/>
                <w:szCs w:val="20"/>
                <w14:textFill>
                  <w14:solidFill>
                    <w14:schemeClr w14:val="tx1"/>
                  </w14:solidFill>
                </w14:textFill>
              </w:rPr>
              <w:t>98.81%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560" w:type="dxa"/>
            <w:gridSpan w:val="2"/>
            <w:vMerge w:val="restart"/>
            <w:vAlign w:val="center"/>
          </w:tcPr>
          <w:p>
            <w:pPr>
              <w:snapToGrid w:val="0"/>
              <w:spacing w:line="240" w:lineRule="exact"/>
              <w:jc w:val="center"/>
              <w:rPr>
                <w:rFonts w:hint="eastAsia" w:ascii="SimHei" w:hAnsi="SimHei" w:eastAsia="SimHei" w:cs="SimHei"/>
                <w:color w:val="000000" w:themeColor="text1"/>
                <w:spacing w:val="2"/>
                <w:sz w:val="18"/>
                <w:szCs w:val="18"/>
                <w14:textFill>
                  <w14:solidFill>
                    <w14:schemeClr w14:val="tx1"/>
                  </w14:solidFill>
                </w14:textFill>
              </w:rPr>
            </w:pPr>
            <w:r>
              <w:rPr>
                <w:rFonts w:hint="eastAsia" w:ascii="SimHei" w:hAnsi="SimHei" w:eastAsia="SimHei" w:cs="SimHei"/>
                <w:color w:val="000000" w:themeColor="text1"/>
                <w:spacing w:val="-2"/>
                <w:sz w:val="18"/>
                <w:szCs w:val="18"/>
                <w14:textFill>
                  <w14:solidFill>
                    <w14:schemeClr w14:val="tx1"/>
                  </w14:solidFill>
                </w14:textFill>
              </w:rPr>
              <w:t>资金管理情况</w:t>
            </w:r>
          </w:p>
        </w:tc>
        <w:tc>
          <w:tcPr>
            <w:tcW w:w="1225" w:type="dxa"/>
            <w:vAlign w:val="center"/>
          </w:tcPr>
          <w:p>
            <w:pPr>
              <w:snapToGrid w:val="0"/>
              <w:spacing w:line="240" w:lineRule="exact"/>
              <w:rPr>
                <w:rFonts w:ascii="Times New Roman" w:hAnsi="Times New Roman" w:eastAsia="仿宋_GB2312"/>
                <w:color w:val="000000" w:themeColor="text1"/>
                <w:spacing w:val="-2"/>
                <w:sz w:val="18"/>
                <w:szCs w:val="18"/>
                <w14:textFill>
                  <w14:solidFill>
                    <w14:schemeClr w14:val="tx1"/>
                  </w14:solidFill>
                </w14:textFill>
              </w:rPr>
            </w:pPr>
          </w:p>
        </w:tc>
        <w:tc>
          <w:tcPr>
            <w:tcW w:w="5519" w:type="dxa"/>
            <w:gridSpan w:val="8"/>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情况说明</w:t>
            </w:r>
          </w:p>
        </w:tc>
        <w:tc>
          <w:tcPr>
            <w:tcW w:w="1175"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存在问题和改进措施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560" w:type="dxa"/>
            <w:gridSpan w:val="2"/>
            <w:vMerge w:val="continue"/>
            <w:vAlign w:val="center"/>
          </w:tcPr>
          <w:p>
            <w:pPr>
              <w:spacing w:line="240" w:lineRule="exact"/>
              <w:rPr>
                <w:rFonts w:hint="eastAsia" w:ascii="SimHei" w:hAnsi="SimHei" w:eastAsia="SimHei" w:cs="SimHei"/>
                <w:color w:val="000000" w:themeColor="text1"/>
                <w:sz w:val="18"/>
                <w:szCs w:val="18"/>
                <w14:textFill>
                  <w14:solidFill>
                    <w14:schemeClr w14:val="tx1"/>
                  </w14:solidFill>
                </w14:textFill>
              </w:rPr>
            </w:pPr>
          </w:p>
        </w:tc>
        <w:tc>
          <w:tcPr>
            <w:tcW w:w="1225" w:type="dxa"/>
            <w:vAlign w:val="center"/>
          </w:tcPr>
          <w:p>
            <w:pPr>
              <w:snapToGrid w:val="0"/>
              <w:spacing w:line="240" w:lineRule="exact"/>
              <w:rPr>
                <w:rFonts w:ascii="Times New Roman" w:hAnsi="Times New Roman" w:eastAsia="仿宋_GB2312"/>
                <w:color w:val="000000" w:themeColor="text1"/>
                <w:spacing w:val="-2"/>
                <w:sz w:val="18"/>
                <w:szCs w:val="18"/>
                <w14:textFill>
                  <w14:solidFill>
                    <w14:schemeClr w14:val="tx1"/>
                  </w14:solidFill>
                </w14:textFill>
              </w:rPr>
            </w:pPr>
            <w:r>
              <w:rPr>
                <w:rFonts w:ascii="Times New Roman" w:hAnsi="Times New Roman" w:eastAsia="仿宋_GB2312"/>
                <w:color w:val="000000" w:themeColor="text1"/>
                <w:spacing w:val="-2"/>
                <w:sz w:val="18"/>
                <w:szCs w:val="18"/>
                <w14:textFill>
                  <w14:solidFill>
                    <w14:schemeClr w14:val="tx1"/>
                  </w14:solidFill>
                </w14:textFill>
              </w:rPr>
              <w:t>分配科学性</w:t>
            </w:r>
          </w:p>
        </w:tc>
        <w:tc>
          <w:tcPr>
            <w:tcW w:w="5519" w:type="dxa"/>
            <w:gridSpan w:val="8"/>
            <w:vAlign w:val="center"/>
          </w:tcPr>
          <w:p>
            <w:pPr>
              <w:widowControl/>
              <w:spacing w:line="240" w:lineRule="exact"/>
              <w:textAlignment w:val="center"/>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坚持因素分配法，采取新疆乡村振兴示范村建设需求因素，原则上每村不高于800万元的财政补助标准，统一测算分配扶持项目村名额及资金，做到项目资金分配科学、合理。</w:t>
            </w:r>
          </w:p>
        </w:tc>
        <w:tc>
          <w:tcPr>
            <w:tcW w:w="1175" w:type="dxa"/>
            <w:vAlign w:val="center"/>
          </w:tcPr>
          <w:p>
            <w:pPr>
              <w:widowControl/>
              <w:kinsoku w:val="0"/>
              <w:autoSpaceDE w:val="0"/>
              <w:autoSpaceDN w:val="0"/>
              <w:adjustRightInd w:val="0"/>
              <w:snapToGrid w:val="0"/>
              <w:spacing w:line="240" w:lineRule="exact"/>
              <w:jc w:val="center"/>
              <w:textAlignment w:val="baseline"/>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560" w:type="dxa"/>
            <w:gridSpan w:val="2"/>
            <w:vMerge w:val="continue"/>
            <w:vAlign w:val="center"/>
          </w:tcPr>
          <w:p>
            <w:pPr>
              <w:spacing w:line="240" w:lineRule="exact"/>
              <w:rPr>
                <w:rFonts w:hint="eastAsia" w:ascii="SimHei" w:hAnsi="SimHei" w:eastAsia="SimHei" w:cs="SimHei"/>
                <w:color w:val="000000" w:themeColor="text1"/>
                <w:sz w:val="18"/>
                <w:szCs w:val="18"/>
                <w14:textFill>
                  <w14:solidFill>
                    <w14:schemeClr w14:val="tx1"/>
                  </w14:solidFill>
                </w14:textFill>
              </w:rPr>
            </w:pPr>
          </w:p>
        </w:tc>
        <w:tc>
          <w:tcPr>
            <w:tcW w:w="1225" w:type="dxa"/>
            <w:vAlign w:val="center"/>
          </w:tcPr>
          <w:p>
            <w:pPr>
              <w:snapToGrid w:val="0"/>
              <w:spacing w:line="240" w:lineRule="exact"/>
              <w:rPr>
                <w:rFonts w:ascii="Times New Roman" w:hAnsi="Times New Roman" w:eastAsia="仿宋_GB2312"/>
                <w:color w:val="000000" w:themeColor="text1"/>
                <w:spacing w:val="-2"/>
                <w:sz w:val="18"/>
                <w:szCs w:val="18"/>
                <w14:textFill>
                  <w14:solidFill>
                    <w14:schemeClr w14:val="tx1"/>
                  </w14:solidFill>
                </w14:textFill>
              </w:rPr>
            </w:pPr>
            <w:r>
              <w:rPr>
                <w:rFonts w:ascii="Times New Roman" w:hAnsi="Times New Roman" w:eastAsia="仿宋_GB2312"/>
                <w:color w:val="000000" w:themeColor="text1"/>
                <w:spacing w:val="-2"/>
                <w:sz w:val="18"/>
                <w:szCs w:val="18"/>
                <w14:textFill>
                  <w14:solidFill>
                    <w14:schemeClr w14:val="tx1"/>
                  </w14:solidFill>
                </w14:textFill>
              </w:rPr>
              <w:t>下达及时性</w:t>
            </w:r>
          </w:p>
        </w:tc>
        <w:tc>
          <w:tcPr>
            <w:tcW w:w="5519" w:type="dxa"/>
            <w:gridSpan w:val="8"/>
            <w:vAlign w:val="center"/>
          </w:tcPr>
          <w:p>
            <w:pPr>
              <w:widowControl/>
              <w:spacing w:line="240" w:lineRule="exact"/>
              <w:textAlignment w:val="center"/>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坚决落实2024年度《财政部关于下达2024年土地指标跨省域调剂收入安排的支持预算的通知》（财农〔2024〕9号）有关预算下达规定时限，做到预告资金30日内及时下达。</w:t>
            </w:r>
          </w:p>
        </w:tc>
        <w:tc>
          <w:tcPr>
            <w:tcW w:w="1175" w:type="dxa"/>
            <w:vAlign w:val="center"/>
          </w:tcPr>
          <w:p>
            <w:pPr>
              <w:widowControl/>
              <w:kinsoku w:val="0"/>
              <w:autoSpaceDE w:val="0"/>
              <w:autoSpaceDN w:val="0"/>
              <w:adjustRightInd w:val="0"/>
              <w:snapToGrid w:val="0"/>
              <w:spacing w:line="240" w:lineRule="exact"/>
              <w:jc w:val="center"/>
              <w:textAlignment w:val="baseline"/>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560" w:type="dxa"/>
            <w:gridSpan w:val="2"/>
            <w:vMerge w:val="continue"/>
            <w:vAlign w:val="center"/>
          </w:tcPr>
          <w:p>
            <w:pPr>
              <w:spacing w:line="240" w:lineRule="exact"/>
              <w:rPr>
                <w:rFonts w:hint="eastAsia" w:ascii="SimHei" w:hAnsi="SimHei" w:eastAsia="SimHei" w:cs="SimHei"/>
                <w:color w:val="000000" w:themeColor="text1"/>
                <w:sz w:val="18"/>
                <w:szCs w:val="18"/>
                <w14:textFill>
                  <w14:solidFill>
                    <w14:schemeClr w14:val="tx1"/>
                  </w14:solidFill>
                </w14:textFill>
              </w:rPr>
            </w:pPr>
          </w:p>
        </w:tc>
        <w:tc>
          <w:tcPr>
            <w:tcW w:w="1225" w:type="dxa"/>
            <w:vAlign w:val="center"/>
          </w:tcPr>
          <w:p>
            <w:pPr>
              <w:snapToGrid w:val="0"/>
              <w:spacing w:line="240" w:lineRule="exact"/>
              <w:rPr>
                <w:rFonts w:ascii="Times New Roman" w:hAnsi="Times New Roman" w:eastAsia="仿宋_GB2312"/>
                <w:color w:val="000000" w:themeColor="text1"/>
                <w:spacing w:val="-2"/>
                <w:sz w:val="18"/>
                <w:szCs w:val="18"/>
                <w14:textFill>
                  <w14:solidFill>
                    <w14:schemeClr w14:val="tx1"/>
                  </w14:solidFill>
                </w14:textFill>
              </w:rPr>
            </w:pPr>
            <w:r>
              <w:rPr>
                <w:rFonts w:ascii="Times New Roman" w:hAnsi="Times New Roman" w:eastAsia="仿宋_GB2312"/>
                <w:color w:val="000000" w:themeColor="text1"/>
                <w:spacing w:val="-2"/>
                <w:sz w:val="18"/>
                <w:szCs w:val="18"/>
                <w14:textFill>
                  <w14:solidFill>
                    <w14:schemeClr w14:val="tx1"/>
                  </w14:solidFill>
                </w14:textFill>
              </w:rPr>
              <w:t>拨付合规性</w:t>
            </w:r>
          </w:p>
        </w:tc>
        <w:tc>
          <w:tcPr>
            <w:tcW w:w="5519" w:type="dxa"/>
            <w:gridSpan w:val="8"/>
            <w:vAlign w:val="center"/>
          </w:tcPr>
          <w:p>
            <w:pPr>
              <w:widowControl/>
              <w:spacing w:line="240" w:lineRule="exact"/>
              <w:textAlignment w:val="center"/>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严格执行国库集中支付制度，项目县按工程项目进度核拨资金，未出现以拨代支、虚列支出或违规将资金从国库转入财政专户或支付到预算单位实有资金账户等问题。</w:t>
            </w:r>
          </w:p>
        </w:tc>
        <w:tc>
          <w:tcPr>
            <w:tcW w:w="1175" w:type="dxa"/>
            <w:vAlign w:val="center"/>
          </w:tcPr>
          <w:p>
            <w:pPr>
              <w:widowControl/>
              <w:kinsoku w:val="0"/>
              <w:autoSpaceDE w:val="0"/>
              <w:autoSpaceDN w:val="0"/>
              <w:adjustRightInd w:val="0"/>
              <w:snapToGrid w:val="0"/>
              <w:spacing w:line="240" w:lineRule="exact"/>
              <w:jc w:val="center"/>
              <w:textAlignment w:val="baseline"/>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atLeast"/>
          <w:jc w:val="center"/>
        </w:trPr>
        <w:tc>
          <w:tcPr>
            <w:tcW w:w="1560" w:type="dxa"/>
            <w:gridSpan w:val="2"/>
            <w:vMerge w:val="continue"/>
            <w:vAlign w:val="center"/>
          </w:tcPr>
          <w:p>
            <w:pPr>
              <w:spacing w:line="240" w:lineRule="exact"/>
              <w:rPr>
                <w:rFonts w:hint="eastAsia" w:ascii="SimHei" w:hAnsi="SimHei" w:eastAsia="SimHei" w:cs="SimHei"/>
                <w:color w:val="000000" w:themeColor="text1"/>
                <w:sz w:val="18"/>
                <w:szCs w:val="18"/>
                <w14:textFill>
                  <w14:solidFill>
                    <w14:schemeClr w14:val="tx1"/>
                  </w14:solidFill>
                </w14:textFill>
              </w:rPr>
            </w:pPr>
          </w:p>
        </w:tc>
        <w:tc>
          <w:tcPr>
            <w:tcW w:w="1225" w:type="dxa"/>
            <w:vAlign w:val="center"/>
          </w:tcPr>
          <w:p>
            <w:pPr>
              <w:snapToGrid w:val="0"/>
              <w:spacing w:line="240" w:lineRule="exact"/>
              <w:rPr>
                <w:rFonts w:ascii="Times New Roman" w:hAnsi="Times New Roman" w:eastAsia="仿宋_GB2312"/>
                <w:color w:val="000000" w:themeColor="text1"/>
                <w:spacing w:val="-2"/>
                <w:sz w:val="18"/>
                <w:szCs w:val="18"/>
                <w14:textFill>
                  <w14:solidFill>
                    <w14:schemeClr w14:val="tx1"/>
                  </w14:solidFill>
                </w14:textFill>
              </w:rPr>
            </w:pPr>
            <w:r>
              <w:rPr>
                <w:rFonts w:ascii="Times New Roman" w:hAnsi="Times New Roman" w:eastAsia="仿宋_GB2312"/>
                <w:color w:val="000000" w:themeColor="text1"/>
                <w:spacing w:val="-2"/>
                <w:sz w:val="18"/>
                <w:szCs w:val="18"/>
                <w14:textFill>
                  <w14:solidFill>
                    <w14:schemeClr w14:val="tx1"/>
                  </w14:solidFill>
                </w14:textFill>
              </w:rPr>
              <w:t>使用规范性</w:t>
            </w:r>
          </w:p>
        </w:tc>
        <w:tc>
          <w:tcPr>
            <w:tcW w:w="5519" w:type="dxa"/>
            <w:gridSpan w:val="8"/>
            <w:vAlign w:val="center"/>
          </w:tcPr>
          <w:p>
            <w:pPr>
              <w:widowControl/>
              <w:spacing w:line="240" w:lineRule="exact"/>
              <w:textAlignment w:val="center"/>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严格按照下达预算科目、《财政部农业农村部关于开展农村“厕所革命”整村推进财政奖补工作的通知》（财农〔2019〕19号）和关于印发《2024年中央农村厕所革命整村推进财政奖补（农村粪污一体化处理）试点示范项目实施方案》的通知（新农办办函〔2024〕258号）要求，资金主要支持项目村农村粪污收集、储存、运输、资源化利用及后期管护能力提升等方面的公共设施设备建设，通过强化各级监管，未出现截留、挤占、挪用或擅自调整等问题。</w:t>
            </w:r>
          </w:p>
        </w:tc>
        <w:tc>
          <w:tcPr>
            <w:tcW w:w="1175" w:type="dxa"/>
            <w:vAlign w:val="center"/>
          </w:tcPr>
          <w:p>
            <w:pPr>
              <w:widowControl/>
              <w:kinsoku w:val="0"/>
              <w:autoSpaceDE w:val="0"/>
              <w:autoSpaceDN w:val="0"/>
              <w:adjustRightInd w:val="0"/>
              <w:snapToGrid w:val="0"/>
              <w:spacing w:line="240" w:lineRule="exact"/>
              <w:jc w:val="center"/>
              <w:textAlignment w:val="baseline"/>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60" w:type="dxa"/>
            <w:gridSpan w:val="2"/>
            <w:vMerge w:val="continue"/>
            <w:vAlign w:val="center"/>
          </w:tcPr>
          <w:p>
            <w:pPr>
              <w:spacing w:line="240" w:lineRule="exact"/>
              <w:rPr>
                <w:rFonts w:hint="eastAsia" w:ascii="SimHei" w:hAnsi="SimHei" w:eastAsia="SimHei" w:cs="SimHei"/>
                <w:color w:val="000000" w:themeColor="text1"/>
                <w:sz w:val="18"/>
                <w:szCs w:val="18"/>
                <w14:textFill>
                  <w14:solidFill>
                    <w14:schemeClr w14:val="tx1"/>
                  </w14:solidFill>
                </w14:textFill>
              </w:rPr>
            </w:pPr>
          </w:p>
        </w:tc>
        <w:tc>
          <w:tcPr>
            <w:tcW w:w="1225" w:type="dxa"/>
            <w:vAlign w:val="center"/>
          </w:tcPr>
          <w:p>
            <w:pPr>
              <w:snapToGrid w:val="0"/>
              <w:spacing w:line="240" w:lineRule="exact"/>
              <w:rPr>
                <w:rFonts w:ascii="Times New Roman" w:hAnsi="Times New Roman" w:eastAsia="仿宋_GB2312"/>
                <w:color w:val="000000" w:themeColor="text1"/>
                <w:spacing w:val="-2"/>
                <w:sz w:val="18"/>
                <w:szCs w:val="18"/>
                <w14:textFill>
                  <w14:solidFill>
                    <w14:schemeClr w14:val="tx1"/>
                  </w14:solidFill>
                </w14:textFill>
              </w:rPr>
            </w:pPr>
            <w:r>
              <w:rPr>
                <w:rFonts w:ascii="Times New Roman" w:hAnsi="Times New Roman" w:eastAsia="仿宋_GB2312"/>
                <w:color w:val="000000" w:themeColor="text1"/>
                <w:spacing w:val="-1"/>
                <w:sz w:val="18"/>
                <w:szCs w:val="18"/>
                <w14:textFill>
                  <w14:solidFill>
                    <w14:schemeClr w14:val="tx1"/>
                  </w14:solidFill>
                </w14:textFill>
              </w:rPr>
              <w:t>执行准确性</w:t>
            </w:r>
          </w:p>
        </w:tc>
        <w:tc>
          <w:tcPr>
            <w:tcW w:w="5519" w:type="dxa"/>
            <w:gridSpan w:val="8"/>
            <w:vAlign w:val="center"/>
          </w:tcPr>
          <w:p>
            <w:pPr>
              <w:widowControl/>
              <w:spacing w:line="240" w:lineRule="exact"/>
              <w:textAlignment w:val="center"/>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能够按照上级下达和地方预算安排金额执行，执行符合要求</w:t>
            </w:r>
            <w:r>
              <w:rPr>
                <w:rFonts w:hint="eastAsia" w:ascii="Times New Roman" w:hAnsi="Times New Roman" w:eastAsia="仿宋_GB2312"/>
                <w:color w:val="000000" w:themeColor="text1"/>
                <w:kern w:val="0"/>
                <w:sz w:val="18"/>
                <w:szCs w:val="18"/>
                <w14:textFill>
                  <w14:solidFill>
                    <w14:schemeClr w14:val="tx1"/>
                  </w14:solidFill>
                </w14:textFill>
              </w:rPr>
              <w:t>，即自治区2024年4月16日收到中央财政奖补，2024年5月11日分配下达各地，用时25日。</w:t>
            </w:r>
          </w:p>
        </w:tc>
        <w:tc>
          <w:tcPr>
            <w:tcW w:w="1175" w:type="dxa"/>
            <w:vAlign w:val="center"/>
          </w:tcPr>
          <w:p>
            <w:pPr>
              <w:widowControl/>
              <w:kinsoku w:val="0"/>
              <w:autoSpaceDE w:val="0"/>
              <w:autoSpaceDN w:val="0"/>
              <w:adjustRightInd w:val="0"/>
              <w:snapToGrid w:val="0"/>
              <w:spacing w:line="240" w:lineRule="exact"/>
              <w:jc w:val="center"/>
              <w:textAlignment w:val="baseline"/>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560" w:type="dxa"/>
            <w:gridSpan w:val="2"/>
            <w:vMerge w:val="continue"/>
            <w:vAlign w:val="center"/>
          </w:tcPr>
          <w:p>
            <w:pPr>
              <w:spacing w:line="240" w:lineRule="exact"/>
              <w:rPr>
                <w:rFonts w:hint="eastAsia" w:ascii="SimHei" w:hAnsi="SimHei" w:eastAsia="SimHei" w:cs="SimHei"/>
                <w:color w:val="000000" w:themeColor="text1"/>
                <w:sz w:val="18"/>
                <w:szCs w:val="18"/>
                <w14:textFill>
                  <w14:solidFill>
                    <w14:schemeClr w14:val="tx1"/>
                  </w14:solidFill>
                </w14:textFill>
              </w:rPr>
            </w:pPr>
          </w:p>
        </w:tc>
        <w:tc>
          <w:tcPr>
            <w:tcW w:w="1225" w:type="dxa"/>
            <w:vAlign w:val="center"/>
          </w:tcPr>
          <w:p>
            <w:pPr>
              <w:snapToGrid w:val="0"/>
              <w:spacing w:line="240" w:lineRule="exact"/>
              <w:rPr>
                <w:rFonts w:ascii="Times New Roman" w:hAnsi="Times New Roman" w:eastAsia="仿宋_GB2312"/>
                <w:color w:val="000000" w:themeColor="text1"/>
                <w:spacing w:val="-2"/>
                <w:sz w:val="18"/>
                <w:szCs w:val="18"/>
                <w14:textFill>
                  <w14:solidFill>
                    <w14:schemeClr w14:val="tx1"/>
                  </w14:solidFill>
                </w14:textFill>
              </w:rPr>
            </w:pPr>
            <w:r>
              <w:rPr>
                <w:rFonts w:ascii="Times New Roman" w:hAnsi="Times New Roman" w:eastAsia="仿宋_GB2312"/>
                <w:color w:val="000000" w:themeColor="text1"/>
                <w:spacing w:val="-1"/>
                <w:sz w:val="18"/>
                <w:szCs w:val="18"/>
                <w14:textFill>
                  <w14:solidFill>
                    <w14:schemeClr w14:val="tx1"/>
                  </w14:solidFill>
                </w14:textFill>
              </w:rPr>
              <w:t>预算绩效管理情况</w:t>
            </w:r>
          </w:p>
        </w:tc>
        <w:tc>
          <w:tcPr>
            <w:tcW w:w="5519" w:type="dxa"/>
            <w:gridSpan w:val="8"/>
            <w:vAlign w:val="center"/>
          </w:tcPr>
          <w:p>
            <w:pPr>
              <w:widowControl/>
              <w:spacing w:line="240" w:lineRule="exact"/>
              <w:textAlignment w:val="center"/>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严格履行预算绩效职责，认真制定和及时下达各地区域性绩效目标，定期绩效监控，开展绩效评价，高质量完成专项年度自评报告编报和绩效自评表填报等。</w:t>
            </w:r>
          </w:p>
        </w:tc>
        <w:tc>
          <w:tcPr>
            <w:tcW w:w="1175" w:type="dxa"/>
            <w:vAlign w:val="center"/>
          </w:tcPr>
          <w:p>
            <w:pPr>
              <w:widowControl/>
              <w:kinsoku w:val="0"/>
              <w:autoSpaceDE w:val="0"/>
              <w:autoSpaceDN w:val="0"/>
              <w:adjustRightInd w:val="0"/>
              <w:snapToGrid w:val="0"/>
              <w:spacing w:line="240" w:lineRule="exact"/>
              <w:jc w:val="center"/>
              <w:textAlignment w:val="baseline"/>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560" w:type="dxa"/>
            <w:gridSpan w:val="2"/>
            <w:vMerge w:val="continue"/>
            <w:vAlign w:val="center"/>
          </w:tcPr>
          <w:p>
            <w:pPr>
              <w:spacing w:line="240" w:lineRule="exact"/>
              <w:rPr>
                <w:rFonts w:hint="eastAsia" w:ascii="SimHei" w:hAnsi="SimHei" w:eastAsia="SimHei" w:cs="SimHei"/>
                <w:color w:val="000000" w:themeColor="text1"/>
                <w:sz w:val="18"/>
                <w:szCs w:val="18"/>
                <w14:textFill>
                  <w14:solidFill>
                    <w14:schemeClr w14:val="tx1"/>
                  </w14:solidFill>
                </w14:textFill>
              </w:rPr>
            </w:pPr>
          </w:p>
        </w:tc>
        <w:tc>
          <w:tcPr>
            <w:tcW w:w="1225" w:type="dxa"/>
            <w:vAlign w:val="center"/>
          </w:tcPr>
          <w:p>
            <w:pPr>
              <w:snapToGrid w:val="0"/>
              <w:spacing w:line="240" w:lineRule="exact"/>
              <w:rPr>
                <w:rFonts w:ascii="Times New Roman" w:hAnsi="Times New Roman" w:eastAsia="仿宋_GB2312"/>
                <w:color w:val="000000" w:themeColor="text1"/>
                <w:spacing w:val="-2"/>
                <w:sz w:val="18"/>
                <w:szCs w:val="18"/>
                <w14:textFill>
                  <w14:solidFill>
                    <w14:schemeClr w14:val="tx1"/>
                  </w14:solidFill>
                </w14:textFill>
              </w:rPr>
            </w:pPr>
            <w:r>
              <w:rPr>
                <w:rFonts w:ascii="Times New Roman" w:hAnsi="Times New Roman" w:eastAsia="仿宋_GB2312"/>
                <w:color w:val="000000" w:themeColor="text1"/>
                <w:spacing w:val="-1"/>
                <w:sz w:val="18"/>
                <w:szCs w:val="18"/>
                <w14:textFill>
                  <w14:solidFill>
                    <w14:schemeClr w14:val="tx1"/>
                  </w14:solidFill>
                </w14:textFill>
              </w:rPr>
              <w:t>支出责任履行情况</w:t>
            </w:r>
          </w:p>
        </w:tc>
        <w:tc>
          <w:tcPr>
            <w:tcW w:w="5519" w:type="dxa"/>
            <w:gridSpan w:val="8"/>
            <w:vAlign w:val="center"/>
          </w:tcPr>
          <w:p>
            <w:pPr>
              <w:widowControl/>
              <w:spacing w:line="240" w:lineRule="exact"/>
              <w:textAlignment w:val="center"/>
              <w:rPr>
                <w:rFonts w:ascii="Times New Roman" w:hAnsi="Times New Roman" w:eastAsia="仿宋_GB2312"/>
                <w:color w:val="000000" w:themeColor="text1"/>
                <w:spacing w:val="-1"/>
                <w:sz w:val="18"/>
                <w:szCs w:val="18"/>
                <w14:textFill>
                  <w14:solidFill>
                    <w14:schemeClr w14:val="tx1"/>
                  </w14:solidFill>
                </w14:textFill>
              </w:rPr>
            </w:pPr>
            <w:r>
              <w:rPr>
                <w:rFonts w:hint="eastAsia" w:ascii="Times New Roman" w:hAnsi="Times New Roman" w:eastAsia="仿宋_GB2312"/>
                <w:color w:val="000000" w:themeColor="text1"/>
                <w:kern w:val="0"/>
                <w:sz w:val="18"/>
                <w:szCs w:val="18"/>
                <w14:textFill>
                  <w14:solidFill>
                    <w14:schemeClr w14:val="tx1"/>
                  </w14:solidFill>
                </w14:textFill>
              </w:rPr>
              <w:t>坚持自治区负总责、地县抓落实、乡村抓落地的工作机制，加大统筹协调，全面落实资金、资源、人才等支持政策。同时，全面履行部门负责支出责任，及时研究出台《关于报送乡村建设项目资金进展情况的通知》（新农办乡建函〔2024〕375号），健全完善项目实施进度和资金支出进度调度工作机制，建立按月调度、定期通报工作制度，形成数据及时上报、进度定期分析、问题及时整改的良好工作气氛，进一步压实各级各部门在项目及资金使用管理中的责任。</w:t>
            </w:r>
          </w:p>
        </w:tc>
        <w:tc>
          <w:tcPr>
            <w:tcW w:w="1175" w:type="dxa"/>
            <w:vAlign w:val="center"/>
          </w:tcPr>
          <w:p>
            <w:pPr>
              <w:widowControl/>
              <w:kinsoku w:val="0"/>
              <w:autoSpaceDE w:val="0"/>
              <w:autoSpaceDN w:val="0"/>
              <w:adjustRightInd w:val="0"/>
              <w:snapToGrid w:val="0"/>
              <w:spacing w:line="240" w:lineRule="exact"/>
              <w:jc w:val="center"/>
              <w:textAlignment w:val="baseline"/>
              <w:rPr>
                <w:rFonts w:ascii="Times New Roman" w:hAnsi="Times New Roman" w:eastAsia="仿宋_GB2312"/>
                <w:color w:val="000000" w:themeColor="text1"/>
                <w:spacing w:val="-1"/>
                <w:sz w:val="18"/>
                <w:szCs w:val="18"/>
                <w14:textFill>
                  <w14:solidFill>
                    <w14:schemeClr w14:val="tx1"/>
                  </w14:solidFill>
                </w14:textFill>
              </w:rPr>
            </w:pPr>
            <w:r>
              <w:rPr>
                <w:rFonts w:ascii="Times New Roman" w:hAnsi="Times New Roman" w:eastAsia="仿宋_GB2312"/>
                <w:color w:val="000000" w:themeColor="text1"/>
                <w:spacing w:val="-1"/>
                <w:sz w:val="18"/>
                <w:szCs w:val="18"/>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771" w:type="dxa"/>
            <w:vMerge w:val="restart"/>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hint="eastAsia" w:ascii="SimHei" w:hAnsi="SimHei" w:eastAsia="SimHei" w:cs="SimHei"/>
                <w:color w:val="000000" w:themeColor="text1"/>
                <w:kern w:val="0"/>
                <w:sz w:val="18"/>
                <w:szCs w:val="18"/>
                <w14:textFill>
                  <w14:solidFill>
                    <w14:schemeClr w14:val="tx1"/>
                  </w14:solidFill>
                </w14:textFill>
              </w:rPr>
              <w:t>总体指标完成情况</w:t>
            </w:r>
          </w:p>
        </w:tc>
        <w:tc>
          <w:tcPr>
            <w:tcW w:w="4054" w:type="dxa"/>
            <w:gridSpan w:val="4"/>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hint="eastAsia" w:ascii="SimHei" w:hAnsi="SimHei" w:eastAsia="SimHei" w:cs="SimHei"/>
                <w:color w:val="000000" w:themeColor="text1"/>
                <w:spacing w:val="-2"/>
                <w:sz w:val="18"/>
                <w:szCs w:val="18"/>
                <w14:textFill>
                  <w14:solidFill>
                    <w14:schemeClr w14:val="tx1"/>
                  </w14:solidFill>
                </w14:textFill>
              </w:rPr>
              <w:t>总体目标</w:t>
            </w:r>
          </w:p>
        </w:tc>
        <w:tc>
          <w:tcPr>
            <w:tcW w:w="4654" w:type="dxa"/>
            <w:gridSpan w:val="7"/>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771" w:type="dxa"/>
            <w:vMerge w:val="continue"/>
            <w:vAlign w:val="center"/>
          </w:tcPr>
          <w:p>
            <w:pPr>
              <w:spacing w:line="240" w:lineRule="exact"/>
              <w:rPr>
                <w:rFonts w:ascii="Times New Roman" w:hAnsi="Times New Roman" w:eastAsia="仿宋_GB2312"/>
                <w:b/>
                <w:bCs/>
                <w:color w:val="000000" w:themeColor="text1"/>
                <w:sz w:val="18"/>
                <w:szCs w:val="18"/>
                <w14:textFill>
                  <w14:solidFill>
                    <w14:schemeClr w14:val="tx1"/>
                  </w14:solidFill>
                </w14:textFill>
              </w:rPr>
            </w:pPr>
          </w:p>
        </w:tc>
        <w:tc>
          <w:tcPr>
            <w:tcW w:w="4054" w:type="dxa"/>
            <w:gridSpan w:val="4"/>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1.完成试点示范村农村厕所革命整村推进年度工作计划。2.持续系统解决农村厕所问题。3.推动建立长效管护机制。</w:t>
            </w:r>
          </w:p>
        </w:tc>
        <w:tc>
          <w:tcPr>
            <w:tcW w:w="4654" w:type="dxa"/>
            <w:gridSpan w:val="7"/>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安排103个项目支持104个村选择农村粪污和农村生活污水协同治理工艺及模式，实现农村卫生厕所普及率大于80%的整村推进目标，继续巩固提升设施设备能力，健全后期管护，提高粪污无害化处理、资源化利用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771"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绩效指标</w:t>
            </w:r>
          </w:p>
        </w:tc>
        <w:tc>
          <w:tcPr>
            <w:tcW w:w="789"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一级指标</w:t>
            </w:r>
          </w:p>
        </w:tc>
        <w:tc>
          <w:tcPr>
            <w:tcW w:w="1225"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二级指标</w:t>
            </w:r>
          </w:p>
        </w:tc>
        <w:tc>
          <w:tcPr>
            <w:tcW w:w="2040" w:type="dxa"/>
            <w:gridSpan w:val="2"/>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三级指标</w:t>
            </w:r>
          </w:p>
        </w:tc>
        <w:tc>
          <w:tcPr>
            <w:tcW w:w="1190" w:type="dxa"/>
            <w:gridSpan w:val="3"/>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年度指标值</w:t>
            </w:r>
          </w:p>
        </w:tc>
        <w:tc>
          <w:tcPr>
            <w:tcW w:w="1418"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全年完成值</w:t>
            </w:r>
          </w:p>
        </w:tc>
        <w:tc>
          <w:tcPr>
            <w:tcW w:w="2046" w:type="dxa"/>
            <w:gridSpan w:val="3"/>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1" w:type="dxa"/>
            <w:vMerge w:val="restart"/>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绩</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效</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指</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标</w:t>
            </w:r>
          </w:p>
        </w:tc>
        <w:tc>
          <w:tcPr>
            <w:tcW w:w="789" w:type="dxa"/>
            <w:vMerge w:val="restart"/>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产出</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指标</w:t>
            </w:r>
          </w:p>
        </w:tc>
        <w:tc>
          <w:tcPr>
            <w:tcW w:w="1225" w:type="dxa"/>
            <w:vMerge w:val="restart"/>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数量指标</w:t>
            </w:r>
          </w:p>
        </w:tc>
        <w:tc>
          <w:tcPr>
            <w:tcW w:w="2040" w:type="dxa"/>
            <w:gridSpan w:val="2"/>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2024年计划完成改厕农户数（户）</w:t>
            </w:r>
          </w:p>
        </w:tc>
        <w:tc>
          <w:tcPr>
            <w:tcW w:w="1190" w:type="dxa"/>
            <w:gridSpan w:val="3"/>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231391</w:t>
            </w:r>
          </w:p>
        </w:tc>
        <w:tc>
          <w:tcPr>
            <w:tcW w:w="1418" w:type="dxa"/>
            <w:vAlign w:val="center"/>
          </w:tcPr>
          <w:p>
            <w:pPr>
              <w:widowControl/>
              <w:spacing w:line="240" w:lineRule="exact"/>
              <w:jc w:val="center"/>
              <w:rPr>
                <w:rFonts w:ascii="Times New Roman" w:hAnsi="Times New Roman" w:eastAsia="仿宋_GB2312"/>
                <w:color w:val="000000" w:themeColor="text1"/>
                <w:sz w:val="18"/>
                <w:szCs w:val="18"/>
                <w:lang w:val="en"/>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28</w:t>
            </w:r>
            <w:r>
              <w:rPr>
                <w:rFonts w:ascii="Times New Roman" w:hAnsi="Times New Roman" w:eastAsia="仿宋_GB2312"/>
                <w:color w:val="000000" w:themeColor="text1"/>
                <w:sz w:val="18"/>
                <w:szCs w:val="18"/>
                <w:lang w:val="en"/>
                <w14:textFill>
                  <w14:solidFill>
                    <w14:schemeClr w14:val="tx1"/>
                  </w14:solidFill>
                </w14:textFill>
              </w:rPr>
              <w:t>5838</w:t>
            </w:r>
          </w:p>
        </w:tc>
        <w:tc>
          <w:tcPr>
            <w:tcW w:w="2046" w:type="dxa"/>
            <w:gridSpan w:val="3"/>
          </w:tcPr>
          <w:p>
            <w:pPr>
              <w:spacing w:line="240" w:lineRule="exact"/>
              <w:rPr>
                <w:rFonts w:ascii="Times New Roman" w:hAnsi="Times New Roman" w:eastAsia="仿宋_GB2312"/>
                <w:color w:val="000000" w:themeColor="text1"/>
                <w:kern w:val="0"/>
                <w:sz w:val="15"/>
                <w:szCs w:val="15"/>
                <w14:textFill>
                  <w14:solidFill>
                    <w14:schemeClr w14:val="tx1"/>
                  </w14:solidFill>
                </w14:textFill>
              </w:rPr>
            </w:pPr>
            <w:r>
              <w:rPr>
                <w:rFonts w:ascii="Times New Roman" w:hAnsi="Times New Roman" w:eastAsia="仿宋_GB2312"/>
                <w:color w:val="000000" w:themeColor="text1"/>
                <w:kern w:val="0"/>
                <w:sz w:val="15"/>
                <w:szCs w:val="15"/>
                <w14:textFill>
                  <w14:solidFill>
                    <w14:schemeClr w14:val="tx1"/>
                  </w14:solidFill>
                </w14:textFill>
              </w:rPr>
              <w:t>各地统筹整合力度大，使年初计划超额完成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1"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789"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1225"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2040" w:type="dxa"/>
            <w:gridSpan w:val="2"/>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2024年计划完成整村推进的行政村数（个）</w:t>
            </w:r>
          </w:p>
        </w:tc>
        <w:tc>
          <w:tcPr>
            <w:tcW w:w="1190" w:type="dxa"/>
            <w:gridSpan w:val="3"/>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104</w:t>
            </w:r>
          </w:p>
        </w:tc>
        <w:tc>
          <w:tcPr>
            <w:tcW w:w="1418" w:type="dxa"/>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92</w:t>
            </w:r>
          </w:p>
        </w:tc>
        <w:tc>
          <w:tcPr>
            <w:tcW w:w="2046" w:type="dxa"/>
            <w:gridSpan w:val="3"/>
          </w:tcPr>
          <w:p>
            <w:pPr>
              <w:spacing w:line="240" w:lineRule="exact"/>
              <w:rPr>
                <w:rFonts w:ascii="Times New Roman" w:hAnsi="Times New Roman" w:eastAsia="仿宋_GB2312"/>
                <w:color w:val="000000" w:themeColor="text1"/>
                <w:kern w:val="0"/>
                <w:sz w:val="15"/>
                <w:szCs w:val="15"/>
                <w14:textFill>
                  <w14:solidFill>
                    <w14:schemeClr w14:val="tx1"/>
                  </w14:solidFill>
                </w14:textFill>
              </w:rPr>
            </w:pPr>
            <w:r>
              <w:rPr>
                <w:rFonts w:ascii="Times New Roman" w:hAnsi="Times New Roman" w:eastAsia="仿宋_GB2312"/>
                <w:color w:val="000000" w:themeColor="text1"/>
                <w:kern w:val="0"/>
                <w:sz w:val="15"/>
                <w:szCs w:val="15"/>
                <w14:textFill>
                  <w14:solidFill>
                    <w14:schemeClr w14:val="tx1"/>
                  </w14:solidFill>
                </w14:textFill>
              </w:rPr>
              <w:t>部分项目未竣工验收，推进村数有待全面覆盖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71"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789"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1225" w:type="dxa"/>
            <w:vMerge w:val="restart"/>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质量指标</w:t>
            </w:r>
          </w:p>
        </w:tc>
        <w:tc>
          <w:tcPr>
            <w:tcW w:w="2040" w:type="dxa"/>
            <w:gridSpan w:val="2"/>
            <w:vAlign w:val="center"/>
          </w:tcPr>
          <w:p>
            <w:pPr>
              <w:widowControl/>
              <w:spacing w:line="240" w:lineRule="exact"/>
              <w:jc w:val="center"/>
              <w:rPr>
                <w:rFonts w:ascii="Times New Roman" w:hAnsi="Times New Roman" w:eastAsia="仿宋_GB2312"/>
                <w:snapToGrid w:val="0"/>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改造完的厕所设施合格率</w:t>
            </w:r>
          </w:p>
        </w:tc>
        <w:tc>
          <w:tcPr>
            <w:tcW w:w="1190" w:type="dxa"/>
            <w:gridSpan w:val="3"/>
            <w:vAlign w:val="center"/>
          </w:tcPr>
          <w:p>
            <w:pPr>
              <w:widowControl/>
              <w:spacing w:line="240" w:lineRule="exact"/>
              <w:jc w:val="center"/>
              <w:textAlignment w:val="center"/>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≥95%</w:t>
            </w:r>
          </w:p>
        </w:tc>
        <w:tc>
          <w:tcPr>
            <w:tcW w:w="1418" w:type="dxa"/>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98%</w:t>
            </w:r>
          </w:p>
        </w:tc>
        <w:tc>
          <w:tcPr>
            <w:tcW w:w="2046" w:type="dxa"/>
            <w:gridSpan w:val="3"/>
            <w:vAlign w:val="center"/>
          </w:tcPr>
          <w:p>
            <w:pPr>
              <w:widowControl/>
              <w:snapToGrid w:val="0"/>
              <w:spacing w:line="240" w:lineRule="exact"/>
              <w:rPr>
                <w:rFonts w:ascii="Times New Roman" w:hAnsi="Times New Roman" w:eastAsia="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789"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1225"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2040" w:type="dxa"/>
            <w:gridSpan w:val="2"/>
            <w:vAlign w:val="center"/>
          </w:tcPr>
          <w:p>
            <w:pPr>
              <w:widowControl/>
              <w:spacing w:line="240" w:lineRule="exact"/>
              <w:jc w:val="center"/>
              <w:rPr>
                <w:rFonts w:ascii="Times New Roman" w:hAnsi="Times New Roman" w:eastAsia="仿宋_GB2312"/>
                <w:snapToGrid w:val="0"/>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农村改厕数据库</w:t>
            </w:r>
          </w:p>
        </w:tc>
        <w:tc>
          <w:tcPr>
            <w:tcW w:w="1190" w:type="dxa"/>
            <w:gridSpan w:val="3"/>
            <w:vAlign w:val="center"/>
          </w:tcPr>
          <w:p>
            <w:pPr>
              <w:widowControl/>
              <w:spacing w:line="240" w:lineRule="exact"/>
              <w:jc w:val="center"/>
              <w:textAlignment w:val="center"/>
              <w:rPr>
                <w:rFonts w:ascii="Times New Roman" w:hAnsi="Times New Roman" w:eastAsia="仿宋_GB2312"/>
                <w:color w:val="000000" w:themeColor="text1"/>
                <w:kern w:val="0"/>
                <w:sz w:val="16"/>
                <w:szCs w:val="16"/>
                <w14:textFill>
                  <w14:solidFill>
                    <w14:schemeClr w14:val="tx1"/>
                  </w14:solidFill>
                </w14:textFill>
              </w:rPr>
            </w:pPr>
            <w:r>
              <w:rPr>
                <w:rFonts w:ascii="Times New Roman" w:hAnsi="Times New Roman" w:eastAsia="仿宋_GB2312"/>
                <w:color w:val="000000" w:themeColor="text1"/>
                <w:kern w:val="0"/>
                <w:sz w:val="16"/>
                <w:szCs w:val="16"/>
                <w14:textFill>
                  <w14:solidFill>
                    <w14:schemeClr w14:val="tx1"/>
                  </w14:solidFill>
                </w14:textFill>
              </w:rPr>
              <w:t>基本建成</w:t>
            </w:r>
          </w:p>
        </w:tc>
        <w:tc>
          <w:tcPr>
            <w:tcW w:w="1418" w:type="dxa"/>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hint="eastAsia" w:ascii="Times New Roman" w:hAnsi="Times New Roman" w:eastAsia="仿宋_GB2312"/>
                <w:color w:val="000000" w:themeColor="text1"/>
                <w:sz w:val="18"/>
                <w:szCs w:val="18"/>
                <w14:textFill>
                  <w14:solidFill>
                    <w14:schemeClr w14:val="tx1"/>
                  </w14:solidFill>
                </w14:textFill>
              </w:rPr>
              <w:t>100%</w:t>
            </w:r>
          </w:p>
        </w:tc>
        <w:tc>
          <w:tcPr>
            <w:tcW w:w="2046" w:type="dxa"/>
            <w:gridSpan w:val="3"/>
            <w:vAlign w:val="center"/>
          </w:tcPr>
          <w:p>
            <w:pPr>
              <w:widowControl/>
              <w:snapToGrid w:val="0"/>
              <w:spacing w:line="240" w:lineRule="exact"/>
              <w:rPr>
                <w:rFonts w:ascii="Times New Roman" w:hAnsi="Times New Roman" w:eastAsia="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1"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789"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1225"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时效指标</w:t>
            </w:r>
          </w:p>
        </w:tc>
        <w:tc>
          <w:tcPr>
            <w:tcW w:w="2040" w:type="dxa"/>
            <w:gridSpan w:val="2"/>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pacing w:val="-6"/>
                <w:sz w:val="18"/>
                <w:szCs w:val="18"/>
                <w14:textFill>
                  <w14:solidFill>
                    <w14:schemeClr w14:val="tx1"/>
                  </w14:solidFill>
                </w14:textFill>
              </w:rPr>
              <w:t>截至2024年底，年度土地指标跨省域调剂收入安排的支岀（支持农村厕所革命整村推进财政奖补）资金执行率</w:t>
            </w:r>
          </w:p>
        </w:tc>
        <w:tc>
          <w:tcPr>
            <w:tcW w:w="1190" w:type="dxa"/>
            <w:gridSpan w:val="3"/>
            <w:vAlign w:val="center"/>
          </w:tcPr>
          <w:p>
            <w:pPr>
              <w:widowControl/>
              <w:spacing w:line="240" w:lineRule="exact"/>
              <w:jc w:val="center"/>
              <w:textAlignment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100%</w:t>
            </w:r>
          </w:p>
        </w:tc>
        <w:tc>
          <w:tcPr>
            <w:tcW w:w="1418" w:type="dxa"/>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77.25%</w:t>
            </w:r>
          </w:p>
        </w:tc>
        <w:tc>
          <w:tcPr>
            <w:tcW w:w="2046" w:type="dxa"/>
            <w:gridSpan w:val="3"/>
            <w:vAlign w:val="center"/>
          </w:tcPr>
          <w:p>
            <w:pPr>
              <w:widowControl/>
              <w:snapToGrid w:val="0"/>
              <w:spacing w:line="200" w:lineRule="exact"/>
              <w:rPr>
                <w:rFonts w:ascii="Times New Roman" w:hAnsi="Times New Roman" w:eastAsia="仿宋_GB2312"/>
                <w:color w:val="000000" w:themeColor="text1"/>
                <w:kern w:val="0"/>
                <w:sz w:val="11"/>
                <w:szCs w:val="11"/>
                <w14:textFill>
                  <w14:solidFill>
                    <w14:schemeClr w14:val="tx1"/>
                  </w14:solidFill>
                </w14:textFill>
              </w:rPr>
            </w:pPr>
            <w:r>
              <w:rPr>
                <w:rFonts w:ascii="Times New Roman" w:hAnsi="Times New Roman" w:eastAsia="仿宋_GB2312"/>
                <w:color w:val="000000" w:themeColor="text1"/>
                <w:kern w:val="0"/>
                <w:sz w:val="15"/>
                <w:szCs w:val="15"/>
                <w14:textFill>
                  <w14:solidFill>
                    <w14:schemeClr w14:val="tx1"/>
                  </w14:solidFill>
                </w14:textFill>
              </w:rPr>
              <w:t>一是中央奖补资金下达比往年较晚。二是项目前期手续耗时与气候影响。三是部分项目存在进度缓慢、支付申请不及时的情况，再加上需保留3%的项目质保金等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1"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789" w:type="dxa"/>
            <w:vMerge w:val="restart"/>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效益</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指标</w:t>
            </w:r>
          </w:p>
        </w:tc>
        <w:tc>
          <w:tcPr>
            <w:tcW w:w="1225"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社会效益</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指标</w:t>
            </w:r>
          </w:p>
        </w:tc>
        <w:tc>
          <w:tcPr>
            <w:tcW w:w="2040" w:type="dxa"/>
            <w:gridSpan w:val="2"/>
            <w:vAlign w:val="center"/>
          </w:tcPr>
          <w:p>
            <w:pPr>
              <w:widowControl/>
              <w:spacing w:line="240" w:lineRule="exact"/>
              <w:jc w:val="center"/>
              <w:rPr>
                <w:rFonts w:ascii="Times New Roman" w:hAnsi="Times New Roman" w:eastAsia="仿宋_GB2312"/>
                <w:snapToGrid w:val="0"/>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当年完成农村厕所革命整村推进行政村的卫生厕所普及率</w:t>
            </w:r>
          </w:p>
        </w:tc>
        <w:tc>
          <w:tcPr>
            <w:tcW w:w="1190" w:type="dxa"/>
            <w:gridSpan w:val="3"/>
            <w:vAlign w:val="center"/>
          </w:tcPr>
          <w:p>
            <w:pPr>
              <w:widowControl/>
              <w:spacing w:line="240" w:lineRule="exact"/>
              <w:jc w:val="center"/>
              <w:textAlignment w:val="center"/>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≥8</w:t>
            </w:r>
            <w:r>
              <w:rPr>
                <w:rFonts w:hint="eastAsia" w:ascii="Times New Roman" w:hAnsi="Times New Roman" w:eastAsia="仿宋_GB2312"/>
                <w:color w:val="000000" w:themeColor="text1"/>
                <w:kern w:val="0"/>
                <w:szCs w:val="21"/>
                <w14:textFill>
                  <w14:solidFill>
                    <w14:schemeClr w14:val="tx1"/>
                  </w14:solidFill>
                </w14:textFill>
              </w:rPr>
              <w:t>0</w:t>
            </w:r>
            <w:r>
              <w:rPr>
                <w:rFonts w:ascii="Times New Roman" w:hAnsi="Times New Roman" w:eastAsia="仿宋_GB2312"/>
                <w:color w:val="000000" w:themeColor="text1"/>
                <w:kern w:val="0"/>
                <w:szCs w:val="21"/>
                <w14:textFill>
                  <w14:solidFill>
                    <w14:schemeClr w14:val="tx1"/>
                  </w14:solidFill>
                </w14:textFill>
              </w:rPr>
              <w:t>%</w:t>
            </w:r>
          </w:p>
        </w:tc>
        <w:tc>
          <w:tcPr>
            <w:tcW w:w="1418" w:type="dxa"/>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90%</w:t>
            </w:r>
          </w:p>
        </w:tc>
        <w:tc>
          <w:tcPr>
            <w:tcW w:w="2046" w:type="dxa"/>
            <w:gridSpan w:val="3"/>
            <w:vAlign w:val="center"/>
          </w:tcPr>
          <w:p>
            <w:pPr>
              <w:widowControl/>
              <w:snapToGrid w:val="0"/>
              <w:spacing w:line="240" w:lineRule="exact"/>
              <w:rPr>
                <w:rFonts w:ascii="Times New Roman" w:hAnsi="Times New Roman" w:eastAsia="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771"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789"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1225"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生态效益</w:t>
            </w:r>
          </w:p>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指标</w:t>
            </w:r>
          </w:p>
        </w:tc>
        <w:tc>
          <w:tcPr>
            <w:tcW w:w="2040" w:type="dxa"/>
            <w:gridSpan w:val="2"/>
            <w:vAlign w:val="center"/>
          </w:tcPr>
          <w:p>
            <w:pPr>
              <w:widowControl/>
              <w:spacing w:line="240" w:lineRule="exact"/>
              <w:jc w:val="center"/>
              <w:rPr>
                <w:rFonts w:ascii="Times New Roman" w:hAnsi="Times New Roman" w:eastAsia="仿宋_GB2312"/>
                <w:snapToGrid w:val="0"/>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当年完成农村厕所革命整村推进行政村的厕所粪污无害化处理率</w:t>
            </w:r>
          </w:p>
        </w:tc>
        <w:tc>
          <w:tcPr>
            <w:tcW w:w="1190" w:type="dxa"/>
            <w:gridSpan w:val="3"/>
            <w:vAlign w:val="center"/>
          </w:tcPr>
          <w:p>
            <w:pPr>
              <w:widowControl/>
              <w:spacing w:line="240" w:lineRule="exact"/>
              <w:jc w:val="center"/>
              <w:textAlignment w:val="center"/>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≥85%</w:t>
            </w:r>
          </w:p>
        </w:tc>
        <w:tc>
          <w:tcPr>
            <w:tcW w:w="1418" w:type="dxa"/>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91%</w:t>
            </w:r>
          </w:p>
        </w:tc>
        <w:tc>
          <w:tcPr>
            <w:tcW w:w="2046" w:type="dxa"/>
            <w:gridSpan w:val="3"/>
            <w:vAlign w:val="center"/>
          </w:tcPr>
          <w:p>
            <w:pPr>
              <w:widowControl/>
              <w:snapToGrid w:val="0"/>
              <w:spacing w:line="240" w:lineRule="exact"/>
              <w:rPr>
                <w:rFonts w:ascii="Times New Roman" w:hAnsi="Times New Roman" w:eastAsia="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1"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789"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1225"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可持续发展指标</w:t>
            </w:r>
          </w:p>
        </w:tc>
        <w:tc>
          <w:tcPr>
            <w:tcW w:w="2040" w:type="dxa"/>
            <w:gridSpan w:val="2"/>
            <w:vAlign w:val="center"/>
          </w:tcPr>
          <w:p>
            <w:pPr>
              <w:widowControl/>
              <w:spacing w:line="240" w:lineRule="exact"/>
              <w:jc w:val="center"/>
              <w:rPr>
                <w:rFonts w:ascii="Times New Roman" w:hAnsi="Times New Roman" w:eastAsia="仿宋_GB2312"/>
                <w:snapToGrid w:val="0"/>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当年完成农村厕所革命整村推进行政村的长效管护机制</w:t>
            </w:r>
          </w:p>
        </w:tc>
        <w:tc>
          <w:tcPr>
            <w:tcW w:w="1190" w:type="dxa"/>
            <w:gridSpan w:val="3"/>
            <w:vAlign w:val="center"/>
          </w:tcPr>
          <w:p>
            <w:pPr>
              <w:widowControl/>
              <w:spacing w:line="240" w:lineRule="exact"/>
              <w:jc w:val="center"/>
              <w:textAlignment w:val="center"/>
              <w:rPr>
                <w:rFonts w:ascii="Times New Roman" w:hAnsi="Times New Roman" w:eastAsia="仿宋_GB2312"/>
                <w:color w:val="000000" w:themeColor="text1"/>
                <w:kern w:val="0"/>
                <w:sz w:val="16"/>
                <w:szCs w:val="16"/>
                <w14:textFill>
                  <w14:solidFill>
                    <w14:schemeClr w14:val="tx1"/>
                  </w14:solidFill>
                </w14:textFill>
              </w:rPr>
            </w:pPr>
            <w:r>
              <w:rPr>
                <w:rFonts w:ascii="Times New Roman" w:hAnsi="Times New Roman" w:eastAsia="仿宋_GB2312"/>
                <w:color w:val="000000" w:themeColor="text1"/>
                <w:kern w:val="0"/>
                <w:sz w:val="16"/>
                <w:szCs w:val="16"/>
                <w14:textFill>
                  <w14:solidFill>
                    <w14:schemeClr w14:val="tx1"/>
                  </w14:solidFill>
                </w14:textFill>
              </w:rPr>
              <w:t>初步建立</w:t>
            </w:r>
          </w:p>
        </w:tc>
        <w:tc>
          <w:tcPr>
            <w:tcW w:w="1418" w:type="dxa"/>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hint="eastAsia" w:ascii="Times New Roman" w:hAnsi="Times New Roman" w:eastAsia="仿宋_GB2312"/>
                <w:color w:val="000000" w:themeColor="text1"/>
                <w:sz w:val="18"/>
                <w:szCs w:val="18"/>
                <w14:textFill>
                  <w14:solidFill>
                    <w14:schemeClr w14:val="tx1"/>
                  </w14:solidFill>
                </w14:textFill>
              </w:rPr>
              <w:t>100%</w:t>
            </w:r>
          </w:p>
        </w:tc>
        <w:tc>
          <w:tcPr>
            <w:tcW w:w="2046" w:type="dxa"/>
            <w:gridSpan w:val="3"/>
            <w:vAlign w:val="center"/>
          </w:tcPr>
          <w:p>
            <w:pPr>
              <w:widowControl/>
              <w:snapToGrid w:val="0"/>
              <w:spacing w:line="240" w:lineRule="exact"/>
              <w:rPr>
                <w:rFonts w:ascii="Times New Roman" w:hAnsi="Times New Roman" w:eastAsia="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Merge w:val="continue"/>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p>
        </w:tc>
        <w:tc>
          <w:tcPr>
            <w:tcW w:w="789"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满意度指标</w:t>
            </w:r>
          </w:p>
        </w:tc>
        <w:tc>
          <w:tcPr>
            <w:tcW w:w="1225" w:type="dxa"/>
            <w:vAlign w:val="center"/>
          </w:tcPr>
          <w:p>
            <w:pPr>
              <w:widowControl/>
              <w:snapToGrid w:val="0"/>
              <w:spacing w:line="240" w:lineRule="exact"/>
              <w:jc w:val="center"/>
              <w:rPr>
                <w:rFonts w:hint="eastAsia" w:ascii="SimHei" w:hAnsi="SimHei" w:eastAsia="SimHei" w:cs="SimHei"/>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服务对象满意度指标</w:t>
            </w:r>
          </w:p>
        </w:tc>
        <w:tc>
          <w:tcPr>
            <w:tcW w:w="2040" w:type="dxa"/>
            <w:gridSpan w:val="2"/>
            <w:vAlign w:val="center"/>
          </w:tcPr>
          <w:p>
            <w:pPr>
              <w:widowControl/>
              <w:spacing w:line="240" w:lineRule="exact"/>
              <w:jc w:val="center"/>
              <w:rPr>
                <w:rFonts w:ascii="Times New Roman" w:hAnsi="Times New Roman" w:eastAsia="仿宋_GB2312"/>
                <w:snapToGrid w:val="0"/>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项目区农民满意度</w:t>
            </w:r>
          </w:p>
        </w:tc>
        <w:tc>
          <w:tcPr>
            <w:tcW w:w="1190" w:type="dxa"/>
            <w:gridSpan w:val="3"/>
            <w:vAlign w:val="center"/>
          </w:tcPr>
          <w:p>
            <w:pPr>
              <w:widowControl/>
              <w:spacing w:line="240" w:lineRule="exact"/>
              <w:jc w:val="center"/>
              <w:textAlignment w:val="center"/>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≥90%</w:t>
            </w:r>
          </w:p>
        </w:tc>
        <w:tc>
          <w:tcPr>
            <w:tcW w:w="1418" w:type="dxa"/>
            <w:vAlign w:val="center"/>
          </w:tcPr>
          <w:p>
            <w:pPr>
              <w:widowControl/>
              <w:spacing w:line="240" w:lineRule="exac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96%</w:t>
            </w:r>
          </w:p>
        </w:tc>
        <w:tc>
          <w:tcPr>
            <w:tcW w:w="2046" w:type="dxa"/>
            <w:gridSpan w:val="3"/>
            <w:vAlign w:val="center"/>
          </w:tcPr>
          <w:p>
            <w:pPr>
              <w:widowControl/>
              <w:snapToGrid w:val="0"/>
              <w:spacing w:line="240" w:lineRule="exact"/>
              <w:rPr>
                <w:rFonts w:ascii="Times New Roman" w:hAnsi="Times New Roman" w:eastAsia="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71" w:type="dxa"/>
            <w:vAlign w:val="center"/>
          </w:tcPr>
          <w:p>
            <w:pPr>
              <w:widowControl/>
              <w:snapToGrid w:val="0"/>
              <w:spacing w:line="240" w:lineRule="exact"/>
              <w:jc w:val="center"/>
              <w:rPr>
                <w:rFonts w:ascii="Times New Roman" w:hAnsi="Times New Roman" w:eastAsia="仿宋_GB2312"/>
                <w:color w:val="000000" w:themeColor="text1"/>
                <w:kern w:val="0"/>
                <w:sz w:val="18"/>
                <w:szCs w:val="18"/>
                <w14:textFill>
                  <w14:solidFill>
                    <w14:schemeClr w14:val="tx1"/>
                  </w14:solidFill>
                </w14:textFill>
              </w:rPr>
            </w:pPr>
            <w:r>
              <w:rPr>
                <w:rFonts w:ascii="SimHei" w:hAnsi="SimHei" w:eastAsia="SimHei" w:cs="SimHei"/>
                <w:color w:val="000000" w:themeColor="text1"/>
                <w:kern w:val="0"/>
                <w:sz w:val="18"/>
                <w:szCs w:val="18"/>
                <w14:textFill>
                  <w14:solidFill>
                    <w14:schemeClr w14:val="tx1"/>
                  </w14:solidFill>
                </w14:textFill>
              </w:rPr>
              <w:t>说明</w:t>
            </w:r>
          </w:p>
        </w:tc>
        <w:tc>
          <w:tcPr>
            <w:tcW w:w="8708" w:type="dxa"/>
            <w:gridSpan w:val="11"/>
            <w:vAlign w:val="center"/>
          </w:tcPr>
          <w:p>
            <w:pPr>
              <w:widowControl/>
              <w:snapToGrid w:val="0"/>
              <w:spacing w:line="240" w:lineRule="exact"/>
              <w:jc w:val="left"/>
              <w:rPr>
                <w:rFonts w:ascii="Times New Roman" w:hAnsi="Times New Roman" w:eastAsia="仿宋_GB2312"/>
                <w:color w:val="000000" w:themeColor="text1"/>
                <w:kern w:val="0"/>
                <w:sz w:val="18"/>
                <w:szCs w:val="18"/>
                <w14:textFill>
                  <w14:solidFill>
                    <w14:schemeClr w14:val="tx1"/>
                  </w14:solidFill>
                </w14:textFill>
              </w:rPr>
            </w:pPr>
            <w:r>
              <w:rPr>
                <w:rFonts w:ascii="Times New Roman" w:hAnsi="Times New Roman" w:eastAsia="仿宋_GB2312"/>
                <w:color w:val="000000" w:themeColor="text1"/>
                <w:kern w:val="0"/>
                <w:sz w:val="18"/>
                <w:szCs w:val="18"/>
                <w14:textFill>
                  <w14:solidFill>
                    <w14:schemeClr w14:val="tx1"/>
                  </w14:solidFill>
                </w14:textFill>
              </w:rPr>
              <w:t>无</w:t>
            </w:r>
          </w:p>
        </w:tc>
      </w:tr>
    </w:tbl>
    <w:p>
      <w:pPr>
        <w:pStyle w:val="27"/>
        <w:autoSpaceDE/>
        <w:autoSpaceDN/>
        <w:spacing w:line="240" w:lineRule="exact"/>
        <w:jc w:val="both"/>
        <w:rPr>
          <w:rFonts w:ascii="Times New Roman" w:hAnsi="Times New Roman" w:eastAsia="仿宋_GB2312"/>
          <w:color w:val="000000" w:themeColor="text1"/>
          <w:kern w:val="2"/>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注：1.资金使用单位按项目绩效目标填报，主管部门汇总时按区域绩效目标填报。2.其他资金包括与中央财政资金、地方财政资金共同投入到同一项目的自有资金、社会资金，以及以前年度的结转结余资金等。3.全年执行数是指按照国库集中支付制度要求所形成的实际支出。3.三级指标“2024年计划完成改厕农户数（户）”是全区域2024年初各地自行确定需求计划，不只限于安排项目的县（市、区）项目村。</w:t>
      </w:r>
    </w:p>
    <w:sectPr>
      <w:pgSz w:w="11850" w:h="16783"/>
      <w:pgMar w:top="2098" w:right="1474" w:bottom="1565" w:left="1587" w:header="1134" w:footer="992" w:gutter="0"/>
      <w:pgNumType w:fmt="numberInDash"/>
      <w:cols w:space="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FangSong">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SimHei">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KaiTi">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- 3 -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1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- 3 -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B1D673"/>
    <w:multiLevelType w:val="singleLevel"/>
    <w:tmpl w:val="D8B1D673"/>
    <w:lvl w:ilvl="0" w:tentative="0">
      <w:start w:val="1"/>
      <w:numFmt w:val="decimal"/>
      <w:pStyle w:val="13"/>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true"/>
  <w:bordersDoNotSurroundFooter w:val="true"/>
  <w:documentProtection w:enforcement="0"/>
  <w:defaultTabStop w:val="420"/>
  <w:drawingGridVerticalSpacing w:val="158"/>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EB3F90"/>
    <w:rsid w:val="00072358"/>
    <w:rsid w:val="000B2FDE"/>
    <w:rsid w:val="000E34D9"/>
    <w:rsid w:val="000E5864"/>
    <w:rsid w:val="001E3C37"/>
    <w:rsid w:val="00264F9C"/>
    <w:rsid w:val="0046265A"/>
    <w:rsid w:val="00466507"/>
    <w:rsid w:val="00502859"/>
    <w:rsid w:val="005B029D"/>
    <w:rsid w:val="005F7CC1"/>
    <w:rsid w:val="00674C4B"/>
    <w:rsid w:val="00A7391A"/>
    <w:rsid w:val="00A861B2"/>
    <w:rsid w:val="00AB2C93"/>
    <w:rsid w:val="00AC2A18"/>
    <w:rsid w:val="00B36017"/>
    <w:rsid w:val="00BB08AE"/>
    <w:rsid w:val="00C65910"/>
    <w:rsid w:val="00CD7410"/>
    <w:rsid w:val="00CE7E57"/>
    <w:rsid w:val="00D24F9C"/>
    <w:rsid w:val="00D30F4C"/>
    <w:rsid w:val="00D36A19"/>
    <w:rsid w:val="00DB3041"/>
    <w:rsid w:val="00DD5381"/>
    <w:rsid w:val="00E5560C"/>
    <w:rsid w:val="00E622D5"/>
    <w:rsid w:val="00EF03F4"/>
    <w:rsid w:val="00F934DD"/>
    <w:rsid w:val="012F33E9"/>
    <w:rsid w:val="016B08AF"/>
    <w:rsid w:val="016D4353"/>
    <w:rsid w:val="01F55DB7"/>
    <w:rsid w:val="02185FC2"/>
    <w:rsid w:val="02427FEC"/>
    <w:rsid w:val="02481E7A"/>
    <w:rsid w:val="02D51C7D"/>
    <w:rsid w:val="03DF60B0"/>
    <w:rsid w:val="03F67AE6"/>
    <w:rsid w:val="04590FC2"/>
    <w:rsid w:val="0516583E"/>
    <w:rsid w:val="05656090"/>
    <w:rsid w:val="0824378B"/>
    <w:rsid w:val="082D20FA"/>
    <w:rsid w:val="082E4EC9"/>
    <w:rsid w:val="083556D8"/>
    <w:rsid w:val="08A07159"/>
    <w:rsid w:val="08A121DF"/>
    <w:rsid w:val="08CA2DAD"/>
    <w:rsid w:val="08EB30F3"/>
    <w:rsid w:val="09917EE0"/>
    <w:rsid w:val="0A181AE9"/>
    <w:rsid w:val="0A611A55"/>
    <w:rsid w:val="0B04417C"/>
    <w:rsid w:val="0BDD7FEF"/>
    <w:rsid w:val="0C7850C7"/>
    <w:rsid w:val="0CB53A09"/>
    <w:rsid w:val="0CB627F4"/>
    <w:rsid w:val="0D6C3D64"/>
    <w:rsid w:val="0DB96CDB"/>
    <w:rsid w:val="0DE56519"/>
    <w:rsid w:val="0DF67783"/>
    <w:rsid w:val="0E61663A"/>
    <w:rsid w:val="0E9629D1"/>
    <w:rsid w:val="0E995A72"/>
    <w:rsid w:val="0EEB3F90"/>
    <w:rsid w:val="0F3ECBE5"/>
    <w:rsid w:val="0F625474"/>
    <w:rsid w:val="0F9D313B"/>
    <w:rsid w:val="10BB7944"/>
    <w:rsid w:val="1116493C"/>
    <w:rsid w:val="1138409E"/>
    <w:rsid w:val="11752154"/>
    <w:rsid w:val="11DC72B1"/>
    <w:rsid w:val="12510E5A"/>
    <w:rsid w:val="14252D97"/>
    <w:rsid w:val="150F2EBA"/>
    <w:rsid w:val="15DBB38B"/>
    <w:rsid w:val="16136AEF"/>
    <w:rsid w:val="16465B26"/>
    <w:rsid w:val="165541EF"/>
    <w:rsid w:val="166F2CA6"/>
    <w:rsid w:val="16DE419C"/>
    <w:rsid w:val="183406DA"/>
    <w:rsid w:val="183B2E2E"/>
    <w:rsid w:val="186C4436"/>
    <w:rsid w:val="18CF7754"/>
    <w:rsid w:val="18D64CAC"/>
    <w:rsid w:val="190D746A"/>
    <w:rsid w:val="191E3D87"/>
    <w:rsid w:val="19B46334"/>
    <w:rsid w:val="19B76158"/>
    <w:rsid w:val="1A4D78D9"/>
    <w:rsid w:val="1AF55596"/>
    <w:rsid w:val="1B6353B1"/>
    <w:rsid w:val="1BC743A4"/>
    <w:rsid w:val="1BD41D82"/>
    <w:rsid w:val="1C455AE6"/>
    <w:rsid w:val="1C84749B"/>
    <w:rsid w:val="1CD75A34"/>
    <w:rsid w:val="1DEB0CB8"/>
    <w:rsid w:val="1E437453"/>
    <w:rsid w:val="1F0748A3"/>
    <w:rsid w:val="1F0E3721"/>
    <w:rsid w:val="1F56102C"/>
    <w:rsid w:val="1F7A324E"/>
    <w:rsid w:val="1FF410D2"/>
    <w:rsid w:val="215F65CC"/>
    <w:rsid w:val="21B56A69"/>
    <w:rsid w:val="22392F1C"/>
    <w:rsid w:val="23126104"/>
    <w:rsid w:val="2332628E"/>
    <w:rsid w:val="242C65D3"/>
    <w:rsid w:val="24AE767D"/>
    <w:rsid w:val="24D5112A"/>
    <w:rsid w:val="250E0888"/>
    <w:rsid w:val="25432764"/>
    <w:rsid w:val="25804EA5"/>
    <w:rsid w:val="260D3AA2"/>
    <w:rsid w:val="262C725E"/>
    <w:rsid w:val="27455817"/>
    <w:rsid w:val="27764CDC"/>
    <w:rsid w:val="28250396"/>
    <w:rsid w:val="286D38C4"/>
    <w:rsid w:val="28F847A7"/>
    <w:rsid w:val="2AA54717"/>
    <w:rsid w:val="2AC972ED"/>
    <w:rsid w:val="2AF226D2"/>
    <w:rsid w:val="2B271BEC"/>
    <w:rsid w:val="2B2C154B"/>
    <w:rsid w:val="2BD42894"/>
    <w:rsid w:val="2BE82C9F"/>
    <w:rsid w:val="2C135F54"/>
    <w:rsid w:val="2C4E60C4"/>
    <w:rsid w:val="2DAD2640"/>
    <w:rsid w:val="2ED46BF8"/>
    <w:rsid w:val="2F36583F"/>
    <w:rsid w:val="2FE5B33C"/>
    <w:rsid w:val="30175C05"/>
    <w:rsid w:val="30E03711"/>
    <w:rsid w:val="314462FA"/>
    <w:rsid w:val="31A2217E"/>
    <w:rsid w:val="31AA65F7"/>
    <w:rsid w:val="3315473D"/>
    <w:rsid w:val="33A663C0"/>
    <w:rsid w:val="35FE4716"/>
    <w:rsid w:val="36687794"/>
    <w:rsid w:val="36882FA7"/>
    <w:rsid w:val="37602DAD"/>
    <w:rsid w:val="376511F1"/>
    <w:rsid w:val="37B533D2"/>
    <w:rsid w:val="37C806A3"/>
    <w:rsid w:val="38271341"/>
    <w:rsid w:val="38331322"/>
    <w:rsid w:val="391F1A75"/>
    <w:rsid w:val="3A4D5500"/>
    <w:rsid w:val="3A733B0A"/>
    <w:rsid w:val="3AD43FCB"/>
    <w:rsid w:val="3B410619"/>
    <w:rsid w:val="3B923467"/>
    <w:rsid w:val="3B994393"/>
    <w:rsid w:val="3B9B2D64"/>
    <w:rsid w:val="3BCC695B"/>
    <w:rsid w:val="3CE709FF"/>
    <w:rsid w:val="3D3E17F6"/>
    <w:rsid w:val="3D994942"/>
    <w:rsid w:val="3DB20F1C"/>
    <w:rsid w:val="3DDF17F7"/>
    <w:rsid w:val="3E1D1A84"/>
    <w:rsid w:val="3E965EE3"/>
    <w:rsid w:val="3E9C0A1C"/>
    <w:rsid w:val="3F7136A3"/>
    <w:rsid w:val="3F857DD3"/>
    <w:rsid w:val="40CE1686"/>
    <w:rsid w:val="40E46510"/>
    <w:rsid w:val="41091346"/>
    <w:rsid w:val="415032F1"/>
    <w:rsid w:val="42052BB5"/>
    <w:rsid w:val="42157315"/>
    <w:rsid w:val="42F757AA"/>
    <w:rsid w:val="430474A7"/>
    <w:rsid w:val="437038A1"/>
    <w:rsid w:val="43F73F78"/>
    <w:rsid w:val="459B54CF"/>
    <w:rsid w:val="462C6D17"/>
    <w:rsid w:val="48281C6B"/>
    <w:rsid w:val="48505128"/>
    <w:rsid w:val="48803BD1"/>
    <w:rsid w:val="49312065"/>
    <w:rsid w:val="4959356D"/>
    <w:rsid w:val="49C27745"/>
    <w:rsid w:val="4A095B29"/>
    <w:rsid w:val="4A513DC8"/>
    <w:rsid w:val="4B751355"/>
    <w:rsid w:val="4B9D7280"/>
    <w:rsid w:val="4BD32FAB"/>
    <w:rsid w:val="4BE91B34"/>
    <w:rsid w:val="4C293ED3"/>
    <w:rsid w:val="4D281089"/>
    <w:rsid w:val="4D880228"/>
    <w:rsid w:val="4F4114C2"/>
    <w:rsid w:val="4F6C6A3C"/>
    <w:rsid w:val="500610D1"/>
    <w:rsid w:val="50836E98"/>
    <w:rsid w:val="50E17AEF"/>
    <w:rsid w:val="511179DA"/>
    <w:rsid w:val="51BF4329"/>
    <w:rsid w:val="529531D6"/>
    <w:rsid w:val="53721B7D"/>
    <w:rsid w:val="53AA0555"/>
    <w:rsid w:val="53AF771E"/>
    <w:rsid w:val="53C8765C"/>
    <w:rsid w:val="53E90205"/>
    <w:rsid w:val="53EA566D"/>
    <w:rsid w:val="54CD54A4"/>
    <w:rsid w:val="54D33A84"/>
    <w:rsid w:val="55143239"/>
    <w:rsid w:val="5562637F"/>
    <w:rsid w:val="56075461"/>
    <w:rsid w:val="567967DA"/>
    <w:rsid w:val="57E83B0A"/>
    <w:rsid w:val="587F6B3B"/>
    <w:rsid w:val="588D7510"/>
    <w:rsid w:val="594974A4"/>
    <w:rsid w:val="59A11D90"/>
    <w:rsid w:val="59BC0BBF"/>
    <w:rsid w:val="5A172003"/>
    <w:rsid w:val="5A46481F"/>
    <w:rsid w:val="5A785D91"/>
    <w:rsid w:val="5B7F5A24"/>
    <w:rsid w:val="5C7706CA"/>
    <w:rsid w:val="5CB12296"/>
    <w:rsid w:val="5D5D7E6A"/>
    <w:rsid w:val="5DD63255"/>
    <w:rsid w:val="5E020C21"/>
    <w:rsid w:val="5E7C0B66"/>
    <w:rsid w:val="5EF91849"/>
    <w:rsid w:val="5F3712C0"/>
    <w:rsid w:val="5FEC2795"/>
    <w:rsid w:val="603F760F"/>
    <w:rsid w:val="60EF56B9"/>
    <w:rsid w:val="629801A7"/>
    <w:rsid w:val="62B43702"/>
    <w:rsid w:val="62BC6D41"/>
    <w:rsid w:val="62F07507"/>
    <w:rsid w:val="648F7133"/>
    <w:rsid w:val="64DC40F5"/>
    <w:rsid w:val="64EC78A3"/>
    <w:rsid w:val="652B511F"/>
    <w:rsid w:val="65353490"/>
    <w:rsid w:val="65DB6DD9"/>
    <w:rsid w:val="667C48F8"/>
    <w:rsid w:val="66FC55B3"/>
    <w:rsid w:val="670B17B3"/>
    <w:rsid w:val="67604D1F"/>
    <w:rsid w:val="67AF4AB7"/>
    <w:rsid w:val="69BF4C77"/>
    <w:rsid w:val="6A6109FD"/>
    <w:rsid w:val="6A815460"/>
    <w:rsid w:val="6ADA23C9"/>
    <w:rsid w:val="6B3E538D"/>
    <w:rsid w:val="6B59506C"/>
    <w:rsid w:val="6B6B7C07"/>
    <w:rsid w:val="6BBF33D5"/>
    <w:rsid w:val="6C452B4A"/>
    <w:rsid w:val="6D087CD6"/>
    <w:rsid w:val="6D790F29"/>
    <w:rsid w:val="6E3E64C2"/>
    <w:rsid w:val="6F1F6878"/>
    <w:rsid w:val="70593486"/>
    <w:rsid w:val="714A5A52"/>
    <w:rsid w:val="71C55B81"/>
    <w:rsid w:val="72A5198C"/>
    <w:rsid w:val="73413CAB"/>
    <w:rsid w:val="737B53C9"/>
    <w:rsid w:val="74125261"/>
    <w:rsid w:val="74684596"/>
    <w:rsid w:val="74B73271"/>
    <w:rsid w:val="74C72CF7"/>
    <w:rsid w:val="753F3BE7"/>
    <w:rsid w:val="757A1308"/>
    <w:rsid w:val="758D7A9C"/>
    <w:rsid w:val="75EE0895"/>
    <w:rsid w:val="75F317E6"/>
    <w:rsid w:val="762906C8"/>
    <w:rsid w:val="764F560B"/>
    <w:rsid w:val="76527093"/>
    <w:rsid w:val="76776226"/>
    <w:rsid w:val="77022511"/>
    <w:rsid w:val="784923A4"/>
    <w:rsid w:val="796B3547"/>
    <w:rsid w:val="7A0F4F91"/>
    <w:rsid w:val="7A9B7ED9"/>
    <w:rsid w:val="7AD94782"/>
    <w:rsid w:val="7B521A1F"/>
    <w:rsid w:val="7C170EDE"/>
    <w:rsid w:val="7C223EA3"/>
    <w:rsid w:val="7C7D5C2F"/>
    <w:rsid w:val="7CEB7960"/>
    <w:rsid w:val="7D0075AE"/>
    <w:rsid w:val="7DFEAB13"/>
    <w:rsid w:val="7E5FCC73"/>
    <w:rsid w:val="7E7E75AC"/>
    <w:rsid w:val="7EA82C0C"/>
    <w:rsid w:val="7F0B7BFA"/>
    <w:rsid w:val="7F141A18"/>
    <w:rsid w:val="7F192EDA"/>
    <w:rsid w:val="7FB62EFF"/>
    <w:rsid w:val="7FE13777"/>
    <w:rsid w:val="7FF7A013"/>
    <w:rsid w:val="9B7C4C70"/>
    <w:rsid w:val="B7FDEBE8"/>
    <w:rsid w:val="C74B10E7"/>
    <w:rsid w:val="CFEA813F"/>
    <w:rsid w:val="EAF24ACE"/>
    <w:rsid w:val="EB7D8671"/>
    <w:rsid w:val="EDB78FBA"/>
    <w:rsid w:val="EEFDA814"/>
    <w:rsid w:val="F77F1A01"/>
    <w:rsid w:val="FBBF6A93"/>
    <w:rsid w:val="FDFBB3B6"/>
    <w:rsid w:val="FEFF677B"/>
    <w:rsid w:val="FFF1472B"/>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iPriority="99"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lang w:bidi="ug-CN"/>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ind w:firstLine="420" w:firstLineChars="200"/>
    </w:pPr>
    <w:rPr>
      <w:rFonts w:eastAsia="FangSong"/>
      <w:sz w:val="32"/>
    </w:r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toc 4"/>
    <w:next w:val="1"/>
    <w:qFormat/>
    <w:uiPriority w:val="0"/>
    <w:pPr>
      <w:wordWrap w:val="0"/>
      <w:spacing w:after="160" w:line="278" w:lineRule="auto"/>
      <w:ind w:left="1106"/>
      <w:jc w:val="both"/>
    </w:pPr>
    <w:rPr>
      <w:rFonts w:ascii="Times New Roman" w:hAnsi="Times New Roman" w:eastAsia="宋体" w:cs="Times New Roman"/>
      <w:lang w:val="en-US" w:eastAsia="zh-CN" w:bidi="ar-SA"/>
    </w:rPr>
  </w:style>
  <w:style w:type="paragraph" w:styleId="9">
    <w:name w:val="Body Text Indent"/>
    <w:basedOn w:val="1"/>
    <w:next w:val="5"/>
    <w:qFormat/>
    <w:uiPriority w:val="99"/>
    <w:pPr>
      <w:spacing w:after="120"/>
      <w:ind w:left="420" w:leftChars="200"/>
    </w:pPr>
  </w:style>
  <w:style w:type="paragraph" w:styleId="10">
    <w:name w:val="HTML Address"/>
    <w:basedOn w:val="1"/>
    <w:unhideWhenUsed/>
    <w:qFormat/>
    <w:uiPriority w:val="99"/>
    <w:rPr>
      <w:i/>
    </w:rPr>
  </w:style>
  <w:style w:type="paragraph" w:styleId="11">
    <w:name w:val="toc 5"/>
    <w:basedOn w:val="1"/>
    <w:next w:val="1"/>
    <w:qFormat/>
    <w:uiPriority w:val="0"/>
    <w:pPr>
      <w:ind w:left="840"/>
      <w:jc w:val="left"/>
    </w:pPr>
    <w:rPr>
      <w:sz w:val="18"/>
      <w:szCs w:val="18"/>
    </w:rPr>
  </w:style>
  <w:style w:type="paragraph" w:styleId="12">
    <w:name w:val="Plain Text"/>
    <w:basedOn w:val="1"/>
    <w:next w:val="13"/>
    <w:qFormat/>
    <w:uiPriority w:val="0"/>
    <w:rPr>
      <w:rFonts w:ascii="宋体"/>
      <w:szCs w:val="21"/>
    </w:rPr>
  </w:style>
  <w:style w:type="paragraph" w:styleId="13">
    <w:name w:val="List Number 5"/>
    <w:basedOn w:val="1"/>
    <w:qFormat/>
    <w:uiPriority w:val="0"/>
    <w:pPr>
      <w:numPr>
        <w:ilvl w:val="0"/>
        <w:numId w:val="1"/>
      </w:numPr>
    </w:pPr>
  </w:style>
  <w:style w:type="paragraph" w:styleId="14">
    <w:name w:val="Body Text Indent 2"/>
    <w:basedOn w:val="1"/>
    <w:unhideWhenUsed/>
    <w:qFormat/>
    <w:uiPriority w:val="99"/>
    <w:pPr>
      <w:spacing w:after="120" w:line="480" w:lineRule="auto"/>
      <w:ind w:left="420" w:leftChars="200"/>
    </w:pPr>
  </w:style>
  <w:style w:type="paragraph" w:styleId="15">
    <w:name w:val="footer"/>
    <w:basedOn w:val="1"/>
    <w:next w:val="1"/>
    <w:unhideWhenUsed/>
    <w:qFormat/>
    <w:uiPriority w:val="99"/>
    <w:pPr>
      <w:tabs>
        <w:tab w:val="center" w:pos="4153"/>
        <w:tab w:val="right" w:pos="8306"/>
      </w:tabs>
      <w:snapToGrid w:val="0"/>
      <w:jc w:val="left"/>
    </w:pPr>
    <w:rPr>
      <w:sz w:val="18"/>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qFormat/>
    <w:uiPriority w:val="0"/>
    <w:rPr>
      <w:szCs w:val="22"/>
    </w:rPr>
  </w:style>
  <w:style w:type="paragraph" w:styleId="18">
    <w:name w:val="footnote text"/>
    <w:basedOn w:val="1"/>
    <w:qFormat/>
    <w:uiPriority w:val="0"/>
    <w:pPr>
      <w:snapToGrid w:val="0"/>
      <w:jc w:val="left"/>
    </w:pPr>
    <w:rPr>
      <w:sz w:val="18"/>
    </w:rPr>
  </w:style>
  <w:style w:type="paragraph" w:styleId="19">
    <w:name w:val="Normal (Web)"/>
    <w:basedOn w:val="1"/>
    <w:qFormat/>
    <w:uiPriority w:val="0"/>
    <w:pPr>
      <w:spacing w:before="100" w:beforeAutospacing="1" w:after="100" w:afterAutospacing="1"/>
      <w:jc w:val="left"/>
    </w:pPr>
    <w:rPr>
      <w:kern w:val="0"/>
      <w:sz w:val="24"/>
      <w:lang w:bidi="ug-CN"/>
    </w:rPr>
  </w:style>
  <w:style w:type="paragraph" w:styleId="20">
    <w:name w:val="Title"/>
    <w:basedOn w:val="1"/>
    <w:next w:val="1"/>
    <w:qFormat/>
    <w:uiPriority w:val="10"/>
    <w:pPr>
      <w:jc w:val="center"/>
      <w:outlineLvl w:val="0"/>
    </w:pPr>
    <w:rPr>
      <w:rFonts w:ascii="Arial" w:hAnsi="Arial"/>
      <w:b/>
      <w:bCs/>
      <w:sz w:val="32"/>
      <w:szCs w:val="32"/>
    </w:rPr>
  </w:style>
  <w:style w:type="paragraph" w:styleId="21">
    <w:name w:val="Body Text First Indent"/>
    <w:basedOn w:val="7"/>
    <w:next w:val="22"/>
    <w:qFormat/>
    <w:uiPriority w:val="0"/>
    <w:pPr>
      <w:ind w:firstLine="420" w:firstLineChars="100"/>
    </w:pPr>
    <w:rPr>
      <w:sz w:val="30"/>
    </w:rPr>
  </w:style>
  <w:style w:type="paragraph" w:styleId="22">
    <w:name w:val="Body Text First Indent 2"/>
    <w:basedOn w:val="9"/>
    <w:next w:val="21"/>
    <w:qFormat/>
    <w:uiPriority w:val="99"/>
    <w:pPr>
      <w:ind w:firstLine="420" w:firstLineChars="200"/>
    </w:p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basedOn w:val="25"/>
    <w:qFormat/>
    <w:uiPriority w:val="0"/>
    <w:rPr>
      <w:color w:val="0000FF"/>
      <w:u w:val="single"/>
    </w:rPr>
  </w:style>
  <w:style w:type="paragraph" w:customStyle="1" w:styleId="27">
    <w:name w:val="Default"/>
    <w:qFormat/>
    <w:uiPriority w:val="99"/>
    <w:pPr>
      <w:widowControl w:val="0"/>
      <w:autoSpaceDE w:val="0"/>
      <w:autoSpaceDN w:val="0"/>
      <w:adjustRightInd w:val="0"/>
      <w:spacing w:after="160" w:line="278" w:lineRule="auto"/>
    </w:pPr>
    <w:rPr>
      <w:rFonts w:ascii="Calibri" w:hAnsi="Calibri" w:eastAsia="宋体" w:cs="Times New Roman"/>
      <w:color w:val="000000"/>
      <w:sz w:val="24"/>
      <w:szCs w:val="24"/>
      <w:lang w:val="en-US" w:eastAsia="zh-CN" w:bidi="ar-SA"/>
    </w:rPr>
  </w:style>
  <w:style w:type="paragraph" w:customStyle="1" w:styleId="28">
    <w:name w:val="正文文字 1"/>
    <w:next w:val="1"/>
    <w:qFormat/>
    <w:uiPriority w:val="0"/>
    <w:pPr>
      <w:widowControl w:val="0"/>
      <w:spacing w:after="160" w:line="278" w:lineRule="auto"/>
      <w:ind w:left="240"/>
      <w:jc w:val="both"/>
    </w:pPr>
    <w:rPr>
      <w:rFonts w:ascii="Times New Roman" w:hAnsi="Times New Roman" w:eastAsia="宋体" w:cs="Times New Roman"/>
      <w:kern w:val="2"/>
      <w:sz w:val="28"/>
      <w:szCs w:val="24"/>
      <w:lang w:val="en-US" w:eastAsia="zh-CN" w:bidi="ar-SA"/>
    </w:rPr>
  </w:style>
  <w:style w:type="paragraph" w:customStyle="1" w:styleId="29">
    <w:name w:val="引用1"/>
    <w:next w:val="1"/>
    <w:qFormat/>
    <w:uiPriority w:val="0"/>
    <w:pPr>
      <w:wordWrap w:val="0"/>
      <w:spacing w:before="200" w:after="160" w:line="278" w:lineRule="auto"/>
      <w:ind w:left="864" w:right="864"/>
      <w:jc w:val="center"/>
    </w:pPr>
    <w:rPr>
      <w:rFonts w:ascii="Times New Roman" w:hAnsi="Times New Roman" w:eastAsia="宋体" w:cs="Times New Roman"/>
      <w:i/>
      <w:sz w:val="21"/>
      <w:szCs w:val="22"/>
      <w:lang w:val="en-US" w:eastAsia="zh-CN" w:bidi="ar-SA"/>
    </w:rPr>
  </w:style>
  <w:style w:type="paragraph" w:customStyle="1" w:styleId="30">
    <w:name w:val="正文格式"/>
    <w:basedOn w:val="1"/>
    <w:qFormat/>
    <w:uiPriority w:val="0"/>
    <w:pPr>
      <w:spacing w:before="50" w:beforeLines="50" w:after="50" w:afterLines="50" w:line="360" w:lineRule="auto"/>
      <w:ind w:firstLine="200" w:firstLineChars="200"/>
    </w:pPr>
    <w:rPr>
      <w:rFonts w:eastAsia="FangSong"/>
      <w:sz w:val="30"/>
      <w:szCs w:val="20"/>
      <w:lang w:val="en-GB"/>
    </w:rPr>
  </w:style>
  <w:style w:type="paragraph" w:customStyle="1" w:styleId="31">
    <w:name w:val="_Style 3"/>
    <w:next w:val="1"/>
    <w:qFormat/>
    <w:uiPriority w:val="0"/>
    <w:pPr>
      <w:wordWrap w:val="0"/>
      <w:spacing w:after="160" w:line="278" w:lineRule="auto"/>
    </w:pPr>
    <w:rPr>
      <w:rFonts w:ascii="Times New Roman" w:hAnsi="Times New Roman" w:eastAsia="宋体" w:cs="Times New Roman"/>
      <w:sz w:val="32"/>
      <w:szCs w:val="22"/>
      <w:lang w:val="en-US" w:eastAsia="zh-CN" w:bidi="ar-SA"/>
    </w:rPr>
  </w:style>
  <w:style w:type="character" w:customStyle="1" w:styleId="32">
    <w:name w:val="NormalCharacter"/>
    <w:basedOn w:val="25"/>
    <w:link w:val="33"/>
    <w:qFormat/>
    <w:uiPriority w:val="0"/>
  </w:style>
  <w:style w:type="paragraph" w:customStyle="1" w:styleId="33">
    <w:name w:val="UserStyle_0"/>
    <w:basedOn w:val="1"/>
    <w:link w:val="32"/>
    <w:qFormat/>
    <w:uiPriority w:val="0"/>
    <w:pPr>
      <w:spacing w:line="240" w:lineRule="exact"/>
      <w:jc w:val="left"/>
    </w:pPr>
  </w:style>
  <w:style w:type="paragraph" w:styleId="34">
    <w:name w:val="No Spacing"/>
    <w:qFormat/>
    <w:uiPriority w:val="1"/>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customStyle="1" w:styleId="35">
    <w:name w:val="样式1"/>
    <w:basedOn w:val="1"/>
    <w:qFormat/>
    <w:uiPriority w:val="0"/>
  </w:style>
  <w:style w:type="paragraph" w:customStyle="1" w:styleId="36">
    <w:name w:val="A正文"/>
    <w:basedOn w:val="1"/>
    <w:qFormat/>
    <w:uiPriority w:val="0"/>
    <w:pPr>
      <w:ind w:firstLine="200" w:firstLineChars="200"/>
    </w:pPr>
  </w:style>
  <w:style w:type="paragraph" w:customStyle="1" w:styleId="37">
    <w:name w:val="BodyText"/>
    <w:basedOn w:val="1"/>
    <w:qFormat/>
    <w:uiPriority w:val="0"/>
    <w:pPr>
      <w:textAlignment w:val="baseline"/>
    </w:pPr>
  </w:style>
  <w:style w:type="character" w:customStyle="1" w:styleId="38">
    <w:name w:val="UserStyle_1"/>
    <w:qFormat/>
    <w:uiPriority w:val="0"/>
  </w:style>
  <w:style w:type="character" w:customStyle="1" w:styleId="39">
    <w:name w:val="font01"/>
    <w:basedOn w:val="25"/>
    <w:qFormat/>
    <w:uiPriority w:val="0"/>
    <w:rPr>
      <w:rFonts w:hint="eastAsia" w:ascii="FangSong" w:hAnsi="FangSong" w:eastAsia="FangSong" w:cs="FangSong"/>
      <w:color w:val="000000"/>
      <w:sz w:val="52"/>
      <w:szCs w:val="52"/>
      <w:u w:val="none"/>
    </w:rPr>
  </w:style>
  <w:style w:type="paragraph" w:customStyle="1" w:styleId="40">
    <w:name w:val="Char"/>
    <w:basedOn w:val="1"/>
    <w:unhideWhenUsed/>
    <w:qFormat/>
    <w:uiPriority w:val="0"/>
    <w:pPr>
      <w:spacing w:line="240" w:lineRule="exact"/>
      <w:jc w:val="left"/>
    </w:pPr>
  </w:style>
  <w:style w:type="paragraph" w:customStyle="1" w:styleId="41">
    <w:name w:val="正文文本1"/>
    <w:basedOn w:val="1"/>
    <w:qFormat/>
    <w:uiPriority w:val="0"/>
    <w:pPr>
      <w:spacing w:after="120"/>
    </w:pPr>
  </w:style>
  <w:style w:type="character" w:customStyle="1" w:styleId="42">
    <w:name w:val="font61"/>
    <w:basedOn w:val="25"/>
    <w:qFormat/>
    <w:uiPriority w:val="0"/>
    <w:rPr>
      <w:rFonts w:hint="eastAsia" w:ascii="方正小标宋简体" w:hAnsi="方正小标宋简体" w:eastAsia="方正小标宋简体" w:cs="方正小标宋简体"/>
      <w:color w:val="000000"/>
      <w:sz w:val="28"/>
      <w:szCs w:val="28"/>
      <w:u w:val="none"/>
    </w:rPr>
  </w:style>
  <w:style w:type="character" w:customStyle="1" w:styleId="43">
    <w:name w:val="font81"/>
    <w:basedOn w:val="25"/>
    <w:qFormat/>
    <w:uiPriority w:val="0"/>
    <w:rPr>
      <w:rFonts w:ascii="SimHei" w:hAnsi="宋体" w:eastAsia="SimHei" w:cs="SimHei"/>
      <w:color w:val="000000"/>
      <w:sz w:val="20"/>
      <w:szCs w:val="20"/>
      <w:u w:val="none"/>
    </w:rPr>
  </w:style>
  <w:style w:type="character" w:customStyle="1" w:styleId="44">
    <w:name w:val="font121"/>
    <w:basedOn w:val="25"/>
    <w:qFormat/>
    <w:uiPriority w:val="0"/>
    <w:rPr>
      <w:rFonts w:hint="eastAsia" w:ascii="SimHei" w:hAnsi="宋体" w:eastAsia="SimHei" w:cs="SimHei"/>
      <w:color w:val="000000"/>
      <w:sz w:val="20"/>
      <w:szCs w:val="20"/>
      <w:u w:val="none"/>
    </w:rPr>
  </w:style>
  <w:style w:type="character" w:customStyle="1" w:styleId="45">
    <w:name w:val="font101"/>
    <w:basedOn w:val="25"/>
    <w:qFormat/>
    <w:uiPriority w:val="0"/>
    <w:rPr>
      <w:rFonts w:hint="eastAsia" w:ascii="宋体" w:hAnsi="宋体" w:eastAsia="宋体" w:cs="宋体"/>
      <w:color w:val="000000"/>
      <w:sz w:val="20"/>
      <w:szCs w:val="20"/>
      <w:u w:val="none"/>
    </w:rPr>
  </w:style>
  <w:style w:type="character" w:customStyle="1" w:styleId="46">
    <w:name w:val="font31"/>
    <w:basedOn w:val="25"/>
    <w:qFormat/>
    <w:uiPriority w:val="0"/>
    <w:rPr>
      <w:rFonts w:hint="eastAsia" w:ascii="仿宋_GB2312" w:eastAsia="仿宋_GB2312" w:cs="仿宋_GB2312"/>
      <w:color w:val="000000"/>
      <w:sz w:val="20"/>
      <w:szCs w:val="20"/>
      <w:u w:val="none"/>
    </w:rPr>
  </w:style>
  <w:style w:type="character" w:customStyle="1" w:styleId="47">
    <w:name w:val="font181"/>
    <w:basedOn w:val="25"/>
    <w:qFormat/>
    <w:uiPriority w:val="0"/>
    <w:rPr>
      <w:rFonts w:hint="default" w:ascii="Times New Roman" w:hAnsi="Times New Roman" w:cs="Times New Roman"/>
      <w:color w:val="000000"/>
      <w:sz w:val="20"/>
      <w:szCs w:val="20"/>
      <w:u w:val="none"/>
    </w:rPr>
  </w:style>
  <w:style w:type="character" w:customStyle="1" w:styleId="48">
    <w:name w:val="font71"/>
    <w:basedOn w:val="25"/>
    <w:qFormat/>
    <w:uiPriority w:val="0"/>
    <w:rPr>
      <w:rFonts w:hint="eastAsia" w:ascii="仿宋_GB2312" w:eastAsia="仿宋_GB2312" w:cs="仿宋_GB2312"/>
      <w:color w:val="000000"/>
      <w:sz w:val="20"/>
      <w:szCs w:val="20"/>
      <w:u w:val="none"/>
    </w:rPr>
  </w:style>
  <w:style w:type="character" w:customStyle="1" w:styleId="49">
    <w:name w:val="font21"/>
    <w:basedOn w:val="25"/>
    <w:qFormat/>
    <w:uiPriority w:val="0"/>
    <w:rPr>
      <w:rFonts w:hint="default" w:ascii="Times New Roman" w:hAnsi="Times New Roman" w:cs="Times New Roman"/>
      <w:color w:val="000000"/>
      <w:sz w:val="20"/>
      <w:szCs w:val="20"/>
      <w:u w:val="none"/>
    </w:rPr>
  </w:style>
  <w:style w:type="character" w:customStyle="1" w:styleId="50">
    <w:name w:val="font131"/>
    <w:basedOn w:val="25"/>
    <w:qFormat/>
    <w:uiPriority w:val="0"/>
    <w:rPr>
      <w:rFonts w:hint="default" w:ascii="Times New Roman" w:hAnsi="Times New Roman" w:cs="Times New Roman"/>
      <w:color w:val="000000"/>
      <w:sz w:val="20"/>
      <w:szCs w:val="20"/>
      <w:u w:val="none"/>
    </w:rPr>
  </w:style>
  <w:style w:type="character" w:customStyle="1" w:styleId="51">
    <w:name w:val="font161"/>
    <w:basedOn w:val="25"/>
    <w:qFormat/>
    <w:uiPriority w:val="0"/>
    <w:rPr>
      <w:rFonts w:ascii="方正书宋_GBK" w:hAnsi="方正书宋_GBK" w:eastAsia="方正书宋_GBK" w:cs="方正书宋_GBK"/>
      <w:color w:val="000000"/>
      <w:sz w:val="20"/>
      <w:szCs w:val="20"/>
      <w:u w:val="none"/>
    </w:rPr>
  </w:style>
  <w:style w:type="character" w:customStyle="1" w:styleId="52">
    <w:name w:val="font12"/>
    <w:basedOn w:val="25"/>
    <w:qFormat/>
    <w:uiPriority w:val="0"/>
    <w:rPr>
      <w:rFonts w:hint="default" w:ascii="Times New Roman" w:hAnsi="Times New Roman" w:cs="Times New Roman"/>
      <w:color w:val="000000"/>
      <w:sz w:val="20"/>
      <w:szCs w:val="20"/>
      <w:u w:val="none"/>
    </w:rPr>
  </w:style>
  <w:style w:type="character" w:customStyle="1" w:styleId="53">
    <w:name w:val="font41"/>
    <w:basedOn w:val="25"/>
    <w:qFormat/>
    <w:uiPriority w:val="0"/>
    <w:rPr>
      <w:rFonts w:ascii="方正黑体_GBK" w:hAnsi="方正黑体_GBK" w:eastAsia="方正黑体_GBK" w:cs="方正黑体_GBK"/>
      <w:color w:val="000000"/>
      <w:sz w:val="20"/>
      <w:szCs w:val="20"/>
      <w:u w:val="none"/>
    </w:rPr>
  </w:style>
  <w:style w:type="paragraph" w:customStyle="1" w:styleId="54">
    <w:name w:val="_Style 1"/>
    <w:qFormat/>
    <w:uiPriority w:val="0"/>
    <w:pPr>
      <w:widowControl w:val="0"/>
      <w:spacing w:after="160" w:line="278" w:lineRule="auto"/>
      <w:jc w:val="both"/>
    </w:pPr>
    <w:rPr>
      <w:rFonts w:ascii="Calibri" w:hAnsi="Calibri" w:eastAsia="宋体" w:cs="Arial"/>
      <w:kern w:val="2"/>
      <w:sz w:val="21"/>
      <w:szCs w:val="21"/>
      <w:lang w:val="en-US" w:eastAsia="zh-CN" w:bidi="ug-CN"/>
    </w:rPr>
  </w:style>
  <w:style w:type="paragraph" w:customStyle="1" w:styleId="55">
    <w:name w:val="Other|1"/>
    <w:qFormat/>
    <w:uiPriority w:val="0"/>
    <w:pPr>
      <w:widowControl w:val="0"/>
      <w:spacing w:after="160" w:line="278" w:lineRule="auto"/>
      <w:jc w:val="both"/>
    </w:pPr>
    <w:rPr>
      <w:rFonts w:hint="eastAsia" w:ascii="宋体" w:hAnsi="宋体" w:eastAsia="宋体" w:cs="Times New Roman"/>
      <w:kern w:val="2"/>
      <w:sz w:val="18"/>
      <w:szCs w:val="18"/>
      <w:lang w:val="en-US" w:eastAsia="zh-CN" w:bidi="ug-CN"/>
    </w:rPr>
  </w:style>
  <w:style w:type="paragraph" w:customStyle="1" w:styleId="56">
    <w:name w:val="Other|2"/>
    <w:qFormat/>
    <w:uiPriority w:val="0"/>
    <w:pPr>
      <w:widowControl w:val="0"/>
      <w:spacing w:after="160" w:line="558" w:lineRule="exact"/>
      <w:jc w:val="center"/>
    </w:pPr>
    <w:rPr>
      <w:rFonts w:hint="eastAsia" w:ascii="宋体" w:hAnsi="宋体" w:eastAsia="宋体" w:cs="Times New Roman"/>
      <w:kern w:val="2"/>
      <w:sz w:val="110"/>
      <w:szCs w:val="110"/>
      <w:lang w:val="en-US" w:eastAsia="zh-CN" w:bidi="ug-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1755</Words>
  <Characters>10009</Characters>
  <Lines>83</Lines>
  <Paragraphs>23</Paragraphs>
  <TotalTime>0</TotalTime>
  <ScaleCrop>false</ScaleCrop>
  <LinksUpToDate>false</LinksUpToDate>
  <CharactersWithSpaces>11741</CharactersWithSpaces>
  <Application>WPS Office_11.8.2.9958_F1E327BC-269C-435d-A152-05C5408002CA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2024-12-07T10:52:00Z</dcterms:created>
  <dc:creator>买尔旦·木沙</dc:creator>
  <cp:lastModifiedBy>刘水清</cp:lastModifiedBy>
  <cp:lastPrinted>2025-03-11T11:29:00Z</cp:lastPrinted>
  <dcterms:modified xsi:type="dcterms:W3CDTF">2025-03-26T17:03:39Z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357218D9C7DC4E109D81F2A80F90088A</vt:lpwstr>
  </property>
</Properties>
</file>