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jc w:val="left"/>
        <w:textAlignment w:val="baseline"/>
        <w:rPr>
          <w:rFonts w:hint="default" w:ascii="方正黑体_GBK" w:hAnsi="方正黑体_GBK" w:eastAsia="方正黑体_GBK" w:cs="方正黑体_GBK"/>
          <w:b w:val="0"/>
          <w:bCs w:val="0"/>
          <w:snapToGrid w:val="0"/>
          <w:spacing w:val="-5"/>
          <w:kern w:val="0"/>
          <w:sz w:val="32"/>
          <w:szCs w:val="32"/>
          <w:lang w:val="en" w:eastAsia="zh-CN"/>
        </w:rPr>
      </w:pPr>
      <w:r>
        <w:rPr>
          <w:rFonts w:hint="eastAsia" w:ascii="方正黑体_GBK" w:hAnsi="方正黑体_GBK" w:eastAsia="方正黑体_GBK" w:cs="方正黑体_GBK"/>
          <w:b w:val="0"/>
          <w:bCs w:val="0"/>
          <w:snapToGrid w:val="0"/>
          <w:spacing w:val="-5"/>
          <w:kern w:val="0"/>
          <w:sz w:val="32"/>
          <w:szCs w:val="32"/>
          <w:lang w:eastAsia="zh-CN"/>
        </w:rPr>
        <w:t>附件</w:t>
      </w:r>
      <w:r>
        <w:rPr>
          <w:rFonts w:hint="default" w:ascii="方正黑体_GBK" w:hAnsi="方正黑体_GBK" w:eastAsia="方正黑体_GBK" w:cs="方正黑体_GBK"/>
          <w:b w:val="0"/>
          <w:bCs w:val="0"/>
          <w:snapToGrid w:val="0"/>
          <w:spacing w:val="-5"/>
          <w:kern w:val="0"/>
          <w:sz w:val="32"/>
          <w:szCs w:val="32"/>
          <w:lang w:val="en" w:eastAsia="zh-CN"/>
        </w:rPr>
        <w:t>2</w:t>
      </w: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napToGrid w:val="0"/>
          <w:spacing w:val="-5"/>
          <w:kern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napToGrid w:val="0"/>
          <w:spacing w:val="-5"/>
          <w:kern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napToGrid w:val="0"/>
          <w:spacing w:val="-5"/>
          <w:kern w:val="0"/>
          <w:sz w:val="44"/>
          <w:szCs w:val="44"/>
        </w:rPr>
      </w:pPr>
      <w:r>
        <w:rPr>
          <w:rFonts w:hint="eastAsia" w:ascii="方正小标宋_GBK" w:hAnsi="方正小标宋_GBK" w:eastAsia="方正小标宋_GBK" w:cs="方正小标宋_GBK"/>
          <w:b w:val="0"/>
          <w:bCs w:val="0"/>
          <w:snapToGrid w:val="0"/>
          <w:spacing w:val="-5"/>
          <w:kern w:val="0"/>
          <w:sz w:val="44"/>
          <w:szCs w:val="44"/>
        </w:rPr>
        <w:t>新疆维吾尔自治区农业经营主体能力提升</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napToGrid w:val="0"/>
          <w:spacing w:val="-5"/>
          <w:kern w:val="0"/>
          <w:sz w:val="44"/>
          <w:szCs w:val="44"/>
        </w:rPr>
      </w:pPr>
      <w:r>
        <w:rPr>
          <w:rFonts w:hint="eastAsia" w:ascii="方正小标宋_GBK" w:hAnsi="方正小标宋_GBK" w:eastAsia="方正小标宋_GBK" w:cs="方正小标宋_GBK"/>
          <w:b w:val="0"/>
          <w:bCs w:val="0"/>
          <w:snapToGrid w:val="0"/>
          <w:spacing w:val="-5"/>
          <w:kern w:val="0"/>
          <w:sz w:val="44"/>
          <w:szCs w:val="44"/>
        </w:rPr>
        <w:t>资金转移支付2024年度绩效自评报告</w:t>
      </w:r>
    </w:p>
    <w:p>
      <w:pPr>
        <w:widowControl/>
        <w:kinsoku w:val="0"/>
        <w:autoSpaceDE w:val="0"/>
        <w:autoSpaceDN w:val="0"/>
        <w:adjustRightInd w:val="0"/>
        <w:snapToGrid w:val="0"/>
        <w:jc w:val="center"/>
        <w:textAlignment w:val="baseline"/>
        <w:rPr>
          <w:rFonts w:eastAsia="方正小标宋_GBK"/>
          <w:snapToGrid w:val="0"/>
          <w:spacing w:val="-5"/>
          <w:kern w:val="0"/>
          <w:sz w:val="40"/>
          <w:szCs w:val="40"/>
        </w:rPr>
      </w:pPr>
    </w:p>
    <w:p>
      <w:pPr>
        <w:spacing w:line="540" w:lineRule="exact"/>
        <w:jc w:val="center"/>
        <w:rPr>
          <w:b/>
          <w:bCs/>
          <w:kern w:val="0"/>
          <w:szCs w:val="30"/>
        </w:rPr>
      </w:pPr>
    </w:p>
    <w:p>
      <w:pPr>
        <w:spacing w:line="540" w:lineRule="exact"/>
        <w:jc w:val="center"/>
        <w:rPr>
          <w:kern w:val="0"/>
          <w:szCs w:val="30"/>
        </w:rPr>
      </w:pPr>
    </w:p>
    <w:p>
      <w:pPr>
        <w:spacing w:line="540" w:lineRule="exact"/>
        <w:jc w:val="center"/>
        <w:rPr>
          <w:kern w:val="0"/>
          <w:szCs w:val="30"/>
        </w:rPr>
      </w:pPr>
    </w:p>
    <w:p>
      <w:pPr>
        <w:pStyle w:val="10"/>
        <w:ind w:left="600" w:firstLine="600"/>
        <w:rPr>
          <w:rFonts w:ascii="Times New Roman" w:hAnsi="Times New Roman"/>
          <w:kern w:val="0"/>
          <w:szCs w:val="30"/>
        </w:rPr>
      </w:pPr>
    </w:p>
    <w:p>
      <w:pPr>
        <w:pStyle w:val="10"/>
        <w:ind w:left="600" w:firstLine="600"/>
        <w:rPr>
          <w:rFonts w:ascii="Times New Roman" w:hAnsi="Times New Roman"/>
          <w:kern w:val="0"/>
          <w:szCs w:val="30"/>
        </w:rPr>
      </w:pPr>
    </w:p>
    <w:p>
      <w:pPr>
        <w:spacing w:line="540" w:lineRule="exact"/>
        <w:rPr>
          <w:kern w:val="0"/>
          <w:szCs w:val="30"/>
        </w:rPr>
      </w:pPr>
    </w:p>
    <w:p>
      <w:pPr>
        <w:spacing w:line="540" w:lineRule="exact"/>
        <w:rPr>
          <w:kern w:val="0"/>
          <w:szCs w:val="30"/>
        </w:rPr>
      </w:pPr>
    </w:p>
    <w:p>
      <w:pPr>
        <w:pStyle w:val="2"/>
        <w:rPr>
          <w:kern w:val="0"/>
          <w:szCs w:val="30"/>
        </w:rPr>
      </w:pPr>
    </w:p>
    <w:p>
      <w:pPr>
        <w:rPr>
          <w:kern w:val="0"/>
          <w:szCs w:val="30"/>
        </w:rPr>
      </w:pPr>
    </w:p>
    <w:p>
      <w:pPr>
        <w:pStyle w:val="2"/>
      </w:pPr>
    </w:p>
    <w:p>
      <w:pPr>
        <w:spacing w:line="700" w:lineRule="exact"/>
        <w:ind w:firstLine="642" w:firstLineChars="200"/>
        <w:jc w:val="left"/>
        <w:rPr>
          <w:kern w:val="0"/>
          <w:sz w:val="36"/>
          <w:szCs w:val="36"/>
        </w:rPr>
      </w:pPr>
      <w:r>
        <w:rPr>
          <w:b/>
          <w:bCs/>
          <w:color w:val="3F3F3F"/>
          <w:sz w:val="32"/>
        </w:rPr>
        <w:t>项目名称：</w:t>
      </w:r>
      <w:r>
        <w:rPr>
          <w:kern w:val="0"/>
          <w:sz w:val="36"/>
          <w:szCs w:val="36"/>
        </w:rPr>
        <w:t>农业经营主体能力提升资金</w:t>
      </w:r>
    </w:p>
    <w:p>
      <w:pPr>
        <w:spacing w:line="700" w:lineRule="exact"/>
        <w:ind w:firstLine="642" w:firstLineChars="200"/>
        <w:jc w:val="left"/>
        <w:rPr>
          <w:sz w:val="32"/>
          <w:szCs w:val="32"/>
        </w:rPr>
      </w:pPr>
      <w:r>
        <w:rPr>
          <w:b/>
          <w:bCs/>
          <w:color w:val="3F3F3F"/>
          <w:sz w:val="32"/>
        </w:rPr>
        <w:t>实施单位（公章）：</w:t>
      </w:r>
      <w:r>
        <w:rPr>
          <w:sz w:val="36"/>
          <w:szCs w:val="36"/>
        </w:rPr>
        <w:t>各地州市农业农村局</w:t>
      </w:r>
    </w:p>
    <w:p>
      <w:pPr>
        <w:spacing w:line="700" w:lineRule="exact"/>
        <w:ind w:firstLine="642" w:firstLineChars="200"/>
        <w:jc w:val="left"/>
        <w:rPr>
          <w:kern w:val="0"/>
          <w:sz w:val="36"/>
          <w:szCs w:val="36"/>
        </w:rPr>
      </w:pPr>
      <w:r>
        <w:rPr>
          <w:b/>
          <w:bCs/>
          <w:color w:val="3F3F3F"/>
          <w:sz w:val="32"/>
        </w:rPr>
        <w:t>主管部门（公章）：</w:t>
      </w:r>
      <w:r>
        <w:rPr>
          <w:kern w:val="0"/>
          <w:sz w:val="36"/>
          <w:szCs w:val="36"/>
        </w:rPr>
        <w:t>自治区农业农村厅</w:t>
      </w:r>
    </w:p>
    <w:p>
      <w:pPr>
        <w:spacing w:line="700" w:lineRule="exact"/>
        <w:ind w:firstLine="642" w:firstLineChars="200"/>
        <w:jc w:val="left"/>
        <w:rPr>
          <w:kern w:val="0"/>
          <w:sz w:val="32"/>
          <w:szCs w:val="32"/>
        </w:rPr>
      </w:pPr>
      <w:r>
        <w:rPr>
          <w:b/>
          <w:bCs/>
          <w:color w:val="3F3F3F"/>
          <w:sz w:val="32"/>
        </w:rPr>
        <w:t>项目负责人（签章）：</w:t>
      </w:r>
      <w:r>
        <w:rPr>
          <w:rFonts w:hint="default"/>
          <w:kern w:val="0"/>
          <w:sz w:val="36"/>
          <w:szCs w:val="36"/>
          <w:lang w:val="en-US" w:eastAsia="zh-CN"/>
        </w:rPr>
        <w:t>王盛、汤义武、刘英豪</w:t>
      </w:r>
    </w:p>
    <w:p>
      <w:pPr>
        <w:spacing w:line="700" w:lineRule="exact"/>
        <w:ind w:firstLine="642" w:firstLineChars="200"/>
        <w:jc w:val="left"/>
        <w:rPr>
          <w:kern w:val="0"/>
          <w:sz w:val="36"/>
          <w:szCs w:val="36"/>
        </w:rPr>
      </w:pPr>
      <w:r>
        <w:rPr>
          <w:b/>
          <w:bCs/>
          <w:color w:val="3F3F3F"/>
          <w:sz w:val="32"/>
        </w:rPr>
        <w:t>填报时间：</w:t>
      </w:r>
      <w:r>
        <w:rPr>
          <w:kern w:val="0"/>
          <w:sz w:val="36"/>
          <w:szCs w:val="36"/>
        </w:rPr>
        <w:t>202</w:t>
      </w:r>
      <w:r>
        <w:rPr>
          <w:rFonts w:hint="eastAsia"/>
          <w:kern w:val="0"/>
          <w:sz w:val="36"/>
          <w:szCs w:val="36"/>
        </w:rPr>
        <w:t>5</w:t>
      </w:r>
      <w:r>
        <w:rPr>
          <w:kern w:val="0"/>
          <w:sz w:val="36"/>
          <w:szCs w:val="36"/>
        </w:rPr>
        <w:t>年</w:t>
      </w:r>
      <w:r>
        <w:rPr>
          <w:rFonts w:hint="default"/>
          <w:kern w:val="0"/>
          <w:sz w:val="36"/>
          <w:szCs w:val="36"/>
          <w:lang w:val="en"/>
        </w:rPr>
        <w:t>3</w:t>
      </w:r>
      <w:r>
        <w:rPr>
          <w:kern w:val="0"/>
          <w:sz w:val="36"/>
          <w:szCs w:val="36"/>
        </w:rPr>
        <w:t>月</w:t>
      </w:r>
      <w:r>
        <w:rPr>
          <w:rFonts w:hint="default"/>
          <w:kern w:val="0"/>
          <w:sz w:val="36"/>
          <w:szCs w:val="36"/>
          <w:lang w:val="en"/>
        </w:rPr>
        <w:t>10</w:t>
      </w:r>
      <w:r>
        <w:rPr>
          <w:kern w:val="0"/>
          <w:sz w:val="36"/>
          <w:szCs w:val="36"/>
        </w:rPr>
        <w:t>日</w:t>
      </w:r>
    </w:p>
    <w:p>
      <w:pPr>
        <w:jc w:val="center"/>
        <w:rPr>
          <w:b/>
          <w:sz w:val="44"/>
          <w:szCs w:val="44"/>
        </w:rPr>
        <w:sectPr>
          <w:footerReference r:id="rId3"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napToGrid w:val="0"/>
          <w:spacing w:val="-5"/>
          <w:kern w:val="0"/>
          <w:sz w:val="44"/>
          <w:szCs w:val="44"/>
        </w:rPr>
      </w:pPr>
      <w:r>
        <w:rPr>
          <w:rFonts w:hint="eastAsia" w:ascii="方正小标宋_GBK" w:hAnsi="方正小标宋_GBK" w:eastAsia="方正小标宋_GBK" w:cs="方正小标宋_GBK"/>
          <w:b w:val="0"/>
          <w:bCs w:val="0"/>
          <w:snapToGrid w:val="0"/>
          <w:spacing w:val="-5"/>
          <w:kern w:val="0"/>
          <w:sz w:val="44"/>
          <w:szCs w:val="44"/>
        </w:rPr>
        <w:t>新疆维吾尔自治区农业经营主体能力提升</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napToGrid w:val="0"/>
          <w:spacing w:val="-5"/>
          <w:kern w:val="0"/>
          <w:sz w:val="44"/>
          <w:szCs w:val="44"/>
        </w:rPr>
      </w:pPr>
      <w:r>
        <w:rPr>
          <w:rFonts w:hint="eastAsia" w:ascii="方正小标宋_GBK" w:hAnsi="方正小标宋_GBK" w:eastAsia="方正小标宋_GBK" w:cs="方正小标宋_GBK"/>
          <w:b w:val="0"/>
          <w:bCs w:val="0"/>
          <w:snapToGrid w:val="0"/>
          <w:spacing w:val="-5"/>
          <w:kern w:val="0"/>
          <w:sz w:val="44"/>
          <w:szCs w:val="44"/>
        </w:rPr>
        <w:t>资金转移支付2024年度绩效自评报告</w:t>
      </w:r>
    </w:p>
    <w:p>
      <w:pPr>
        <w:spacing w:line="560" w:lineRule="exact"/>
        <w:ind w:firstLine="640" w:firstLineChars="200"/>
        <w:rPr>
          <w:bCs/>
          <w:sz w:val="32"/>
          <w:szCs w:val="32"/>
        </w:rPr>
      </w:pPr>
    </w:p>
    <w:p>
      <w:pPr>
        <w:spacing w:line="560" w:lineRule="exact"/>
        <w:ind w:firstLine="640" w:firstLineChars="200"/>
        <w:rPr>
          <w:bCs/>
          <w:sz w:val="32"/>
          <w:szCs w:val="32"/>
        </w:rPr>
      </w:pPr>
      <w:r>
        <w:rPr>
          <w:bCs/>
          <w:sz w:val="32"/>
          <w:szCs w:val="32"/>
        </w:rPr>
        <w:t>贯彻落实党中央全面实施预算绩效管理决策部署，根据</w:t>
      </w:r>
      <w:r>
        <w:rPr>
          <w:rFonts w:hint="eastAsia"/>
          <w:bCs/>
          <w:sz w:val="32"/>
          <w:szCs w:val="32"/>
        </w:rPr>
        <w:t>《</w:t>
      </w:r>
      <w:r>
        <w:rPr>
          <w:bCs/>
          <w:sz w:val="32"/>
          <w:szCs w:val="32"/>
        </w:rPr>
        <w:t>关于开展202</w:t>
      </w:r>
      <w:r>
        <w:rPr>
          <w:rFonts w:hint="eastAsia"/>
          <w:bCs/>
          <w:sz w:val="32"/>
          <w:szCs w:val="32"/>
        </w:rPr>
        <w:t>4</w:t>
      </w:r>
      <w:r>
        <w:rPr>
          <w:bCs/>
          <w:sz w:val="32"/>
          <w:szCs w:val="32"/>
        </w:rPr>
        <w:t>年度中央对地方转移支付预算执行情况绩效自评工作的通知》（财监〔202</w:t>
      </w:r>
      <w:r>
        <w:rPr>
          <w:rFonts w:hint="eastAsia"/>
          <w:bCs/>
          <w:sz w:val="32"/>
          <w:szCs w:val="32"/>
        </w:rPr>
        <w:t>5</w:t>
      </w:r>
      <w:r>
        <w:rPr>
          <w:bCs/>
          <w:sz w:val="32"/>
          <w:szCs w:val="32"/>
        </w:rPr>
        <w:t>〕</w:t>
      </w:r>
      <w:r>
        <w:rPr>
          <w:rFonts w:hint="eastAsia"/>
          <w:bCs/>
          <w:sz w:val="32"/>
          <w:szCs w:val="32"/>
        </w:rPr>
        <w:t>1</w:t>
      </w:r>
      <w:r>
        <w:rPr>
          <w:bCs/>
          <w:sz w:val="32"/>
          <w:szCs w:val="32"/>
        </w:rPr>
        <w:t>号），自治区农业农村厅高度重视，严格按规范要求组织开展了202</w:t>
      </w:r>
      <w:r>
        <w:rPr>
          <w:rFonts w:hint="eastAsia"/>
          <w:bCs/>
          <w:sz w:val="32"/>
          <w:szCs w:val="32"/>
        </w:rPr>
        <w:t>4</w:t>
      </w:r>
      <w:r>
        <w:rPr>
          <w:bCs/>
          <w:sz w:val="32"/>
          <w:szCs w:val="32"/>
        </w:rPr>
        <w:t>年度新疆农业经营主体能力提升中央补助资金绩效自评工作，现将自评情况报告如下：</w:t>
      </w:r>
    </w:p>
    <w:p>
      <w:pPr>
        <w:spacing w:line="560" w:lineRule="exact"/>
        <w:ind w:firstLine="640" w:firstLineChars="200"/>
        <w:rPr>
          <w:rFonts w:eastAsia="黑体"/>
          <w:bCs/>
          <w:sz w:val="32"/>
          <w:szCs w:val="32"/>
        </w:rPr>
      </w:pPr>
      <w:r>
        <w:rPr>
          <w:rFonts w:eastAsia="黑体"/>
          <w:bCs/>
          <w:sz w:val="32"/>
          <w:szCs w:val="32"/>
        </w:rPr>
        <w:t>一、绩效目标分解下达情况</w:t>
      </w:r>
    </w:p>
    <w:p>
      <w:pPr>
        <w:spacing w:line="560" w:lineRule="exact"/>
        <w:ind w:firstLine="642" w:firstLineChars="200"/>
        <w:outlineLvl w:val="0"/>
        <w:rPr>
          <w:rFonts w:eastAsia="楷体"/>
          <w:b/>
          <w:bCs/>
          <w:sz w:val="32"/>
          <w:szCs w:val="32"/>
        </w:rPr>
      </w:pPr>
      <w:r>
        <w:rPr>
          <w:rFonts w:eastAsia="楷体"/>
          <w:b/>
          <w:bCs/>
          <w:sz w:val="32"/>
          <w:szCs w:val="32"/>
        </w:rPr>
        <w:t>（一）中央下达农业经营主体能力提升专项转移支付预算和绩效目标情况</w:t>
      </w:r>
    </w:p>
    <w:p>
      <w:pPr>
        <w:spacing w:line="560" w:lineRule="exact"/>
        <w:ind w:firstLine="642" w:firstLineChars="200"/>
        <w:rPr>
          <w:b/>
          <w:bCs/>
          <w:sz w:val="32"/>
          <w:szCs w:val="32"/>
        </w:rPr>
      </w:pPr>
      <w:r>
        <w:rPr>
          <w:b/>
          <w:bCs/>
          <w:sz w:val="32"/>
          <w:szCs w:val="32"/>
        </w:rPr>
        <w:t>1、下达预算情况：</w:t>
      </w:r>
    </w:p>
    <w:p>
      <w:pPr>
        <w:pStyle w:val="10"/>
        <w:spacing w:after="0" w:line="560" w:lineRule="exact"/>
        <w:ind w:left="0" w:leftChars="0" w:firstLine="640"/>
        <w:rPr>
          <w:rFonts w:ascii="Times New Roman" w:hAnsi="Times New Roman"/>
          <w:sz w:val="32"/>
          <w:szCs w:val="32"/>
        </w:rPr>
      </w:pPr>
      <w:r>
        <w:rPr>
          <w:rFonts w:ascii="Times New Roman" w:hAnsi="Times New Roman"/>
          <w:sz w:val="32"/>
          <w:szCs w:val="32"/>
        </w:rPr>
        <w:t>202</w:t>
      </w:r>
      <w:r>
        <w:rPr>
          <w:rFonts w:hint="eastAsia" w:ascii="Times New Roman" w:hAnsi="Times New Roman"/>
          <w:sz w:val="32"/>
          <w:szCs w:val="32"/>
        </w:rPr>
        <w:t>4</w:t>
      </w:r>
      <w:r>
        <w:rPr>
          <w:rFonts w:ascii="Times New Roman" w:hAnsi="Times New Roman"/>
          <w:sz w:val="32"/>
          <w:szCs w:val="32"/>
        </w:rPr>
        <w:t>年度，财政部下达我区农业经营主体能力提升资金</w:t>
      </w:r>
      <w:r>
        <w:rPr>
          <w:rFonts w:hint="eastAsia" w:ascii="Times New Roman" w:hAnsi="Times New Roman"/>
          <w:sz w:val="32"/>
          <w:szCs w:val="32"/>
        </w:rPr>
        <w:t>71019</w:t>
      </w:r>
      <w:r>
        <w:rPr>
          <w:rFonts w:ascii="Times New Roman" w:hAnsi="Times New Roman"/>
          <w:sz w:val="32"/>
          <w:szCs w:val="32"/>
        </w:rPr>
        <w:t>万元，用于农业经营主体能力提升</w:t>
      </w:r>
      <w:r>
        <w:rPr>
          <w:rFonts w:hint="eastAsia" w:ascii="Times New Roman" w:hAnsi="Times New Roman"/>
          <w:sz w:val="32"/>
          <w:szCs w:val="32"/>
        </w:rPr>
        <w:t>。</w:t>
      </w:r>
      <w:r>
        <w:rPr>
          <w:rFonts w:ascii="Times New Roman" w:hAnsi="Times New Roman"/>
          <w:sz w:val="32"/>
          <w:szCs w:val="32"/>
        </w:rPr>
        <w:t>详细如下：</w:t>
      </w:r>
    </w:p>
    <w:p>
      <w:pPr>
        <w:pStyle w:val="9"/>
        <w:ind w:firstLine="640" w:firstLineChars="200"/>
        <w:rPr>
          <w:rFonts w:hint="eastAsia"/>
          <w:lang w:val="en-US"/>
        </w:rPr>
      </w:pPr>
      <w:r>
        <w:rPr>
          <w:rFonts w:hint="eastAsia" w:ascii="Times New Roman" w:hAnsi="Times New Roman" w:eastAsia="仿宋_GB2312" w:cs="Times New Roman"/>
          <w:sz w:val="32"/>
          <w:lang w:val="en-US" w:bidi="ar-SA"/>
        </w:rPr>
        <w:t>2023年11月《财政部关于提前下达2024年农业相关转移支付资金预算的通知》（财农〔2023〕87号）下达52201万元。2024年4月《财政部关于下达2024年农业经营主体能力提升资金预算的通知》（财农〔2024〕17号）下达18818万元。</w:t>
      </w:r>
    </w:p>
    <w:p>
      <w:pPr>
        <w:spacing w:line="560" w:lineRule="exact"/>
        <w:ind w:firstLine="642" w:firstLineChars="200"/>
        <w:rPr>
          <w:b/>
          <w:bCs/>
          <w:sz w:val="32"/>
          <w:szCs w:val="32"/>
        </w:rPr>
      </w:pPr>
      <w:r>
        <w:rPr>
          <w:b/>
          <w:bCs/>
          <w:sz w:val="32"/>
          <w:szCs w:val="32"/>
        </w:rPr>
        <w:t>2、下达绩效目标情况：</w:t>
      </w:r>
    </w:p>
    <w:p>
      <w:pPr>
        <w:pStyle w:val="10"/>
        <w:spacing w:after="0" w:line="560" w:lineRule="exact"/>
        <w:ind w:left="0" w:leftChars="0" w:firstLine="640"/>
        <w:rPr>
          <w:rFonts w:ascii="Times New Roman" w:hAnsi="Times New Roman" w:eastAsia="宋体"/>
          <w:b/>
          <w:bCs/>
          <w:spacing w:val="-8"/>
          <w:sz w:val="23"/>
          <w:szCs w:val="23"/>
        </w:rPr>
      </w:pPr>
      <w:r>
        <w:rPr>
          <w:rFonts w:ascii="Times New Roman" w:hAnsi="Times New Roman"/>
          <w:sz w:val="32"/>
          <w:szCs w:val="32"/>
        </w:rPr>
        <w:t>财政部随文下达新疆区域绩效目标，情况详见下表</w:t>
      </w:r>
      <w:r>
        <w:rPr>
          <w:rFonts w:ascii="Times New Roman" w:hAnsi="Times New Roman"/>
          <w:color w:val="000000"/>
        </w:rPr>
        <w:t>：</w:t>
      </w:r>
    </w:p>
    <w:p>
      <w:pPr>
        <w:rPr>
          <w:rFonts w:eastAsia="宋体"/>
          <w:b/>
          <w:bCs/>
          <w:spacing w:val="-8"/>
          <w:sz w:val="23"/>
          <w:szCs w:val="23"/>
        </w:rPr>
      </w:pPr>
      <w:r>
        <w:rPr>
          <w:rFonts w:eastAsia="宋体"/>
          <w:b/>
          <w:bCs/>
          <w:spacing w:val="-8"/>
          <w:sz w:val="23"/>
          <w:szCs w:val="23"/>
        </w:rPr>
        <w:br w:type="page"/>
      </w:r>
    </w:p>
    <w:p>
      <w:pPr>
        <w:spacing w:before="107" w:line="209" w:lineRule="auto"/>
        <w:jc w:val="center"/>
        <w:outlineLvl w:val="0"/>
        <w:rPr>
          <w:rFonts w:eastAsia="宋体"/>
          <w:sz w:val="23"/>
          <w:szCs w:val="23"/>
        </w:rPr>
      </w:pPr>
      <w:r>
        <w:rPr>
          <w:rFonts w:eastAsia="宋体"/>
          <w:b/>
          <w:bCs/>
          <w:spacing w:val="-8"/>
          <w:sz w:val="23"/>
          <w:szCs w:val="23"/>
        </w:rPr>
        <w:t>农业经营主体能力提升资金区域绩效目标表</w:t>
      </w:r>
    </w:p>
    <w:p>
      <w:pPr>
        <w:spacing w:line="219" w:lineRule="auto"/>
        <w:ind w:left="4098"/>
        <w:outlineLvl w:val="0"/>
        <w:rPr>
          <w:rFonts w:eastAsia="宋体"/>
          <w:b/>
          <w:bCs/>
          <w:spacing w:val="2"/>
          <w:sz w:val="22"/>
          <w:szCs w:val="22"/>
        </w:rPr>
      </w:pPr>
      <w:r>
        <w:rPr>
          <w:rFonts w:eastAsia="宋体"/>
          <w:b/>
          <w:bCs/>
          <w:spacing w:val="2"/>
          <w:sz w:val="22"/>
          <w:szCs w:val="22"/>
        </w:rPr>
        <w:t>(202</w:t>
      </w:r>
      <w:r>
        <w:rPr>
          <w:rFonts w:hint="eastAsia" w:eastAsia="宋体"/>
          <w:b/>
          <w:bCs/>
          <w:spacing w:val="2"/>
          <w:sz w:val="22"/>
          <w:szCs w:val="22"/>
        </w:rPr>
        <w:t>4</w:t>
      </w:r>
      <w:r>
        <w:rPr>
          <w:rFonts w:eastAsia="宋体"/>
          <w:b/>
          <w:bCs/>
          <w:spacing w:val="2"/>
          <w:sz w:val="22"/>
          <w:szCs w:val="22"/>
        </w:rPr>
        <w:t>年度）</w:t>
      </w:r>
    </w:p>
    <w:tbl>
      <w:tblPr>
        <w:tblStyle w:val="14"/>
        <w:tblW w:w="8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4"/>
        <w:gridCol w:w="829"/>
        <w:gridCol w:w="1518"/>
        <w:gridCol w:w="3766"/>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6837" w:type="dxa"/>
            <w:gridSpan w:val="4"/>
            <w:vAlign w:val="center"/>
          </w:tcPr>
          <w:p>
            <w:pPr>
              <w:spacing w:before="112" w:line="221" w:lineRule="auto"/>
              <w:ind w:left="3094"/>
              <w:rPr>
                <w:rFonts w:eastAsia="宋体"/>
                <w:sz w:val="16"/>
                <w:szCs w:val="16"/>
              </w:rPr>
            </w:pPr>
            <w:r>
              <w:rPr>
                <w:rFonts w:eastAsia="宋体"/>
                <w:spacing w:val="2"/>
                <w:sz w:val="16"/>
                <w:szCs w:val="16"/>
              </w:rPr>
              <w:t>资金名称</w:t>
            </w:r>
          </w:p>
        </w:tc>
        <w:tc>
          <w:tcPr>
            <w:tcW w:w="1963" w:type="dxa"/>
            <w:vAlign w:val="center"/>
          </w:tcPr>
          <w:p>
            <w:pPr>
              <w:spacing w:before="111" w:line="219" w:lineRule="auto"/>
              <w:ind w:left="17"/>
              <w:rPr>
                <w:rFonts w:eastAsia="宋体"/>
                <w:sz w:val="16"/>
                <w:szCs w:val="16"/>
              </w:rPr>
            </w:pPr>
            <w:r>
              <w:rPr>
                <w:rFonts w:eastAsia="宋体"/>
                <w:spacing w:val="-1"/>
                <w:sz w:val="16"/>
                <w:szCs w:val="16"/>
              </w:rPr>
              <w:t>农业经营主体能力提升资金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jc w:val="center"/>
        </w:trPr>
        <w:tc>
          <w:tcPr>
            <w:tcW w:w="6837" w:type="dxa"/>
            <w:gridSpan w:val="4"/>
            <w:vAlign w:val="center"/>
          </w:tcPr>
          <w:p>
            <w:pPr>
              <w:spacing w:before="107" w:line="219" w:lineRule="auto"/>
              <w:ind w:left="2935"/>
              <w:rPr>
                <w:rFonts w:eastAsia="宋体"/>
                <w:sz w:val="16"/>
                <w:szCs w:val="16"/>
              </w:rPr>
            </w:pPr>
            <w:r>
              <w:rPr>
                <w:rFonts w:eastAsia="宋体"/>
                <w:spacing w:val="3"/>
                <w:sz w:val="16"/>
                <w:szCs w:val="16"/>
              </w:rPr>
              <w:t>中央主管部门</w:t>
            </w:r>
          </w:p>
        </w:tc>
        <w:tc>
          <w:tcPr>
            <w:tcW w:w="1963" w:type="dxa"/>
            <w:vAlign w:val="center"/>
          </w:tcPr>
          <w:p>
            <w:pPr>
              <w:spacing w:before="106" w:line="219" w:lineRule="auto"/>
              <w:ind w:left="258"/>
              <w:rPr>
                <w:rFonts w:eastAsia="宋体"/>
                <w:sz w:val="16"/>
                <w:szCs w:val="16"/>
              </w:rPr>
            </w:pPr>
            <w:r>
              <w:rPr>
                <w:rFonts w:eastAsia="宋体"/>
                <w:spacing w:val="-1"/>
                <w:sz w:val="16"/>
                <w:szCs w:val="16"/>
              </w:rPr>
              <w:t>财政部、农业农村部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jc w:val="center"/>
        </w:trPr>
        <w:tc>
          <w:tcPr>
            <w:tcW w:w="6837" w:type="dxa"/>
            <w:gridSpan w:val="4"/>
            <w:vAlign w:val="center"/>
          </w:tcPr>
          <w:p>
            <w:pPr>
              <w:spacing w:before="107" w:line="219" w:lineRule="auto"/>
              <w:ind w:left="2935"/>
              <w:rPr>
                <w:rFonts w:eastAsia="宋体"/>
                <w:sz w:val="16"/>
                <w:szCs w:val="16"/>
              </w:rPr>
            </w:pPr>
            <w:r>
              <w:rPr>
                <w:rFonts w:eastAsia="宋体"/>
                <w:spacing w:val="3"/>
                <w:sz w:val="16"/>
                <w:szCs w:val="16"/>
              </w:rPr>
              <w:t>省级财政部门</w:t>
            </w:r>
          </w:p>
        </w:tc>
        <w:tc>
          <w:tcPr>
            <w:tcW w:w="1963" w:type="dxa"/>
            <w:vAlign w:val="center"/>
          </w:tcPr>
          <w:p>
            <w:pPr>
              <w:spacing w:before="108" w:line="220" w:lineRule="auto"/>
              <w:ind w:left="97"/>
              <w:rPr>
                <w:rFonts w:eastAsia="宋体"/>
                <w:sz w:val="16"/>
                <w:szCs w:val="16"/>
              </w:rPr>
            </w:pPr>
            <w:r>
              <w:rPr>
                <w:rFonts w:eastAsia="宋体"/>
                <w:spacing w:val="-1"/>
                <w:sz w:val="16"/>
                <w:szCs w:val="16"/>
              </w:rPr>
              <w:t>新疆维吾尔自治区财政厅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jc w:val="center"/>
        </w:trPr>
        <w:tc>
          <w:tcPr>
            <w:tcW w:w="6837" w:type="dxa"/>
            <w:gridSpan w:val="4"/>
            <w:tcBorders>
              <w:bottom w:val="single" w:color="auto" w:sz="4" w:space="0"/>
            </w:tcBorders>
            <w:vAlign w:val="center"/>
          </w:tcPr>
          <w:p>
            <w:pPr>
              <w:spacing w:before="108" w:line="219" w:lineRule="auto"/>
              <w:ind w:left="2935"/>
              <w:rPr>
                <w:rFonts w:eastAsia="宋体"/>
                <w:sz w:val="16"/>
                <w:szCs w:val="16"/>
              </w:rPr>
            </w:pPr>
            <w:r>
              <w:rPr>
                <w:rFonts w:eastAsia="宋体"/>
                <w:spacing w:val="3"/>
                <w:sz w:val="16"/>
                <w:szCs w:val="16"/>
              </w:rPr>
              <w:t>省级主管部门</w:t>
            </w:r>
          </w:p>
        </w:tc>
        <w:tc>
          <w:tcPr>
            <w:tcW w:w="1963" w:type="dxa"/>
            <w:tcBorders>
              <w:bottom w:val="single" w:color="auto" w:sz="4" w:space="0"/>
            </w:tcBorders>
            <w:vAlign w:val="center"/>
          </w:tcPr>
          <w:p>
            <w:pPr>
              <w:spacing w:before="8" w:line="203" w:lineRule="auto"/>
              <w:ind w:left="887" w:right="21" w:hanging="870"/>
              <w:jc w:val="center"/>
              <w:rPr>
                <w:rFonts w:eastAsia="宋体"/>
                <w:spacing w:val="-1"/>
                <w:sz w:val="16"/>
                <w:szCs w:val="16"/>
              </w:rPr>
            </w:pPr>
            <w:r>
              <w:rPr>
                <w:rFonts w:eastAsia="宋体"/>
                <w:spacing w:val="-1"/>
                <w:sz w:val="16"/>
                <w:szCs w:val="16"/>
              </w:rPr>
              <w:t>新疆维吾尔自治区</w:t>
            </w:r>
          </w:p>
          <w:p>
            <w:pPr>
              <w:spacing w:before="8" w:line="203" w:lineRule="auto"/>
              <w:ind w:left="887" w:right="21" w:hanging="870"/>
              <w:jc w:val="center"/>
              <w:rPr>
                <w:rFonts w:eastAsia="宋体"/>
                <w:sz w:val="16"/>
                <w:szCs w:val="16"/>
              </w:rPr>
            </w:pPr>
            <w:r>
              <w:rPr>
                <w:rFonts w:eastAsia="宋体"/>
                <w:spacing w:val="-1"/>
                <w:sz w:val="16"/>
                <w:szCs w:val="16"/>
              </w:rPr>
              <w:t>农业农村</w:t>
            </w:r>
            <w:r>
              <w:rPr>
                <w:rFonts w:eastAsia="宋体"/>
                <w:sz w:val="16"/>
                <w:szCs w:val="16"/>
              </w:rPr>
              <w:t>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jc w:val="center"/>
        </w:trPr>
        <w:tc>
          <w:tcPr>
            <w:tcW w:w="724" w:type="dxa"/>
            <w:vMerge w:val="restart"/>
            <w:tcBorders>
              <w:top w:val="single" w:color="auto" w:sz="4" w:space="0"/>
              <w:left w:val="single" w:color="auto" w:sz="4" w:space="0"/>
              <w:bottom w:val="single" w:color="auto" w:sz="4" w:space="0"/>
              <w:right w:val="single" w:color="auto" w:sz="4" w:space="0"/>
            </w:tcBorders>
            <w:vAlign w:val="center"/>
          </w:tcPr>
          <w:p>
            <w:pPr>
              <w:spacing w:before="52" w:line="220" w:lineRule="auto"/>
              <w:jc w:val="center"/>
              <w:rPr>
                <w:rFonts w:eastAsia="宋体"/>
                <w:sz w:val="16"/>
                <w:szCs w:val="16"/>
              </w:rPr>
            </w:pPr>
            <w:r>
              <w:rPr>
                <w:rFonts w:eastAsia="宋体"/>
                <w:spacing w:val="-3"/>
                <w:sz w:val="16"/>
                <w:szCs w:val="16"/>
              </w:rPr>
              <w:t>资金情况</w:t>
            </w:r>
          </w:p>
        </w:tc>
        <w:tc>
          <w:tcPr>
            <w:tcW w:w="6113" w:type="dxa"/>
            <w:gridSpan w:val="3"/>
            <w:tcBorders>
              <w:top w:val="single" w:color="auto" w:sz="4" w:space="0"/>
              <w:left w:val="single" w:color="auto" w:sz="4" w:space="0"/>
              <w:bottom w:val="single" w:color="auto" w:sz="4" w:space="0"/>
              <w:right w:val="single" w:color="auto" w:sz="4" w:space="0"/>
            </w:tcBorders>
          </w:tcPr>
          <w:p>
            <w:pPr>
              <w:spacing w:before="108" w:line="219" w:lineRule="auto"/>
              <w:ind w:left="2491"/>
              <w:rPr>
                <w:rFonts w:eastAsia="宋体"/>
                <w:sz w:val="16"/>
                <w:szCs w:val="16"/>
              </w:rPr>
            </w:pPr>
            <w:r>
              <w:rPr>
                <w:rFonts w:eastAsia="宋体"/>
                <w:spacing w:val="4"/>
                <w:sz w:val="16"/>
                <w:szCs w:val="16"/>
              </w:rPr>
              <w:t>年度金额</w:t>
            </w:r>
            <w:r>
              <w:rPr>
                <w:rFonts w:hint="eastAsia" w:eastAsia="宋体"/>
                <w:spacing w:val="4"/>
                <w:sz w:val="16"/>
                <w:szCs w:val="16"/>
              </w:rPr>
              <w:t>（</w:t>
            </w:r>
            <w:r>
              <w:rPr>
                <w:rFonts w:eastAsia="宋体"/>
                <w:spacing w:val="4"/>
                <w:sz w:val="16"/>
                <w:szCs w:val="16"/>
              </w:rPr>
              <w:t>万元</w:t>
            </w:r>
            <w:r>
              <w:rPr>
                <w:rFonts w:hint="eastAsia" w:eastAsia="宋体"/>
                <w:spacing w:val="4"/>
                <w:sz w:val="16"/>
                <w:szCs w:val="16"/>
              </w:rPr>
              <w:t>）</w:t>
            </w:r>
          </w:p>
        </w:tc>
        <w:tc>
          <w:tcPr>
            <w:tcW w:w="1963" w:type="dxa"/>
            <w:tcBorders>
              <w:top w:val="single" w:color="auto" w:sz="4" w:space="0"/>
              <w:left w:val="single" w:color="auto" w:sz="4" w:space="0"/>
              <w:bottom w:val="single" w:color="auto" w:sz="4" w:space="0"/>
              <w:right w:val="single" w:color="auto" w:sz="4" w:space="0"/>
            </w:tcBorders>
          </w:tcPr>
          <w:p>
            <w:pPr>
              <w:spacing w:before="149" w:line="184" w:lineRule="auto"/>
              <w:ind w:left="778"/>
              <w:rPr>
                <w:rFonts w:eastAsia="宋体"/>
                <w:sz w:val="16"/>
                <w:szCs w:val="16"/>
              </w:rPr>
            </w:pPr>
            <w:r>
              <w:rPr>
                <w:rFonts w:hint="eastAsia" w:eastAsia="宋体"/>
                <w:spacing w:val="-2"/>
                <w:sz w:val="16"/>
                <w:szCs w:val="16"/>
              </w:rPr>
              <w:t>71019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6113" w:type="dxa"/>
            <w:gridSpan w:val="3"/>
            <w:tcBorders>
              <w:top w:val="single" w:color="auto" w:sz="4" w:space="0"/>
              <w:left w:val="single" w:color="auto" w:sz="4" w:space="0"/>
              <w:bottom w:val="single" w:color="auto" w:sz="4" w:space="0"/>
              <w:right w:val="single" w:color="auto" w:sz="4" w:space="0"/>
            </w:tcBorders>
          </w:tcPr>
          <w:p>
            <w:pPr>
              <w:spacing w:before="110" w:line="220" w:lineRule="auto"/>
              <w:ind w:left="2491"/>
              <w:rPr>
                <w:rFonts w:eastAsia="宋体"/>
                <w:sz w:val="16"/>
                <w:szCs w:val="16"/>
              </w:rPr>
            </w:pPr>
            <w:r>
              <w:rPr>
                <w:rFonts w:eastAsia="宋体"/>
                <w:spacing w:val="-1"/>
                <w:sz w:val="16"/>
                <w:szCs w:val="16"/>
              </w:rPr>
              <w:t>其中：中央补助</w:t>
            </w:r>
          </w:p>
        </w:tc>
        <w:tc>
          <w:tcPr>
            <w:tcW w:w="1963" w:type="dxa"/>
            <w:tcBorders>
              <w:top w:val="single" w:color="auto" w:sz="4" w:space="0"/>
              <w:left w:val="single" w:color="auto" w:sz="4" w:space="0"/>
              <w:bottom w:val="single" w:color="auto" w:sz="4" w:space="0"/>
              <w:right w:val="single" w:color="auto" w:sz="4" w:space="0"/>
            </w:tcBorders>
          </w:tcPr>
          <w:p>
            <w:pPr>
              <w:spacing w:before="150" w:line="184" w:lineRule="auto"/>
              <w:ind w:left="778"/>
              <w:rPr>
                <w:rFonts w:eastAsia="宋体"/>
                <w:sz w:val="16"/>
                <w:szCs w:val="16"/>
              </w:rPr>
            </w:pPr>
            <w:r>
              <w:rPr>
                <w:rFonts w:hint="eastAsia" w:eastAsia="宋体"/>
                <w:spacing w:val="-2"/>
                <w:sz w:val="16"/>
                <w:szCs w:val="16"/>
              </w:rPr>
              <w:t>71019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6113" w:type="dxa"/>
            <w:gridSpan w:val="3"/>
            <w:tcBorders>
              <w:top w:val="single" w:color="auto" w:sz="4" w:space="0"/>
              <w:left w:val="single" w:color="auto" w:sz="4" w:space="0"/>
              <w:bottom w:val="single" w:color="auto" w:sz="4" w:space="0"/>
              <w:right w:val="single" w:color="auto" w:sz="4" w:space="0"/>
            </w:tcBorders>
          </w:tcPr>
          <w:p>
            <w:pPr>
              <w:spacing w:before="110" w:line="221" w:lineRule="auto"/>
              <w:ind w:left="2731"/>
              <w:rPr>
                <w:rFonts w:eastAsia="宋体"/>
                <w:sz w:val="16"/>
                <w:szCs w:val="16"/>
              </w:rPr>
            </w:pPr>
            <w:r>
              <w:rPr>
                <w:rFonts w:eastAsia="宋体"/>
                <w:spacing w:val="-2"/>
                <w:sz w:val="16"/>
                <w:szCs w:val="16"/>
              </w:rPr>
              <w:t>地方资金</w:t>
            </w:r>
          </w:p>
        </w:tc>
        <w:tc>
          <w:tcPr>
            <w:tcW w:w="1963" w:type="dxa"/>
            <w:tcBorders>
              <w:top w:val="single" w:color="auto" w:sz="4" w:space="0"/>
              <w:left w:val="single" w:color="auto" w:sz="4" w:space="0"/>
              <w:bottom w:val="single" w:color="auto" w:sz="4" w:space="0"/>
              <w:right w:val="single" w:color="auto" w:sz="4" w:space="0"/>
            </w:tcBorders>
          </w:tcPr>
          <w:p>
            <w:pPr>
              <w:pStyle w:val="13"/>
              <w:rPr>
                <w:rFonts w:hint="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724" w:type="dxa"/>
            <w:tcBorders>
              <w:top w:val="single" w:color="auto" w:sz="4" w:space="0"/>
              <w:left w:val="single" w:color="auto" w:sz="4" w:space="0"/>
              <w:bottom w:val="single" w:color="auto" w:sz="4" w:space="0"/>
              <w:right w:val="single" w:color="auto" w:sz="4" w:space="0"/>
            </w:tcBorders>
          </w:tcPr>
          <w:p>
            <w:pPr>
              <w:spacing w:before="110" w:line="219" w:lineRule="auto"/>
              <w:ind w:left="34"/>
              <w:rPr>
                <w:rFonts w:eastAsia="宋体"/>
                <w:sz w:val="16"/>
                <w:szCs w:val="16"/>
              </w:rPr>
            </w:pPr>
            <w:r>
              <w:rPr>
                <w:rFonts w:eastAsia="宋体"/>
                <w:spacing w:val="-2"/>
                <w:sz w:val="16"/>
                <w:szCs w:val="16"/>
              </w:rPr>
              <w:t>年度目标</w:t>
            </w:r>
          </w:p>
        </w:tc>
        <w:tc>
          <w:tcPr>
            <w:tcW w:w="8076" w:type="dxa"/>
            <w:gridSpan w:val="4"/>
            <w:tcBorders>
              <w:top w:val="single" w:color="auto" w:sz="4" w:space="0"/>
              <w:left w:val="single" w:color="auto" w:sz="4" w:space="0"/>
              <w:bottom w:val="single" w:color="auto" w:sz="4" w:space="0"/>
              <w:right w:val="single" w:color="auto" w:sz="4" w:space="0"/>
            </w:tcBorders>
          </w:tcPr>
          <w:p>
            <w:pPr>
              <w:spacing w:before="110" w:line="219" w:lineRule="auto"/>
              <w:ind w:left="1700"/>
              <w:rPr>
                <w:rFonts w:eastAsia="宋体"/>
                <w:sz w:val="16"/>
                <w:szCs w:val="16"/>
              </w:rPr>
            </w:pPr>
            <w:r>
              <w:rPr>
                <w:rFonts w:eastAsia="宋体"/>
                <w:sz w:val="16"/>
                <w:szCs w:val="16"/>
              </w:rPr>
              <w:t>按照相关规划或实施方案，结合地方实际支持农业经营主体能力提</w:t>
            </w:r>
            <w:r>
              <w:rPr>
                <w:rFonts w:eastAsia="宋体"/>
                <w:spacing w:val="-1"/>
                <w:sz w:val="16"/>
                <w:szCs w:val="16"/>
              </w:rPr>
              <w:t>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jc w:val="center"/>
        </w:trPr>
        <w:tc>
          <w:tcPr>
            <w:tcW w:w="724" w:type="dxa"/>
            <w:vMerge w:val="restart"/>
            <w:tcBorders>
              <w:top w:val="single" w:color="auto" w:sz="4" w:space="0"/>
              <w:left w:val="single" w:color="auto" w:sz="4" w:space="0"/>
              <w:bottom w:val="single" w:color="auto" w:sz="4" w:space="0"/>
              <w:right w:val="single" w:color="auto" w:sz="4" w:space="0"/>
            </w:tcBorders>
            <w:vAlign w:val="center"/>
          </w:tcPr>
          <w:p>
            <w:pPr>
              <w:spacing w:before="52" w:line="220" w:lineRule="auto"/>
              <w:ind w:left="34"/>
              <w:rPr>
                <w:rFonts w:eastAsia="宋体"/>
                <w:sz w:val="16"/>
                <w:szCs w:val="16"/>
              </w:rPr>
            </w:pPr>
            <w:r>
              <w:rPr>
                <w:rFonts w:eastAsia="宋体"/>
                <w:spacing w:val="-2"/>
                <w:sz w:val="16"/>
                <w:szCs w:val="16"/>
              </w:rPr>
              <w:t>绩效目标</w:t>
            </w:r>
          </w:p>
        </w:tc>
        <w:tc>
          <w:tcPr>
            <w:tcW w:w="829" w:type="dxa"/>
            <w:tcBorders>
              <w:top w:val="single" w:color="auto" w:sz="4" w:space="0"/>
              <w:left w:val="single" w:color="auto" w:sz="4" w:space="0"/>
              <w:bottom w:val="single" w:color="auto" w:sz="4" w:space="0"/>
              <w:right w:val="single" w:color="auto" w:sz="4" w:space="0"/>
            </w:tcBorders>
          </w:tcPr>
          <w:p>
            <w:pPr>
              <w:spacing w:before="109" w:line="220" w:lineRule="auto"/>
              <w:ind w:left="83"/>
              <w:rPr>
                <w:rFonts w:eastAsia="宋体"/>
                <w:sz w:val="16"/>
                <w:szCs w:val="16"/>
              </w:rPr>
            </w:pPr>
            <w:r>
              <w:rPr>
                <w:rFonts w:eastAsia="宋体"/>
                <w:b/>
                <w:bCs/>
                <w:spacing w:val="-4"/>
                <w:sz w:val="16"/>
                <w:szCs w:val="16"/>
              </w:rPr>
              <w:t>一级指标</w:t>
            </w:r>
          </w:p>
        </w:tc>
        <w:tc>
          <w:tcPr>
            <w:tcW w:w="1518" w:type="dxa"/>
            <w:tcBorders>
              <w:top w:val="single" w:color="auto" w:sz="4" w:space="0"/>
              <w:left w:val="single" w:color="auto" w:sz="4" w:space="0"/>
              <w:bottom w:val="single" w:color="auto" w:sz="4" w:space="0"/>
              <w:right w:val="single" w:color="auto" w:sz="4" w:space="0"/>
            </w:tcBorders>
          </w:tcPr>
          <w:p>
            <w:pPr>
              <w:spacing w:before="109" w:line="220" w:lineRule="auto"/>
              <w:ind w:left="434"/>
              <w:rPr>
                <w:rFonts w:eastAsia="宋体"/>
                <w:sz w:val="16"/>
                <w:szCs w:val="16"/>
              </w:rPr>
            </w:pPr>
            <w:r>
              <w:rPr>
                <w:rFonts w:eastAsia="宋体"/>
                <w:b/>
                <w:bCs/>
                <w:spacing w:val="-4"/>
                <w:sz w:val="16"/>
                <w:szCs w:val="16"/>
              </w:rPr>
              <w:t>二级指标</w:t>
            </w:r>
          </w:p>
        </w:tc>
        <w:tc>
          <w:tcPr>
            <w:tcW w:w="3766" w:type="dxa"/>
            <w:tcBorders>
              <w:top w:val="single" w:color="auto" w:sz="4" w:space="0"/>
              <w:left w:val="single" w:color="auto" w:sz="4" w:space="0"/>
              <w:bottom w:val="single" w:color="auto" w:sz="4" w:space="0"/>
              <w:right w:val="single" w:color="auto" w:sz="4" w:space="0"/>
            </w:tcBorders>
          </w:tcPr>
          <w:p>
            <w:pPr>
              <w:spacing w:before="109" w:line="220" w:lineRule="auto"/>
              <w:ind w:left="1586"/>
              <w:rPr>
                <w:rFonts w:eastAsia="宋体"/>
                <w:sz w:val="16"/>
                <w:szCs w:val="16"/>
              </w:rPr>
            </w:pPr>
            <w:r>
              <w:rPr>
                <w:rFonts w:eastAsia="宋体"/>
                <w:b/>
                <w:bCs/>
                <w:spacing w:val="-3"/>
                <w:sz w:val="16"/>
                <w:szCs w:val="16"/>
              </w:rPr>
              <w:t>三级指标</w:t>
            </w:r>
          </w:p>
        </w:tc>
        <w:tc>
          <w:tcPr>
            <w:tcW w:w="1963" w:type="dxa"/>
            <w:tcBorders>
              <w:top w:val="single" w:color="auto" w:sz="4" w:space="0"/>
              <w:left w:val="single" w:color="auto" w:sz="4" w:space="0"/>
              <w:bottom w:val="single" w:color="auto" w:sz="4" w:space="0"/>
              <w:right w:val="single" w:color="auto" w:sz="4" w:space="0"/>
            </w:tcBorders>
          </w:tcPr>
          <w:p>
            <w:pPr>
              <w:spacing w:before="109" w:line="219" w:lineRule="auto"/>
              <w:ind w:left="740"/>
              <w:rPr>
                <w:rFonts w:eastAsia="宋体"/>
                <w:sz w:val="16"/>
                <w:szCs w:val="16"/>
              </w:rPr>
            </w:pPr>
            <w:r>
              <w:rPr>
                <w:rFonts w:eastAsia="宋体"/>
                <w:b/>
                <w:bCs/>
                <w:spacing w:val="-4"/>
                <w:sz w:val="16"/>
                <w:szCs w:val="16"/>
              </w:rPr>
              <w:t>指标值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restart"/>
            <w:tcBorders>
              <w:top w:val="single" w:color="auto" w:sz="4" w:space="0"/>
              <w:left w:val="single" w:color="auto" w:sz="4" w:space="0"/>
              <w:bottom w:val="single" w:color="auto" w:sz="4" w:space="0"/>
              <w:right w:val="single" w:color="auto" w:sz="4" w:space="0"/>
            </w:tcBorders>
            <w:vAlign w:val="center"/>
          </w:tcPr>
          <w:p>
            <w:pPr>
              <w:spacing w:before="52" w:line="219" w:lineRule="auto"/>
              <w:jc w:val="center"/>
              <w:rPr>
                <w:rFonts w:eastAsia="宋体"/>
                <w:sz w:val="16"/>
                <w:szCs w:val="16"/>
              </w:rPr>
            </w:pPr>
            <w:r>
              <w:rPr>
                <w:rFonts w:eastAsia="宋体"/>
                <w:spacing w:val="-2"/>
                <w:sz w:val="16"/>
                <w:szCs w:val="16"/>
              </w:rPr>
              <w:t>产出指标</w:t>
            </w:r>
          </w:p>
        </w:tc>
        <w:tc>
          <w:tcPr>
            <w:tcW w:w="1518" w:type="dxa"/>
            <w:vMerge w:val="restart"/>
            <w:tcBorders>
              <w:top w:val="single" w:color="auto" w:sz="4" w:space="0"/>
              <w:left w:val="single" w:color="auto" w:sz="4" w:space="0"/>
              <w:bottom w:val="single" w:color="auto" w:sz="4" w:space="0"/>
              <w:right w:val="single" w:color="auto" w:sz="4" w:space="0"/>
            </w:tcBorders>
            <w:vAlign w:val="center"/>
          </w:tcPr>
          <w:p>
            <w:pPr>
              <w:spacing w:before="52" w:line="219" w:lineRule="auto"/>
              <w:jc w:val="center"/>
              <w:rPr>
                <w:rFonts w:eastAsia="宋体"/>
                <w:sz w:val="16"/>
                <w:szCs w:val="16"/>
              </w:rPr>
            </w:pPr>
            <w:r>
              <w:rPr>
                <w:rFonts w:eastAsia="宋体"/>
                <w:spacing w:val="-2"/>
                <w:sz w:val="16"/>
                <w:szCs w:val="16"/>
              </w:rPr>
              <w:t>数量指标</w:t>
            </w:r>
          </w:p>
        </w:tc>
        <w:tc>
          <w:tcPr>
            <w:tcW w:w="3766" w:type="dxa"/>
            <w:tcBorders>
              <w:top w:val="single" w:color="auto" w:sz="4" w:space="0"/>
              <w:left w:val="single" w:color="auto" w:sz="4" w:space="0"/>
              <w:bottom w:val="single" w:color="auto" w:sz="4" w:space="0"/>
              <w:right w:val="single" w:color="auto" w:sz="4" w:space="0"/>
            </w:tcBorders>
          </w:tcPr>
          <w:p>
            <w:pPr>
              <w:spacing w:before="111" w:line="219" w:lineRule="auto"/>
              <w:ind w:left="23"/>
              <w:rPr>
                <w:rFonts w:eastAsia="宋体"/>
                <w:sz w:val="16"/>
                <w:szCs w:val="16"/>
              </w:rPr>
            </w:pPr>
            <w:r>
              <w:rPr>
                <w:rFonts w:eastAsia="宋体"/>
                <w:spacing w:val="2"/>
                <w:sz w:val="16"/>
                <w:szCs w:val="16"/>
              </w:rPr>
              <w:t>支持的农民合作社数量</w:t>
            </w:r>
            <w:r>
              <w:rPr>
                <w:rFonts w:hint="eastAsia" w:eastAsia="宋体"/>
                <w:spacing w:val="2"/>
                <w:sz w:val="16"/>
                <w:szCs w:val="16"/>
              </w:rPr>
              <w:t>（</w:t>
            </w:r>
            <w:r>
              <w:rPr>
                <w:rFonts w:eastAsia="宋体"/>
                <w:spacing w:val="2"/>
                <w:sz w:val="16"/>
                <w:szCs w:val="16"/>
              </w:rPr>
              <w:t>个</w:t>
            </w:r>
            <w:r>
              <w:rPr>
                <w:rFonts w:hint="eastAsia" w:eastAsia="宋体"/>
                <w:spacing w:val="2"/>
                <w:sz w:val="16"/>
                <w:szCs w:val="16"/>
              </w:rPr>
              <w:t>）</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2" w:line="183" w:lineRule="auto"/>
              <w:ind w:left="858"/>
              <w:rPr>
                <w:rFonts w:eastAsia="宋体"/>
                <w:sz w:val="16"/>
                <w:szCs w:val="16"/>
              </w:rPr>
            </w:pPr>
            <w:r>
              <w:rPr>
                <w:rFonts w:hint="eastAsia" w:eastAsia="宋体"/>
                <w:spacing w:val="-3"/>
                <w:sz w:val="16"/>
                <w:szCs w:val="16"/>
              </w:rPr>
              <w:t>120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1518"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3766" w:type="dxa"/>
            <w:tcBorders>
              <w:top w:val="single" w:color="auto" w:sz="4" w:space="0"/>
              <w:left w:val="single" w:color="auto" w:sz="4" w:space="0"/>
              <w:bottom w:val="single" w:color="auto" w:sz="4" w:space="0"/>
              <w:right w:val="single" w:color="auto" w:sz="4" w:space="0"/>
            </w:tcBorders>
          </w:tcPr>
          <w:p>
            <w:pPr>
              <w:spacing w:before="111" w:line="219" w:lineRule="auto"/>
              <w:ind w:left="23"/>
              <w:rPr>
                <w:rFonts w:eastAsia="宋体"/>
                <w:sz w:val="16"/>
                <w:szCs w:val="16"/>
              </w:rPr>
            </w:pPr>
            <w:r>
              <w:rPr>
                <w:rFonts w:eastAsia="宋体"/>
                <w:spacing w:val="2"/>
                <w:sz w:val="16"/>
                <w:szCs w:val="16"/>
              </w:rPr>
              <w:t>支持的家庭农场数量</w:t>
            </w:r>
            <w:r>
              <w:rPr>
                <w:rFonts w:hint="eastAsia" w:eastAsia="宋体"/>
                <w:spacing w:val="2"/>
                <w:sz w:val="16"/>
                <w:szCs w:val="16"/>
              </w:rPr>
              <w:t>（</w:t>
            </w:r>
            <w:r>
              <w:rPr>
                <w:rFonts w:eastAsia="宋体"/>
                <w:spacing w:val="2"/>
                <w:sz w:val="16"/>
                <w:szCs w:val="16"/>
              </w:rPr>
              <w:t>个</w:t>
            </w:r>
            <w:r>
              <w:rPr>
                <w:rFonts w:hint="eastAsia" w:eastAsia="宋体"/>
                <w:spacing w:val="2"/>
                <w:sz w:val="16"/>
                <w:szCs w:val="16"/>
              </w:rPr>
              <w:t>）</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2" w:line="183" w:lineRule="auto"/>
              <w:ind w:left="858"/>
              <w:rPr>
                <w:rFonts w:eastAsia="宋体"/>
                <w:sz w:val="16"/>
                <w:szCs w:val="16"/>
              </w:rPr>
            </w:pPr>
            <w:r>
              <w:rPr>
                <w:rFonts w:hint="eastAsia" w:eastAsia="宋体"/>
                <w:spacing w:val="-2"/>
                <w:sz w:val="16"/>
                <w:szCs w:val="16"/>
              </w:rPr>
              <w:t>240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1518"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3766" w:type="dxa"/>
            <w:tcBorders>
              <w:top w:val="single" w:color="auto" w:sz="4" w:space="0"/>
              <w:left w:val="single" w:color="auto" w:sz="4" w:space="0"/>
              <w:bottom w:val="single" w:color="auto" w:sz="4" w:space="0"/>
              <w:right w:val="single" w:color="auto" w:sz="4" w:space="0"/>
            </w:tcBorders>
          </w:tcPr>
          <w:p>
            <w:pPr>
              <w:spacing w:before="112" w:line="219" w:lineRule="auto"/>
              <w:ind w:left="23"/>
              <w:rPr>
                <w:rFonts w:eastAsia="宋体"/>
                <w:sz w:val="16"/>
                <w:szCs w:val="16"/>
              </w:rPr>
            </w:pPr>
            <w:r>
              <w:rPr>
                <w:rFonts w:eastAsia="宋体"/>
                <w:spacing w:val="2"/>
                <w:sz w:val="16"/>
                <w:szCs w:val="16"/>
              </w:rPr>
              <w:t>培育奶业新型经营主体数量</w:t>
            </w:r>
            <w:r>
              <w:rPr>
                <w:rFonts w:hint="eastAsia" w:eastAsia="宋体"/>
                <w:spacing w:val="2"/>
                <w:sz w:val="16"/>
                <w:szCs w:val="16"/>
              </w:rPr>
              <w:t>（个）</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80" w:firstLineChars="550"/>
              <w:rPr>
                <w:rFonts w:eastAsia="宋体"/>
                <w:sz w:val="16"/>
                <w:szCs w:val="16"/>
              </w:rPr>
            </w:pPr>
            <w:r>
              <w:rPr>
                <w:rFonts w:hint="eastAsia" w:eastAsia="宋体"/>
                <w:sz w:val="16"/>
                <w:szCs w:val="16"/>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1518"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3766" w:type="dxa"/>
            <w:tcBorders>
              <w:top w:val="single" w:color="auto" w:sz="4" w:space="0"/>
              <w:left w:val="single" w:color="auto" w:sz="4" w:space="0"/>
              <w:bottom w:val="single" w:color="auto" w:sz="4" w:space="0"/>
              <w:right w:val="single" w:color="auto" w:sz="4" w:space="0"/>
            </w:tcBorders>
          </w:tcPr>
          <w:p>
            <w:pPr>
              <w:spacing w:before="112" w:line="219" w:lineRule="auto"/>
              <w:ind w:left="23"/>
              <w:rPr>
                <w:rFonts w:eastAsia="宋体"/>
                <w:sz w:val="16"/>
                <w:szCs w:val="16"/>
              </w:rPr>
            </w:pPr>
            <w:r>
              <w:rPr>
                <w:rFonts w:hint="eastAsia" w:eastAsia="宋体"/>
                <w:spacing w:val="2"/>
                <w:sz w:val="16"/>
                <w:szCs w:val="16"/>
              </w:rPr>
              <w:t>落实单产提升关键技术面积（万亩次）</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eastAsia="宋体"/>
                <w:sz w:val="16"/>
                <w:szCs w:val="16"/>
              </w:rPr>
            </w:pPr>
            <w:r>
              <w:rPr>
                <w:rFonts w:hint="eastAsia" w:eastAsia="宋体"/>
                <w:sz w:val="16"/>
                <w:szCs w:val="16"/>
              </w:rPr>
              <w:t>252.5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1518"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3766" w:type="dxa"/>
            <w:tcBorders>
              <w:top w:val="single" w:color="auto" w:sz="4" w:space="0"/>
              <w:left w:val="single" w:color="auto" w:sz="4" w:space="0"/>
              <w:bottom w:val="single" w:color="auto" w:sz="4" w:space="0"/>
              <w:right w:val="single" w:color="auto" w:sz="4" w:space="0"/>
            </w:tcBorders>
          </w:tcPr>
          <w:p>
            <w:pPr>
              <w:spacing w:before="111" w:line="219" w:lineRule="auto"/>
              <w:ind w:left="23"/>
              <w:rPr>
                <w:rFonts w:eastAsia="宋体"/>
                <w:sz w:val="16"/>
                <w:szCs w:val="16"/>
              </w:rPr>
            </w:pPr>
            <w:r>
              <w:rPr>
                <w:rFonts w:eastAsia="宋体"/>
                <w:spacing w:val="1"/>
                <w:sz w:val="16"/>
                <w:szCs w:val="16"/>
              </w:rPr>
              <w:t>乡村产业振兴带头人“头雁”培育数量</w:t>
            </w:r>
            <w:r>
              <w:rPr>
                <w:rFonts w:hint="eastAsia" w:eastAsia="宋体"/>
                <w:spacing w:val="1"/>
                <w:sz w:val="16"/>
                <w:szCs w:val="16"/>
              </w:rPr>
              <w:t>（</w:t>
            </w:r>
            <w:r>
              <w:rPr>
                <w:rFonts w:eastAsia="宋体"/>
                <w:spacing w:val="1"/>
                <w:sz w:val="16"/>
                <w:szCs w:val="16"/>
              </w:rPr>
              <w:t>人</w:t>
            </w:r>
            <w:r>
              <w:rPr>
                <w:rFonts w:hint="eastAsia" w:eastAsia="宋体"/>
                <w:spacing w:val="1"/>
                <w:sz w:val="16"/>
                <w:szCs w:val="16"/>
              </w:rPr>
              <w:t>）</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eastAsia" w:eastAsia="宋体"/>
                <w:sz w:val="16"/>
                <w:szCs w:val="16"/>
              </w:rPr>
            </w:pPr>
            <w:r>
              <w:rPr>
                <w:rFonts w:hint="eastAsia" w:eastAsia="宋体"/>
                <w:sz w:val="16"/>
                <w:szCs w:val="16"/>
              </w:rPr>
              <w:t>12458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1518"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3766" w:type="dxa"/>
            <w:tcBorders>
              <w:top w:val="single" w:color="auto" w:sz="4" w:space="0"/>
              <w:left w:val="single" w:color="auto" w:sz="4" w:space="0"/>
              <w:bottom w:val="single" w:color="auto" w:sz="4" w:space="0"/>
              <w:right w:val="single" w:color="auto" w:sz="4" w:space="0"/>
            </w:tcBorders>
          </w:tcPr>
          <w:p>
            <w:pPr>
              <w:spacing w:before="112" w:line="219" w:lineRule="auto"/>
              <w:ind w:left="23"/>
              <w:rPr>
                <w:rFonts w:eastAsia="宋体"/>
                <w:sz w:val="16"/>
                <w:szCs w:val="16"/>
              </w:rPr>
            </w:pPr>
            <w:r>
              <w:rPr>
                <w:rFonts w:hint="eastAsia" w:eastAsia="宋体"/>
                <w:spacing w:val="2"/>
                <w:sz w:val="16"/>
                <w:szCs w:val="16"/>
              </w:rPr>
              <w:t>学用贯通培育数量（</w:t>
            </w:r>
            <w:r>
              <w:rPr>
                <w:rFonts w:eastAsia="宋体"/>
                <w:spacing w:val="2"/>
                <w:sz w:val="16"/>
                <w:szCs w:val="16"/>
              </w:rPr>
              <w:t>人</w:t>
            </w:r>
            <w:r>
              <w:rPr>
                <w:rFonts w:hint="eastAsia" w:eastAsia="宋体"/>
                <w:spacing w:val="2"/>
                <w:sz w:val="16"/>
                <w:szCs w:val="16"/>
              </w:rPr>
              <w:t>）</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eastAsia" w:eastAsia="宋体"/>
                <w:sz w:val="16"/>
                <w:szCs w:val="16"/>
              </w:rPr>
            </w:pPr>
            <w:r>
              <w:rPr>
                <w:rFonts w:hint="eastAsia" w:eastAsia="宋体"/>
                <w:sz w:val="16"/>
                <w:szCs w:val="16"/>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1518"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3766" w:type="dxa"/>
            <w:tcBorders>
              <w:top w:val="single" w:color="auto" w:sz="4" w:space="0"/>
              <w:left w:val="single" w:color="auto" w:sz="4" w:space="0"/>
              <w:bottom w:val="single" w:color="auto" w:sz="4" w:space="0"/>
              <w:right w:val="single" w:color="auto" w:sz="4" w:space="0"/>
            </w:tcBorders>
          </w:tcPr>
          <w:p>
            <w:pPr>
              <w:spacing w:before="112" w:line="219" w:lineRule="auto"/>
              <w:ind w:left="23"/>
              <w:rPr>
                <w:rFonts w:eastAsia="宋体"/>
                <w:sz w:val="16"/>
                <w:szCs w:val="16"/>
              </w:rPr>
            </w:pPr>
            <w:r>
              <w:rPr>
                <w:rFonts w:eastAsia="宋体"/>
                <w:spacing w:val="1"/>
                <w:sz w:val="16"/>
                <w:szCs w:val="16"/>
              </w:rPr>
              <w:t>农村实用人才带头人示范培训数量</w:t>
            </w:r>
            <w:r>
              <w:rPr>
                <w:rFonts w:hint="eastAsia" w:eastAsia="宋体"/>
                <w:spacing w:val="2"/>
                <w:sz w:val="16"/>
                <w:szCs w:val="16"/>
              </w:rPr>
              <w:t>（</w:t>
            </w:r>
            <w:r>
              <w:rPr>
                <w:rFonts w:eastAsia="宋体"/>
                <w:spacing w:val="2"/>
                <w:sz w:val="16"/>
                <w:szCs w:val="16"/>
              </w:rPr>
              <w:t>个</w:t>
            </w:r>
            <w:r>
              <w:rPr>
                <w:rFonts w:hint="eastAsia" w:eastAsia="宋体"/>
                <w:spacing w:val="2"/>
                <w:sz w:val="16"/>
                <w:szCs w:val="16"/>
              </w:rPr>
              <w:t>）</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eastAsia" w:eastAsia="宋体"/>
                <w:sz w:val="16"/>
                <w:szCs w:val="16"/>
              </w:rPr>
            </w:pPr>
            <w:r>
              <w:rPr>
                <w:rFonts w:hint="eastAsia" w:eastAsia="宋体"/>
                <w:sz w:val="16"/>
                <w:szCs w:val="16"/>
              </w:rPr>
              <w:t>900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1518"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3766" w:type="dxa"/>
            <w:tcBorders>
              <w:top w:val="single" w:color="auto" w:sz="4" w:space="0"/>
              <w:left w:val="single" w:color="auto" w:sz="4" w:space="0"/>
              <w:bottom w:val="single" w:color="auto" w:sz="4" w:space="0"/>
              <w:right w:val="single" w:color="auto" w:sz="4" w:space="0"/>
            </w:tcBorders>
          </w:tcPr>
          <w:p>
            <w:pPr>
              <w:spacing w:before="123" w:line="219" w:lineRule="auto"/>
              <w:ind w:left="23"/>
              <w:rPr>
                <w:rFonts w:eastAsia="宋体"/>
                <w:sz w:val="16"/>
                <w:szCs w:val="16"/>
              </w:rPr>
            </w:pPr>
            <w:r>
              <w:rPr>
                <w:rFonts w:eastAsia="宋体"/>
                <w:spacing w:val="1"/>
                <w:sz w:val="16"/>
                <w:szCs w:val="16"/>
              </w:rPr>
              <w:t>乡村产业振兴带头人“头雁”培育数量</w:t>
            </w:r>
            <w:r>
              <w:rPr>
                <w:rFonts w:hint="eastAsia" w:eastAsia="宋体"/>
                <w:spacing w:val="2"/>
                <w:sz w:val="16"/>
                <w:szCs w:val="16"/>
              </w:rPr>
              <w:t>（</w:t>
            </w:r>
            <w:r>
              <w:rPr>
                <w:rFonts w:eastAsia="宋体"/>
                <w:spacing w:val="2"/>
                <w:sz w:val="16"/>
                <w:szCs w:val="16"/>
              </w:rPr>
              <w:t>人</w:t>
            </w:r>
            <w:r>
              <w:rPr>
                <w:rFonts w:hint="eastAsia" w:eastAsia="宋体"/>
                <w:spacing w:val="2"/>
                <w:sz w:val="16"/>
                <w:szCs w:val="16"/>
              </w:rPr>
              <w:t>）</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eastAsia" w:eastAsia="宋体"/>
                <w:sz w:val="16"/>
                <w:szCs w:val="16"/>
              </w:rPr>
            </w:pPr>
            <w:r>
              <w:rPr>
                <w:rFonts w:hint="eastAsia" w:eastAsia="宋体"/>
                <w:sz w:val="16"/>
                <w:szCs w:val="16"/>
              </w:rPr>
              <w:t>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1518"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3766" w:type="dxa"/>
            <w:tcBorders>
              <w:top w:val="single" w:color="auto" w:sz="4" w:space="0"/>
              <w:left w:val="single" w:color="auto" w:sz="4" w:space="0"/>
              <w:bottom w:val="single" w:color="auto" w:sz="4" w:space="0"/>
              <w:right w:val="single" w:color="auto" w:sz="4" w:space="0"/>
            </w:tcBorders>
          </w:tcPr>
          <w:p>
            <w:pPr>
              <w:spacing w:before="123" w:line="219" w:lineRule="auto"/>
              <w:ind w:left="23"/>
              <w:rPr>
                <w:rFonts w:eastAsia="宋体"/>
                <w:sz w:val="16"/>
                <w:szCs w:val="16"/>
              </w:rPr>
            </w:pPr>
            <w:r>
              <w:rPr>
                <w:rFonts w:hint="eastAsia" w:eastAsia="宋体"/>
                <w:spacing w:val="2"/>
                <w:sz w:val="16"/>
                <w:szCs w:val="16"/>
              </w:rPr>
              <w:t>农业生产全程拖管服务面积（万亩）</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eastAsia" w:eastAsia="宋体"/>
                <w:sz w:val="16"/>
                <w:szCs w:val="16"/>
              </w:rPr>
            </w:pPr>
            <w:r>
              <w:rPr>
                <w:rFonts w:hint="eastAsia" w:eastAsia="宋体"/>
                <w:sz w:val="16"/>
                <w:szCs w:val="16"/>
              </w:rPr>
              <w:t>210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1518"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3766" w:type="dxa"/>
            <w:tcBorders>
              <w:top w:val="single" w:color="auto" w:sz="4" w:space="0"/>
              <w:left w:val="single" w:color="auto" w:sz="4" w:space="0"/>
              <w:bottom w:val="single" w:color="auto" w:sz="4" w:space="0"/>
              <w:right w:val="single" w:color="auto" w:sz="4" w:space="0"/>
            </w:tcBorders>
          </w:tcPr>
          <w:p>
            <w:pPr>
              <w:spacing w:before="114" w:line="219" w:lineRule="auto"/>
              <w:ind w:left="23"/>
              <w:rPr>
                <w:rFonts w:eastAsia="宋体"/>
                <w:sz w:val="16"/>
                <w:szCs w:val="16"/>
              </w:rPr>
            </w:pPr>
            <w:r>
              <w:rPr>
                <w:rFonts w:hint="eastAsia" w:eastAsia="宋体"/>
                <w:spacing w:val="1"/>
                <w:sz w:val="16"/>
                <w:szCs w:val="16"/>
              </w:rPr>
              <w:t>其中：供销社承担的农业生产全程托管任务面积（万亩）</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default" w:eastAsia="宋体"/>
                <w:sz w:val="16"/>
                <w:szCs w:val="16"/>
                <w:lang w:val="en-US" w:eastAsia="zh-CN"/>
              </w:rPr>
            </w:pPr>
            <w:r>
              <w:rPr>
                <w:rFonts w:hint="eastAsia" w:eastAsia="宋体"/>
                <w:sz w:val="16"/>
                <w:szCs w:val="16"/>
                <w:lang w:val="en-US" w:eastAsia="zh-CN"/>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1518" w:type="dxa"/>
            <w:vMerge w:val="continue"/>
            <w:tcBorders>
              <w:top w:val="single" w:color="auto" w:sz="4" w:space="0"/>
              <w:left w:val="single" w:color="auto" w:sz="4" w:space="0"/>
              <w:bottom w:val="single" w:color="auto" w:sz="4" w:space="0"/>
              <w:right w:val="single" w:color="auto" w:sz="4" w:space="0"/>
            </w:tcBorders>
            <w:vAlign w:val="center"/>
          </w:tcPr>
          <w:p>
            <w:pPr>
              <w:spacing w:before="52" w:line="220" w:lineRule="auto"/>
              <w:jc w:val="center"/>
              <w:rPr>
                <w:rFonts w:eastAsia="宋体"/>
                <w:sz w:val="16"/>
                <w:szCs w:val="16"/>
              </w:rPr>
            </w:pPr>
          </w:p>
        </w:tc>
        <w:tc>
          <w:tcPr>
            <w:tcW w:w="3766" w:type="dxa"/>
            <w:tcBorders>
              <w:top w:val="single" w:color="auto" w:sz="4" w:space="0"/>
              <w:left w:val="single" w:color="auto" w:sz="4" w:space="0"/>
              <w:bottom w:val="single" w:color="auto" w:sz="4" w:space="0"/>
              <w:right w:val="single" w:color="auto" w:sz="4" w:space="0"/>
            </w:tcBorders>
          </w:tcPr>
          <w:p>
            <w:pPr>
              <w:spacing w:before="115" w:line="219" w:lineRule="auto"/>
              <w:ind w:left="23"/>
              <w:rPr>
                <w:rFonts w:eastAsia="宋体"/>
                <w:sz w:val="16"/>
                <w:szCs w:val="16"/>
              </w:rPr>
            </w:pPr>
            <w:r>
              <w:rPr>
                <w:rFonts w:hint="eastAsia" w:eastAsia="宋体"/>
                <w:sz w:val="16"/>
                <w:szCs w:val="16"/>
              </w:rPr>
              <w:t>基层农</w:t>
            </w:r>
            <w:r>
              <w:rPr>
                <w:rFonts w:hint="eastAsia" w:eastAsia="宋体"/>
                <w:sz w:val="16"/>
                <w:szCs w:val="16"/>
                <w:lang w:val="en-US" w:eastAsia="zh-CN"/>
              </w:rPr>
              <w:t>技</w:t>
            </w:r>
            <w:r>
              <w:rPr>
                <w:rFonts w:hint="eastAsia" w:eastAsia="宋体"/>
                <w:sz w:val="16"/>
                <w:szCs w:val="16"/>
              </w:rPr>
              <w:t>人员培训数量（个）</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default" w:eastAsia="宋体"/>
                <w:sz w:val="16"/>
                <w:szCs w:val="16"/>
                <w:lang w:val="en-US" w:eastAsia="zh-CN"/>
              </w:rPr>
            </w:pPr>
            <w:r>
              <w:rPr>
                <w:rFonts w:hint="eastAsia" w:eastAsia="宋体"/>
                <w:sz w:val="16"/>
                <w:szCs w:val="16"/>
                <w:lang w:val="en-US" w:eastAsia="zh-CN"/>
              </w:rPr>
              <w:t>4000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1518"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3766" w:type="dxa"/>
            <w:tcBorders>
              <w:top w:val="single" w:color="auto" w:sz="4" w:space="0"/>
              <w:left w:val="single" w:color="auto" w:sz="4" w:space="0"/>
              <w:bottom w:val="single" w:color="auto" w:sz="4" w:space="0"/>
              <w:right w:val="single" w:color="auto" w:sz="4" w:space="0"/>
            </w:tcBorders>
          </w:tcPr>
          <w:p>
            <w:pPr>
              <w:spacing w:before="115" w:line="219" w:lineRule="auto"/>
              <w:ind w:left="23"/>
              <w:rPr>
                <w:rFonts w:eastAsia="宋体"/>
                <w:sz w:val="16"/>
                <w:szCs w:val="16"/>
              </w:rPr>
            </w:pPr>
            <w:r>
              <w:rPr>
                <w:rFonts w:hint="eastAsia" w:eastAsia="宋体"/>
                <w:sz w:val="16"/>
                <w:szCs w:val="16"/>
              </w:rPr>
              <w:t>农业科技示范展示基地数量（人）</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eastAsia" w:eastAsia="宋体"/>
                <w:sz w:val="16"/>
                <w:szCs w:val="16"/>
              </w:rPr>
            </w:pPr>
            <w:r>
              <w:rPr>
                <w:rFonts w:hint="eastAsia" w:eastAsia="宋体"/>
                <w:sz w:val="16"/>
                <w:szCs w:val="16"/>
              </w:rPr>
              <w:t>166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1518" w:type="dxa"/>
            <w:vMerge w:val="continue"/>
            <w:tcBorders>
              <w:top w:val="single" w:color="auto" w:sz="4" w:space="0"/>
              <w:left w:val="single" w:color="auto" w:sz="4" w:space="0"/>
              <w:bottom w:val="single" w:color="auto" w:sz="4" w:space="0"/>
              <w:right w:val="single" w:color="auto" w:sz="4" w:space="0"/>
            </w:tcBorders>
          </w:tcPr>
          <w:p>
            <w:pPr>
              <w:spacing w:before="114" w:line="219" w:lineRule="auto"/>
              <w:ind w:left="432"/>
              <w:rPr>
                <w:rFonts w:eastAsia="宋体"/>
                <w:sz w:val="16"/>
                <w:szCs w:val="16"/>
              </w:rPr>
            </w:pPr>
          </w:p>
        </w:tc>
        <w:tc>
          <w:tcPr>
            <w:tcW w:w="3766" w:type="dxa"/>
            <w:tcBorders>
              <w:top w:val="single" w:color="auto" w:sz="4" w:space="0"/>
              <w:left w:val="single" w:color="auto" w:sz="4" w:space="0"/>
              <w:bottom w:val="single" w:color="auto" w:sz="4" w:space="0"/>
              <w:right w:val="single" w:color="auto" w:sz="4" w:space="0"/>
            </w:tcBorders>
          </w:tcPr>
          <w:p>
            <w:pPr>
              <w:spacing w:before="114" w:line="219" w:lineRule="auto"/>
              <w:ind w:left="23"/>
              <w:rPr>
                <w:rFonts w:eastAsia="宋体"/>
                <w:sz w:val="16"/>
                <w:szCs w:val="16"/>
              </w:rPr>
            </w:pPr>
            <w:r>
              <w:rPr>
                <w:rFonts w:hint="eastAsia" w:eastAsia="宋体"/>
                <w:sz w:val="16"/>
                <w:szCs w:val="16"/>
              </w:rPr>
              <w:t>农药速测技术推广试点（个）</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eastAsia" w:eastAsia="宋体"/>
                <w:sz w:val="16"/>
                <w:szCs w:val="16"/>
              </w:rPr>
            </w:pPr>
            <w:r>
              <w:rPr>
                <w:rFonts w:hint="eastAsia" w:eastAsia="宋体"/>
                <w:sz w:val="16"/>
                <w:szCs w:val="16"/>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vAlign w:val="center"/>
          </w:tcPr>
          <w:p>
            <w:pPr>
              <w:spacing w:before="52" w:line="220" w:lineRule="auto"/>
              <w:jc w:val="center"/>
              <w:rPr>
                <w:rFonts w:eastAsia="宋体"/>
                <w:sz w:val="16"/>
                <w:szCs w:val="16"/>
              </w:rPr>
            </w:pPr>
          </w:p>
        </w:tc>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before="52" w:line="220" w:lineRule="auto"/>
              <w:jc w:val="center"/>
              <w:rPr>
                <w:rFonts w:eastAsia="宋体"/>
                <w:sz w:val="16"/>
                <w:szCs w:val="16"/>
              </w:rPr>
            </w:pPr>
            <w:r>
              <w:rPr>
                <w:rFonts w:eastAsia="宋体"/>
                <w:spacing w:val="-2"/>
                <w:sz w:val="16"/>
                <w:szCs w:val="16"/>
              </w:rPr>
              <w:t>质量指标</w:t>
            </w:r>
          </w:p>
        </w:tc>
        <w:tc>
          <w:tcPr>
            <w:tcW w:w="3766" w:type="dxa"/>
            <w:tcBorders>
              <w:top w:val="single" w:color="auto" w:sz="4" w:space="0"/>
              <w:left w:val="single" w:color="auto" w:sz="4" w:space="0"/>
              <w:bottom w:val="single" w:color="auto" w:sz="4" w:space="0"/>
              <w:right w:val="single" w:color="auto" w:sz="4" w:space="0"/>
            </w:tcBorders>
            <w:shd w:val="clear" w:color="auto" w:fill="auto"/>
          </w:tcPr>
          <w:p>
            <w:pPr>
              <w:spacing w:before="115" w:line="219" w:lineRule="auto"/>
              <w:ind w:left="23"/>
              <w:rPr>
                <w:rFonts w:eastAsia="宋体"/>
                <w:sz w:val="16"/>
                <w:szCs w:val="16"/>
              </w:rPr>
            </w:pPr>
            <w:r>
              <w:rPr>
                <w:rFonts w:eastAsia="宋体"/>
                <w:spacing w:val="-1"/>
                <w:sz w:val="16"/>
                <w:szCs w:val="16"/>
              </w:rPr>
              <w:t>新型农业经营主体生产设施条件</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eastAsia" w:eastAsia="宋体"/>
                <w:sz w:val="16"/>
                <w:szCs w:val="16"/>
              </w:rPr>
            </w:pPr>
            <w:r>
              <w:rPr>
                <w:rFonts w:hint="eastAsia" w:eastAsia="宋体"/>
                <w:sz w:val="16"/>
                <w:szCs w:val="16"/>
              </w:rPr>
              <w:t>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1518" w:type="dxa"/>
            <w:vMerge w:val="continue"/>
            <w:tcBorders>
              <w:top w:val="single" w:color="auto" w:sz="4" w:space="0"/>
              <w:left w:val="single" w:color="auto" w:sz="4" w:space="0"/>
              <w:bottom w:val="single" w:color="auto" w:sz="4" w:space="0"/>
              <w:right w:val="single" w:color="auto" w:sz="4" w:space="0"/>
            </w:tcBorders>
            <w:vAlign w:val="center"/>
          </w:tcPr>
          <w:p>
            <w:pPr>
              <w:spacing w:before="52" w:line="219" w:lineRule="auto"/>
              <w:jc w:val="center"/>
              <w:rPr>
                <w:rFonts w:eastAsia="宋体"/>
                <w:sz w:val="16"/>
                <w:szCs w:val="16"/>
              </w:rPr>
            </w:pPr>
          </w:p>
        </w:tc>
        <w:tc>
          <w:tcPr>
            <w:tcW w:w="3766" w:type="dxa"/>
            <w:tcBorders>
              <w:top w:val="single" w:color="auto" w:sz="4" w:space="0"/>
              <w:left w:val="single" w:color="auto" w:sz="4" w:space="0"/>
              <w:bottom w:val="single" w:color="auto" w:sz="4" w:space="0"/>
              <w:right w:val="single" w:color="auto" w:sz="4" w:space="0"/>
            </w:tcBorders>
            <w:shd w:val="clear" w:color="auto" w:fill="auto"/>
          </w:tcPr>
          <w:p>
            <w:pPr>
              <w:spacing w:before="115" w:line="219" w:lineRule="auto"/>
              <w:ind w:left="23"/>
              <w:rPr>
                <w:rFonts w:eastAsia="宋体"/>
                <w:sz w:val="16"/>
                <w:szCs w:val="16"/>
              </w:rPr>
            </w:pPr>
            <w:r>
              <w:rPr>
                <w:rFonts w:eastAsia="宋体"/>
                <w:spacing w:val="-1"/>
                <w:sz w:val="16"/>
                <w:szCs w:val="16"/>
              </w:rPr>
              <w:t>农业主推技术到位率</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eastAsia" w:eastAsia="宋体"/>
                <w:sz w:val="16"/>
                <w:szCs w:val="16"/>
                <w:lang w:val="en-US" w:eastAsia="zh-CN"/>
              </w:rPr>
            </w:pPr>
            <w:r>
              <w:rPr>
                <w:rFonts w:hint="eastAsia" w:eastAsia="宋体"/>
                <w:sz w:val="16"/>
                <w:szCs w:val="16"/>
              </w:rPr>
              <w:t>95%</w:t>
            </w:r>
            <w:r>
              <w:rPr>
                <w:rFonts w:hint="eastAsia" w:eastAsia="宋体"/>
                <w:sz w:val="16"/>
                <w:szCs w:val="16"/>
                <w:lang w:val="en-US" w:eastAsia="zh-CN"/>
              </w:rPr>
              <w:t>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7"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restart"/>
            <w:tcBorders>
              <w:top w:val="single" w:color="auto" w:sz="4" w:space="0"/>
              <w:left w:val="single" w:color="auto" w:sz="4" w:space="0"/>
              <w:bottom w:val="single" w:color="auto" w:sz="4" w:space="0"/>
              <w:right w:val="single" w:color="auto" w:sz="4" w:space="0"/>
            </w:tcBorders>
            <w:vAlign w:val="center"/>
          </w:tcPr>
          <w:p>
            <w:pPr>
              <w:spacing w:before="52" w:line="720" w:lineRule="auto"/>
              <w:jc w:val="center"/>
              <w:rPr>
                <w:rFonts w:eastAsia="宋体"/>
                <w:sz w:val="16"/>
                <w:szCs w:val="16"/>
              </w:rPr>
            </w:pPr>
            <w:r>
              <w:rPr>
                <w:rFonts w:eastAsia="宋体"/>
                <w:spacing w:val="-2"/>
                <w:sz w:val="16"/>
                <w:szCs w:val="16"/>
              </w:rPr>
              <w:t>产出指标</w:t>
            </w:r>
          </w:p>
        </w:tc>
        <w:tc>
          <w:tcPr>
            <w:tcW w:w="1518" w:type="dxa"/>
            <w:tcBorders>
              <w:top w:val="single" w:color="auto" w:sz="4" w:space="0"/>
              <w:left w:val="single" w:color="auto" w:sz="4" w:space="0"/>
              <w:bottom w:val="single" w:color="auto" w:sz="4" w:space="0"/>
              <w:right w:val="single" w:color="auto" w:sz="4" w:space="0"/>
            </w:tcBorders>
          </w:tcPr>
          <w:p>
            <w:pPr>
              <w:pStyle w:val="13"/>
              <w:rPr>
                <w:rFonts w:hint="eastAsia"/>
              </w:rPr>
            </w:pPr>
            <w:r>
              <w:rPr>
                <w:rFonts w:hint="eastAsia"/>
              </w:rPr>
              <w:t>经济效益指标</w:t>
            </w:r>
          </w:p>
        </w:tc>
        <w:tc>
          <w:tcPr>
            <w:tcW w:w="3766" w:type="dxa"/>
            <w:tcBorders>
              <w:top w:val="single" w:color="auto" w:sz="4" w:space="0"/>
              <w:left w:val="single" w:color="auto" w:sz="4" w:space="0"/>
              <w:bottom w:val="single" w:color="auto" w:sz="4" w:space="0"/>
              <w:right w:val="single" w:color="auto" w:sz="4" w:space="0"/>
            </w:tcBorders>
            <w:vAlign w:val="center"/>
          </w:tcPr>
          <w:p>
            <w:pPr>
              <w:spacing w:before="116" w:line="219" w:lineRule="auto"/>
              <w:ind w:left="23"/>
              <w:rPr>
                <w:rFonts w:eastAsia="宋体"/>
                <w:sz w:val="16"/>
                <w:szCs w:val="16"/>
              </w:rPr>
            </w:pPr>
            <w:r>
              <w:rPr>
                <w:rFonts w:hint="eastAsia" w:eastAsia="宋体"/>
                <w:sz w:val="16"/>
                <w:szCs w:val="16"/>
              </w:rPr>
              <w:t>项目区</w:t>
            </w:r>
            <w:r>
              <w:rPr>
                <w:rFonts w:hint="eastAsia" w:eastAsia="宋体"/>
                <w:sz w:val="16"/>
                <w:szCs w:val="16"/>
                <w:lang w:val="en-US" w:eastAsia="zh-CN"/>
              </w:rPr>
              <w:t>大豆</w:t>
            </w:r>
            <w:r>
              <w:rPr>
                <w:rFonts w:hint="eastAsia" w:eastAsia="宋体"/>
                <w:sz w:val="16"/>
                <w:szCs w:val="16"/>
              </w:rPr>
              <w:t>迎茬对产量的影响</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eastAsia" w:eastAsia="宋体"/>
                <w:sz w:val="16"/>
                <w:szCs w:val="16"/>
              </w:rPr>
            </w:pPr>
            <w:r>
              <w:rPr>
                <w:rFonts w:hint="eastAsia" w:eastAsia="宋体"/>
                <w:sz w:val="16"/>
                <w:szCs w:val="16"/>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1518" w:type="dxa"/>
            <w:vMerge w:val="restart"/>
            <w:tcBorders>
              <w:top w:val="single" w:color="auto" w:sz="4" w:space="0"/>
              <w:left w:val="single" w:color="auto" w:sz="4" w:space="0"/>
              <w:bottom w:val="single" w:color="auto" w:sz="4" w:space="0"/>
              <w:right w:val="single" w:color="auto" w:sz="4" w:space="0"/>
            </w:tcBorders>
            <w:vAlign w:val="center"/>
          </w:tcPr>
          <w:p>
            <w:pPr>
              <w:spacing w:before="52" w:line="720" w:lineRule="auto"/>
              <w:jc w:val="center"/>
              <w:rPr>
                <w:rFonts w:eastAsia="宋体"/>
                <w:spacing w:val="-2"/>
                <w:sz w:val="16"/>
                <w:szCs w:val="16"/>
              </w:rPr>
            </w:pPr>
          </w:p>
          <w:p>
            <w:pPr>
              <w:spacing w:before="52" w:line="720" w:lineRule="auto"/>
              <w:jc w:val="center"/>
              <w:rPr>
                <w:rFonts w:eastAsia="宋体"/>
                <w:sz w:val="16"/>
                <w:szCs w:val="16"/>
              </w:rPr>
            </w:pPr>
            <w:r>
              <w:rPr>
                <w:rFonts w:eastAsia="宋体"/>
                <w:spacing w:val="-2"/>
                <w:sz w:val="16"/>
                <w:szCs w:val="16"/>
              </w:rPr>
              <w:t>社会效益指标</w:t>
            </w:r>
          </w:p>
        </w:tc>
        <w:tc>
          <w:tcPr>
            <w:tcW w:w="3766" w:type="dxa"/>
            <w:tcBorders>
              <w:top w:val="single" w:color="auto" w:sz="4" w:space="0"/>
              <w:left w:val="single" w:color="auto" w:sz="4" w:space="0"/>
              <w:bottom w:val="single" w:color="auto" w:sz="4" w:space="0"/>
              <w:right w:val="single" w:color="auto" w:sz="4" w:space="0"/>
            </w:tcBorders>
          </w:tcPr>
          <w:p>
            <w:pPr>
              <w:spacing w:before="115" w:line="219" w:lineRule="auto"/>
              <w:ind w:left="23"/>
              <w:rPr>
                <w:rFonts w:eastAsia="宋体"/>
                <w:sz w:val="16"/>
                <w:szCs w:val="16"/>
              </w:rPr>
            </w:pPr>
            <w:r>
              <w:rPr>
                <w:rFonts w:hint="eastAsia" w:eastAsia="宋体"/>
                <w:sz w:val="16"/>
                <w:szCs w:val="16"/>
              </w:rPr>
              <w:t>规模主体单产提升项目县作物单产水平</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eastAsia" w:eastAsia="宋体"/>
                <w:sz w:val="16"/>
                <w:szCs w:val="16"/>
              </w:rPr>
            </w:pPr>
            <w:r>
              <w:rPr>
                <w:rFonts w:hint="eastAsia" w:eastAsia="宋体"/>
                <w:sz w:val="16"/>
                <w:szCs w:val="16"/>
              </w:rPr>
              <w:t>提升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before="52" w:line="220" w:lineRule="auto"/>
              <w:jc w:val="center"/>
              <w:rPr>
                <w:rFonts w:eastAsia="宋体"/>
                <w:sz w:val="16"/>
                <w:szCs w:val="16"/>
              </w:rPr>
            </w:pPr>
          </w:p>
        </w:tc>
        <w:tc>
          <w:tcPr>
            <w:tcW w:w="1518" w:type="dxa"/>
            <w:vMerge w:val="continue"/>
            <w:tcBorders>
              <w:top w:val="single" w:color="auto" w:sz="4" w:space="0"/>
              <w:left w:val="single" w:color="auto" w:sz="4" w:space="0"/>
              <w:bottom w:val="single" w:color="auto" w:sz="4" w:space="0"/>
              <w:right w:val="single" w:color="auto" w:sz="4" w:space="0"/>
            </w:tcBorders>
            <w:shd w:val="clear" w:color="auto" w:fill="auto"/>
          </w:tcPr>
          <w:p>
            <w:pPr>
              <w:spacing w:before="117" w:line="220" w:lineRule="auto"/>
              <w:ind w:left="271"/>
              <w:rPr>
                <w:rFonts w:eastAsia="宋体"/>
                <w:sz w:val="16"/>
                <w:szCs w:val="16"/>
              </w:rPr>
            </w:pPr>
          </w:p>
        </w:tc>
        <w:tc>
          <w:tcPr>
            <w:tcW w:w="3766" w:type="dxa"/>
            <w:tcBorders>
              <w:top w:val="single" w:color="auto" w:sz="4" w:space="0"/>
              <w:left w:val="single" w:color="auto" w:sz="4" w:space="0"/>
              <w:bottom w:val="single" w:color="auto" w:sz="4" w:space="0"/>
              <w:right w:val="single" w:color="auto" w:sz="4" w:space="0"/>
            </w:tcBorders>
            <w:shd w:val="clear" w:color="auto" w:fill="auto"/>
          </w:tcPr>
          <w:p>
            <w:pPr>
              <w:spacing w:before="116" w:line="219" w:lineRule="auto"/>
              <w:ind w:left="23"/>
              <w:rPr>
                <w:rFonts w:eastAsia="宋体"/>
                <w:sz w:val="16"/>
                <w:szCs w:val="16"/>
              </w:rPr>
            </w:pPr>
            <w:r>
              <w:rPr>
                <w:rFonts w:eastAsia="宋体"/>
                <w:spacing w:val="-1"/>
                <w:sz w:val="16"/>
                <w:szCs w:val="16"/>
              </w:rPr>
              <w:t>农业信贷担保业务规模</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eastAsia" w:eastAsia="宋体"/>
                <w:sz w:val="16"/>
                <w:szCs w:val="16"/>
              </w:rPr>
            </w:pPr>
            <w:r>
              <w:rPr>
                <w:rFonts w:hint="eastAsia" w:eastAsia="宋体"/>
                <w:sz w:val="16"/>
                <w:szCs w:val="16"/>
              </w:rPr>
              <w:t>稳健发展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shd w:val="clear" w:color="auto" w:fill="auto"/>
          </w:tcPr>
          <w:p>
            <w:pPr>
              <w:spacing w:before="116" w:line="219" w:lineRule="auto"/>
              <w:rPr>
                <w:rFonts w:eastAsia="宋体"/>
                <w:spacing w:val="-1"/>
                <w:sz w:val="16"/>
                <w:szCs w:val="16"/>
              </w:rPr>
            </w:pPr>
          </w:p>
        </w:tc>
        <w:tc>
          <w:tcPr>
            <w:tcW w:w="15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before="52" w:line="219" w:lineRule="auto"/>
              <w:jc w:val="center"/>
              <w:rPr>
                <w:rFonts w:eastAsia="宋体"/>
                <w:sz w:val="16"/>
                <w:szCs w:val="16"/>
              </w:rPr>
            </w:pPr>
          </w:p>
        </w:tc>
        <w:tc>
          <w:tcPr>
            <w:tcW w:w="3766" w:type="dxa"/>
            <w:tcBorders>
              <w:top w:val="single" w:color="auto" w:sz="4" w:space="0"/>
              <w:left w:val="single" w:color="auto" w:sz="4" w:space="0"/>
              <w:bottom w:val="single" w:color="auto" w:sz="4" w:space="0"/>
              <w:right w:val="single" w:color="auto" w:sz="4" w:space="0"/>
            </w:tcBorders>
            <w:shd w:val="clear" w:color="auto" w:fill="auto"/>
          </w:tcPr>
          <w:p>
            <w:pPr>
              <w:spacing w:before="116" w:line="219" w:lineRule="auto"/>
              <w:ind w:left="23"/>
              <w:rPr>
                <w:rFonts w:eastAsia="宋体"/>
                <w:sz w:val="16"/>
                <w:szCs w:val="16"/>
              </w:rPr>
            </w:pPr>
            <w:r>
              <w:rPr>
                <w:rFonts w:eastAsia="宋体"/>
                <w:sz w:val="16"/>
                <w:szCs w:val="16"/>
              </w:rPr>
              <w:t>资金使用重大违规违纪问题</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eastAsia" w:eastAsia="宋体"/>
                <w:sz w:val="16"/>
                <w:szCs w:val="16"/>
              </w:rPr>
            </w:pPr>
            <w:r>
              <w:rPr>
                <w:rFonts w:hint="eastAsia" w:eastAsia="宋体"/>
                <w:sz w:val="16"/>
                <w:szCs w:val="16"/>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shd w:val="clear" w:color="auto" w:fill="auto"/>
          </w:tcPr>
          <w:p>
            <w:pPr>
              <w:spacing w:before="116" w:line="219" w:lineRule="auto"/>
              <w:rPr>
                <w:rFonts w:eastAsia="宋体"/>
                <w:spacing w:val="-1"/>
                <w:sz w:val="16"/>
                <w:szCs w:val="16"/>
              </w:rPr>
            </w:pPr>
          </w:p>
        </w:tc>
        <w:tc>
          <w:tcPr>
            <w:tcW w:w="1518" w:type="dxa"/>
            <w:vMerge w:val="continue"/>
            <w:tcBorders>
              <w:top w:val="single" w:color="auto" w:sz="4" w:space="0"/>
              <w:left w:val="single" w:color="auto" w:sz="4" w:space="0"/>
              <w:bottom w:val="single" w:color="auto" w:sz="4" w:space="0"/>
              <w:right w:val="single" w:color="auto" w:sz="4" w:space="0"/>
            </w:tcBorders>
            <w:shd w:val="clear" w:color="auto" w:fill="auto"/>
          </w:tcPr>
          <w:p>
            <w:pPr>
              <w:spacing w:before="116" w:line="219" w:lineRule="auto"/>
              <w:ind w:left="31"/>
              <w:rPr>
                <w:rFonts w:eastAsia="宋体"/>
                <w:spacing w:val="-1"/>
                <w:sz w:val="16"/>
                <w:szCs w:val="16"/>
              </w:rPr>
            </w:pPr>
          </w:p>
        </w:tc>
        <w:tc>
          <w:tcPr>
            <w:tcW w:w="3766" w:type="dxa"/>
            <w:tcBorders>
              <w:top w:val="single" w:color="auto" w:sz="4" w:space="0"/>
              <w:left w:val="single" w:color="auto" w:sz="4" w:space="0"/>
              <w:bottom w:val="single" w:color="auto" w:sz="4" w:space="0"/>
              <w:right w:val="single" w:color="auto" w:sz="4" w:space="0"/>
            </w:tcBorders>
            <w:shd w:val="clear" w:color="auto" w:fill="auto"/>
          </w:tcPr>
          <w:p>
            <w:pPr>
              <w:spacing w:before="116" w:line="219" w:lineRule="auto"/>
              <w:ind w:left="23"/>
              <w:rPr>
                <w:rFonts w:eastAsia="宋体"/>
                <w:sz w:val="16"/>
                <w:szCs w:val="16"/>
              </w:rPr>
            </w:pPr>
            <w:r>
              <w:rPr>
                <w:rFonts w:hint="eastAsia" w:eastAsia="宋体"/>
                <w:sz w:val="16"/>
                <w:szCs w:val="16"/>
              </w:rPr>
              <w:t>绿色种养循环发展有效机制</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eastAsia" w:eastAsia="宋体"/>
                <w:sz w:val="16"/>
                <w:szCs w:val="16"/>
              </w:rPr>
            </w:pPr>
            <w:r>
              <w:rPr>
                <w:rFonts w:hint="eastAsia" w:eastAsia="宋体"/>
                <w:sz w:val="16"/>
                <w:szCs w:val="16"/>
              </w:rPr>
              <w:t>建立健全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vMerge w:val="continue"/>
            <w:tcBorders>
              <w:top w:val="single" w:color="auto" w:sz="4" w:space="0"/>
              <w:left w:val="single" w:color="auto" w:sz="4" w:space="0"/>
              <w:bottom w:val="single" w:color="auto" w:sz="4" w:space="0"/>
              <w:right w:val="single" w:color="auto" w:sz="4" w:space="0"/>
            </w:tcBorders>
            <w:shd w:val="clear" w:color="auto" w:fill="auto"/>
          </w:tcPr>
          <w:p>
            <w:pPr>
              <w:spacing w:before="116" w:line="219" w:lineRule="auto"/>
              <w:rPr>
                <w:rFonts w:eastAsia="宋体"/>
                <w:spacing w:val="-1"/>
                <w:sz w:val="16"/>
                <w:szCs w:val="16"/>
              </w:rPr>
            </w:pPr>
          </w:p>
        </w:tc>
        <w:tc>
          <w:tcPr>
            <w:tcW w:w="1518" w:type="dxa"/>
            <w:tcBorders>
              <w:top w:val="single" w:color="auto" w:sz="4" w:space="0"/>
              <w:left w:val="single" w:color="auto" w:sz="4" w:space="0"/>
              <w:bottom w:val="single" w:color="auto" w:sz="4" w:space="0"/>
              <w:right w:val="single" w:color="auto" w:sz="4" w:space="0"/>
            </w:tcBorders>
            <w:shd w:val="clear" w:color="auto" w:fill="auto"/>
          </w:tcPr>
          <w:p>
            <w:pPr>
              <w:spacing w:before="116" w:line="219" w:lineRule="auto"/>
              <w:ind w:left="192"/>
              <w:rPr>
                <w:rFonts w:eastAsia="宋体"/>
                <w:sz w:val="16"/>
                <w:szCs w:val="16"/>
              </w:rPr>
            </w:pPr>
            <w:r>
              <w:rPr>
                <w:rFonts w:eastAsia="宋体"/>
                <w:spacing w:val="-1"/>
                <w:sz w:val="16"/>
                <w:szCs w:val="16"/>
              </w:rPr>
              <w:t>可持续影响指标</w:t>
            </w:r>
          </w:p>
        </w:tc>
        <w:tc>
          <w:tcPr>
            <w:tcW w:w="3766" w:type="dxa"/>
            <w:tcBorders>
              <w:top w:val="single" w:color="auto" w:sz="4" w:space="0"/>
              <w:left w:val="single" w:color="auto" w:sz="4" w:space="0"/>
              <w:bottom w:val="single" w:color="auto" w:sz="4" w:space="0"/>
              <w:right w:val="single" w:color="auto" w:sz="4" w:space="0"/>
            </w:tcBorders>
            <w:shd w:val="clear" w:color="auto" w:fill="auto"/>
          </w:tcPr>
          <w:p>
            <w:pPr>
              <w:spacing w:before="115" w:line="219" w:lineRule="auto"/>
              <w:ind w:left="23"/>
              <w:rPr>
                <w:rFonts w:eastAsia="宋体"/>
                <w:sz w:val="16"/>
                <w:szCs w:val="16"/>
              </w:rPr>
            </w:pPr>
            <w:r>
              <w:rPr>
                <w:rFonts w:eastAsia="宋体"/>
                <w:spacing w:val="1"/>
                <w:sz w:val="16"/>
                <w:szCs w:val="16"/>
              </w:rPr>
              <w:t>建立高效协同重大技术推广机制模式</w:t>
            </w:r>
            <w:r>
              <w:rPr>
                <w:rFonts w:hint="eastAsia" w:eastAsia="宋体"/>
                <w:spacing w:val="1"/>
                <w:sz w:val="16"/>
                <w:szCs w:val="16"/>
              </w:rPr>
              <w:t>（</w:t>
            </w:r>
            <w:r>
              <w:rPr>
                <w:rFonts w:eastAsia="宋体"/>
                <w:spacing w:val="1"/>
                <w:sz w:val="16"/>
                <w:szCs w:val="16"/>
              </w:rPr>
              <w:t>套</w:t>
            </w:r>
            <w:r>
              <w:rPr>
                <w:rFonts w:hint="eastAsia" w:eastAsia="宋体"/>
                <w:spacing w:val="1"/>
                <w:sz w:val="16"/>
                <w:szCs w:val="16"/>
              </w:rPr>
              <w:t>）</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eastAsia" w:eastAsia="宋体"/>
                <w:sz w:val="16"/>
                <w:szCs w:val="16"/>
              </w:rPr>
            </w:pPr>
            <w:r>
              <w:rPr>
                <w:rFonts w:hint="eastAsia" w:eastAsia="宋体"/>
                <w:sz w:val="16"/>
                <w:szCs w:val="16"/>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724" w:type="dxa"/>
            <w:vMerge w:val="continue"/>
            <w:tcBorders>
              <w:top w:val="single" w:color="auto" w:sz="4" w:space="0"/>
              <w:left w:val="single" w:color="auto" w:sz="4" w:space="0"/>
              <w:bottom w:val="single" w:color="auto" w:sz="4" w:space="0"/>
              <w:right w:val="single" w:color="auto" w:sz="4" w:space="0"/>
            </w:tcBorders>
          </w:tcPr>
          <w:p>
            <w:pPr>
              <w:pStyle w:val="13"/>
              <w:rPr>
                <w:rFonts w:hint="eastAsia"/>
              </w:rPr>
            </w:pPr>
          </w:p>
        </w:tc>
        <w:tc>
          <w:tcPr>
            <w:tcW w:w="829" w:type="dxa"/>
            <w:tcBorders>
              <w:top w:val="single" w:color="auto" w:sz="4" w:space="0"/>
              <w:left w:val="single" w:color="auto" w:sz="4" w:space="0"/>
              <w:bottom w:val="single" w:color="auto" w:sz="4" w:space="0"/>
              <w:right w:val="single" w:color="auto" w:sz="4" w:space="0"/>
            </w:tcBorders>
            <w:shd w:val="clear" w:color="auto" w:fill="auto"/>
          </w:tcPr>
          <w:p>
            <w:pPr>
              <w:spacing w:before="116" w:line="219" w:lineRule="auto"/>
              <w:rPr>
                <w:rFonts w:eastAsia="宋体"/>
                <w:sz w:val="16"/>
                <w:szCs w:val="16"/>
              </w:rPr>
            </w:pPr>
            <w:r>
              <w:rPr>
                <w:rFonts w:eastAsia="宋体"/>
                <w:spacing w:val="-1"/>
                <w:sz w:val="16"/>
                <w:szCs w:val="16"/>
              </w:rPr>
              <w:t>满意度指标</w:t>
            </w:r>
          </w:p>
        </w:tc>
        <w:tc>
          <w:tcPr>
            <w:tcW w:w="1518" w:type="dxa"/>
            <w:tcBorders>
              <w:top w:val="single" w:color="auto" w:sz="4" w:space="0"/>
              <w:left w:val="single" w:color="auto" w:sz="4" w:space="0"/>
              <w:bottom w:val="single" w:color="auto" w:sz="4" w:space="0"/>
              <w:right w:val="single" w:color="auto" w:sz="4" w:space="0"/>
            </w:tcBorders>
            <w:shd w:val="clear" w:color="auto" w:fill="auto"/>
          </w:tcPr>
          <w:p>
            <w:pPr>
              <w:spacing w:before="116" w:line="219" w:lineRule="auto"/>
              <w:ind w:left="31"/>
              <w:rPr>
                <w:rFonts w:eastAsia="宋体"/>
                <w:sz w:val="16"/>
                <w:szCs w:val="16"/>
              </w:rPr>
            </w:pPr>
            <w:r>
              <w:rPr>
                <w:rFonts w:eastAsia="宋体"/>
                <w:spacing w:val="-1"/>
                <w:sz w:val="16"/>
                <w:szCs w:val="16"/>
              </w:rPr>
              <w:t>服务对象满意度指标</w:t>
            </w:r>
          </w:p>
        </w:tc>
        <w:tc>
          <w:tcPr>
            <w:tcW w:w="3766" w:type="dxa"/>
            <w:tcBorders>
              <w:top w:val="single" w:color="auto" w:sz="4" w:space="0"/>
              <w:left w:val="single" w:color="auto" w:sz="4" w:space="0"/>
              <w:bottom w:val="single" w:color="auto" w:sz="4" w:space="0"/>
              <w:right w:val="single" w:color="auto" w:sz="4" w:space="0"/>
            </w:tcBorders>
            <w:shd w:val="clear" w:color="auto" w:fill="auto"/>
          </w:tcPr>
          <w:p>
            <w:pPr>
              <w:spacing w:before="116" w:line="219" w:lineRule="auto"/>
              <w:ind w:left="23"/>
              <w:rPr>
                <w:rFonts w:eastAsia="宋体"/>
                <w:sz w:val="16"/>
                <w:szCs w:val="16"/>
              </w:rPr>
            </w:pPr>
            <w:r>
              <w:rPr>
                <w:rFonts w:eastAsia="宋体"/>
                <w:sz w:val="16"/>
                <w:szCs w:val="16"/>
              </w:rPr>
              <w:t>高素质农民培育对象的满意度</w:t>
            </w:r>
          </w:p>
        </w:tc>
        <w:tc>
          <w:tcPr>
            <w:tcW w:w="1963" w:type="dxa"/>
            <w:tcBorders>
              <w:top w:val="single" w:color="auto" w:sz="4" w:space="0"/>
              <w:left w:val="single" w:color="auto" w:sz="4" w:space="0"/>
              <w:bottom w:val="single" w:color="auto" w:sz="4" w:space="0"/>
              <w:right w:val="single" w:color="auto" w:sz="4" w:space="0"/>
            </w:tcBorders>
            <w:vAlign w:val="center"/>
          </w:tcPr>
          <w:p>
            <w:pPr>
              <w:spacing w:before="153" w:line="185" w:lineRule="auto"/>
              <w:ind w:firstLine="800" w:firstLineChars="500"/>
              <w:rPr>
                <w:rFonts w:hint="eastAsia" w:eastAsia="宋体"/>
                <w:sz w:val="16"/>
                <w:szCs w:val="16"/>
              </w:rPr>
            </w:pPr>
            <w:r>
              <w:rPr>
                <w:rFonts w:hint="eastAsia" w:eastAsia="宋体"/>
                <w:sz w:val="16"/>
                <w:szCs w:val="16"/>
              </w:rPr>
              <w:t>≥90%</w:t>
            </w:r>
          </w:p>
        </w:tc>
      </w:tr>
    </w:tbl>
    <w:p>
      <w:pPr>
        <w:spacing w:line="219" w:lineRule="auto"/>
        <w:outlineLvl w:val="0"/>
        <w:rPr>
          <w:rFonts w:eastAsia="宋体"/>
          <w:b/>
          <w:bCs/>
          <w:spacing w:val="2"/>
          <w:sz w:val="22"/>
          <w:szCs w:val="22"/>
        </w:rPr>
      </w:pPr>
    </w:p>
    <w:p>
      <w:pPr>
        <w:pStyle w:val="10"/>
        <w:spacing w:after="0" w:line="560" w:lineRule="exact"/>
        <w:ind w:left="0" w:leftChars="0" w:firstLine="643"/>
        <w:rPr>
          <w:rFonts w:ascii="Times New Roman" w:hAnsi="Times New Roman" w:eastAsia="楷体"/>
          <w:b/>
          <w:bCs/>
          <w:sz w:val="32"/>
          <w:szCs w:val="32"/>
        </w:rPr>
      </w:pPr>
      <w:r>
        <w:rPr>
          <w:rFonts w:ascii="Times New Roman" w:hAnsi="Times New Roman" w:eastAsia="楷体"/>
          <w:b/>
          <w:bCs/>
          <w:sz w:val="32"/>
          <w:szCs w:val="36"/>
        </w:rPr>
        <w:t>（二）</w:t>
      </w:r>
      <w:r>
        <w:rPr>
          <w:rFonts w:ascii="Times New Roman" w:hAnsi="Times New Roman" w:eastAsia="楷体"/>
          <w:b/>
          <w:bCs/>
          <w:sz w:val="32"/>
          <w:szCs w:val="32"/>
        </w:rPr>
        <w:t>自治区</w:t>
      </w:r>
      <w:r>
        <w:rPr>
          <w:rFonts w:ascii="Times New Roman" w:hAnsi="Times New Roman" w:eastAsia="楷体"/>
          <w:b/>
          <w:bCs/>
          <w:sz w:val="32"/>
          <w:szCs w:val="36"/>
        </w:rPr>
        <w:t>分解下达预算和</w:t>
      </w:r>
      <w:r>
        <w:rPr>
          <w:rFonts w:ascii="Times New Roman" w:hAnsi="Times New Roman" w:eastAsia="楷体"/>
          <w:b/>
          <w:bCs/>
          <w:sz w:val="32"/>
          <w:szCs w:val="32"/>
        </w:rPr>
        <w:t>绩效目标情况</w:t>
      </w:r>
    </w:p>
    <w:p>
      <w:pPr>
        <w:pStyle w:val="10"/>
        <w:spacing w:after="0" w:line="560" w:lineRule="exact"/>
        <w:ind w:left="0" w:leftChars="0" w:firstLine="643"/>
        <w:rPr>
          <w:rFonts w:ascii="Times New Roman" w:hAnsi="Times New Roman"/>
        </w:rPr>
      </w:pPr>
      <w:r>
        <w:rPr>
          <w:rFonts w:ascii="Times New Roman" w:hAnsi="Times New Roman" w:eastAsia="楷体"/>
          <w:b/>
          <w:bCs/>
          <w:sz w:val="32"/>
          <w:szCs w:val="32"/>
        </w:rPr>
        <w:t>1.</w:t>
      </w:r>
      <w:r>
        <w:rPr>
          <w:rFonts w:hint="eastAsia" w:ascii="Times New Roman" w:hAnsi="Times New Roman" w:eastAsia="楷体"/>
          <w:b/>
          <w:bCs/>
          <w:sz w:val="32"/>
          <w:szCs w:val="32"/>
          <w:lang w:val="en-US" w:eastAsia="zh-CN"/>
        </w:rPr>
        <w:t>自治区</w:t>
      </w:r>
      <w:r>
        <w:rPr>
          <w:rFonts w:ascii="Times New Roman" w:hAnsi="Times New Roman" w:eastAsia="楷体"/>
          <w:b/>
          <w:bCs/>
          <w:sz w:val="32"/>
          <w:szCs w:val="32"/>
        </w:rPr>
        <w:t>分解下达预算情况</w:t>
      </w:r>
    </w:p>
    <w:p>
      <w:pPr>
        <w:pStyle w:val="10"/>
        <w:spacing w:after="0" w:line="560" w:lineRule="exact"/>
        <w:ind w:left="0" w:leftChars="0" w:firstLine="640"/>
        <w:rPr>
          <w:rFonts w:ascii="Times New Roman" w:hAnsi="Times New Roman"/>
          <w:sz w:val="32"/>
          <w:szCs w:val="32"/>
        </w:rPr>
      </w:pPr>
      <w:r>
        <w:rPr>
          <w:rFonts w:hint="eastAsia" w:ascii="Times New Roman" w:hAnsi="Times New Roman"/>
          <w:sz w:val="32"/>
          <w:szCs w:val="32"/>
        </w:rPr>
        <w:t>2023年12月12日，自治区财政厅下发《关于提前下达2024年农业经营主体能力提升资金预算的通知》（新财农〔2023〕97号）</w:t>
      </w:r>
      <w:r>
        <w:rPr>
          <w:rFonts w:ascii="Times New Roman" w:hAnsi="Times New Roman"/>
          <w:sz w:val="32"/>
          <w:szCs w:val="32"/>
        </w:rPr>
        <w:t>下达资金</w:t>
      </w:r>
      <w:r>
        <w:rPr>
          <w:rFonts w:hint="eastAsia" w:ascii="Times New Roman" w:hAnsi="Times New Roman"/>
          <w:sz w:val="32"/>
          <w:szCs w:val="32"/>
        </w:rPr>
        <w:t>52201</w:t>
      </w:r>
      <w:r>
        <w:rPr>
          <w:rFonts w:ascii="Times New Roman" w:hAnsi="Times New Roman"/>
          <w:sz w:val="32"/>
          <w:szCs w:val="32"/>
        </w:rPr>
        <w:t>万元。</w:t>
      </w:r>
    </w:p>
    <w:p>
      <w:pPr>
        <w:pStyle w:val="10"/>
        <w:spacing w:after="0" w:line="560" w:lineRule="exact"/>
        <w:ind w:left="0" w:leftChars="0" w:firstLine="640"/>
        <w:rPr>
          <w:rFonts w:hint="eastAsia" w:ascii="Times New Roman" w:hAnsi="Times New Roman"/>
          <w:sz w:val="32"/>
          <w:szCs w:val="32"/>
          <w:lang w:eastAsia="zh-CN"/>
        </w:rPr>
      </w:pPr>
      <w:r>
        <w:rPr>
          <w:rFonts w:hint="eastAsia" w:ascii="Times New Roman" w:hAnsi="Times New Roman"/>
          <w:sz w:val="32"/>
          <w:szCs w:val="32"/>
        </w:rPr>
        <w:t>2024年5月17日，自治区财政厅下发《关于下达2024年农业经营主体能力提升资金预算的通知》（新财农〔2024〕30号）下达资金18818万元</w:t>
      </w:r>
      <w:r>
        <w:rPr>
          <w:rFonts w:hint="eastAsia" w:ascii="Times New Roman" w:hAnsi="Times New Roman"/>
          <w:sz w:val="32"/>
          <w:szCs w:val="32"/>
          <w:lang w:eastAsia="zh-CN"/>
        </w:rPr>
        <w:t>。</w:t>
      </w:r>
    </w:p>
    <w:p>
      <w:pPr>
        <w:pStyle w:val="10"/>
        <w:spacing w:after="0" w:line="560" w:lineRule="exact"/>
        <w:ind w:left="0" w:leftChars="0" w:firstLine="640"/>
        <w:rPr>
          <w:rFonts w:hint="default" w:ascii="Times New Roman" w:hAnsi="Times New Roman" w:eastAsia="仿宋_GB2312"/>
          <w:sz w:val="32"/>
          <w:szCs w:val="32"/>
          <w:lang w:val="en-US" w:eastAsia="zh-CN"/>
        </w:rPr>
      </w:pPr>
      <w:r>
        <w:rPr>
          <w:rFonts w:hint="eastAsia" w:ascii="Times New Roman" w:hAnsi="Times New Roman"/>
          <w:sz w:val="32"/>
          <w:szCs w:val="32"/>
          <w:lang w:val="en-US" w:eastAsia="zh-CN"/>
        </w:rPr>
        <w:t>2024年8月12日，自治区财政厅下发《关于调整2024年中央农业经营主体能力提升资金预算的通知》</w:t>
      </w:r>
      <w:r>
        <w:rPr>
          <w:rFonts w:hint="eastAsia" w:ascii="Times New Roman" w:hAnsi="Times New Roman"/>
          <w:sz w:val="32"/>
          <w:szCs w:val="32"/>
        </w:rPr>
        <w:t>（新财农〔2024〕</w:t>
      </w:r>
      <w:r>
        <w:rPr>
          <w:rFonts w:hint="eastAsia" w:ascii="Times New Roman" w:hAnsi="Times New Roman"/>
          <w:sz w:val="32"/>
          <w:szCs w:val="32"/>
          <w:lang w:val="en-US" w:eastAsia="zh-CN"/>
        </w:rPr>
        <w:t>55</w:t>
      </w:r>
      <w:r>
        <w:rPr>
          <w:rFonts w:hint="eastAsia" w:ascii="Times New Roman" w:hAnsi="Times New Roman"/>
          <w:sz w:val="32"/>
          <w:szCs w:val="32"/>
        </w:rPr>
        <w:t>号）</w:t>
      </w:r>
      <w:r>
        <w:rPr>
          <w:rFonts w:hint="eastAsia" w:ascii="Times New Roman" w:hAnsi="Times New Roman"/>
          <w:sz w:val="32"/>
          <w:szCs w:val="32"/>
          <w:lang w:eastAsia="zh-CN"/>
        </w:rPr>
        <w:t>，</w:t>
      </w:r>
      <w:r>
        <w:rPr>
          <w:rFonts w:hint="eastAsia" w:ascii="Times New Roman" w:hAnsi="Times New Roman"/>
          <w:sz w:val="32"/>
          <w:szCs w:val="32"/>
          <w:lang w:val="en-US" w:eastAsia="zh-CN"/>
        </w:rPr>
        <w:t>有关资金分解下达及预算绩效区域目标表相应有所调整。</w:t>
      </w:r>
    </w:p>
    <w:p>
      <w:pPr>
        <w:pStyle w:val="10"/>
        <w:spacing w:after="0" w:line="560" w:lineRule="exact"/>
        <w:ind w:left="0" w:leftChars="0" w:firstLine="640"/>
        <w:rPr>
          <w:rFonts w:hint="default" w:ascii="Times New Roman" w:hAnsi="Times New Roman"/>
          <w:sz w:val="32"/>
          <w:szCs w:val="32"/>
          <w:lang w:val="en-US" w:eastAsia="zh-CN"/>
        </w:rPr>
      </w:pPr>
      <w:r>
        <w:rPr>
          <w:rFonts w:hint="eastAsia" w:ascii="Times New Roman" w:hAnsi="Times New Roman"/>
          <w:sz w:val="32"/>
          <w:szCs w:val="32"/>
          <w:lang w:val="en-US" w:eastAsia="zh-CN"/>
        </w:rPr>
        <w:t>根据新财农随文下达2024年农业经营主体能力提升资金合计共71019万元。</w:t>
      </w:r>
    </w:p>
    <w:p>
      <w:pPr>
        <w:pStyle w:val="10"/>
        <w:spacing w:after="0" w:line="560" w:lineRule="exact"/>
        <w:ind w:left="0" w:leftChars="0" w:firstLine="640"/>
        <w:rPr>
          <w:rFonts w:ascii="Times New Roman" w:hAnsi="Times New Roman"/>
          <w:sz w:val="32"/>
          <w:szCs w:val="32"/>
        </w:rPr>
      </w:pPr>
      <w:r>
        <w:rPr>
          <w:rFonts w:ascii="Times New Roman" w:hAnsi="Times New Roman"/>
          <w:sz w:val="32"/>
          <w:szCs w:val="32"/>
        </w:rPr>
        <w:t>资金分解情况详见下表：</w:t>
      </w:r>
    </w:p>
    <w:p>
      <w:pPr>
        <w:pStyle w:val="15"/>
        <w:ind w:firstLine="441" w:firstLineChars="200"/>
        <w:jc w:val="center"/>
        <w:rPr>
          <w:rFonts w:ascii="Times New Roman" w:hAnsi="Times New Roman"/>
          <w:b/>
          <w:bCs/>
          <w:sz w:val="22"/>
        </w:rPr>
      </w:pPr>
      <w:r>
        <w:rPr>
          <w:rFonts w:ascii="Times New Roman" w:hAnsi="Times New Roman" w:eastAsia="仿宋_GB2312"/>
          <w:b/>
          <w:bCs/>
          <w:sz w:val="22"/>
        </w:rPr>
        <w:t>202</w:t>
      </w:r>
      <w:r>
        <w:rPr>
          <w:rFonts w:hint="eastAsia" w:ascii="Times New Roman" w:hAnsi="Times New Roman" w:eastAsia="仿宋_GB2312"/>
          <w:b/>
          <w:bCs/>
          <w:sz w:val="22"/>
        </w:rPr>
        <w:t>4</w:t>
      </w:r>
      <w:r>
        <w:rPr>
          <w:rFonts w:ascii="Times New Roman" w:hAnsi="Times New Roman" w:eastAsia="仿宋_GB2312"/>
          <w:b/>
          <w:bCs/>
          <w:sz w:val="22"/>
        </w:rPr>
        <w:t>年农业经营主体能力提升资金分配表</w:t>
      </w:r>
    </w:p>
    <w:p>
      <w:pPr>
        <w:pStyle w:val="15"/>
        <w:ind w:firstLine="441" w:firstLineChars="200"/>
        <w:jc w:val="right"/>
        <w:rPr>
          <w:rFonts w:hint="eastAsia" w:ascii="仿宋_GB2312" w:hAnsi="仿宋_GB2312" w:eastAsia="仿宋_GB2312" w:cs="仿宋_GB2312"/>
          <w:b/>
          <w:bCs/>
          <w:sz w:val="22"/>
        </w:rPr>
      </w:pPr>
      <w:r>
        <w:rPr>
          <w:rFonts w:ascii="Times New Roman" w:hAnsi="Times New Roman"/>
          <w:b/>
          <w:bCs/>
          <w:sz w:val="22"/>
        </w:rPr>
        <w:t xml:space="preserve">  </w:t>
      </w:r>
      <w:r>
        <w:rPr>
          <w:rFonts w:hint="eastAsia" w:ascii="仿宋_GB2312" w:hAnsi="仿宋_GB2312" w:eastAsia="仿宋_GB2312" w:cs="仿宋_GB2312"/>
          <w:b/>
          <w:bCs/>
          <w:sz w:val="22"/>
        </w:rPr>
        <w:t>单位：万元</w:t>
      </w:r>
    </w:p>
    <w:tbl>
      <w:tblPr>
        <w:tblStyle w:val="11"/>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5"/>
        <w:gridCol w:w="6418"/>
        <w:gridCol w:w="14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地州、县市</w:t>
            </w:r>
          </w:p>
        </w:tc>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乌鲁木齐市</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431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伊犁州直</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7351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塔城地区</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4636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阿勒泰地区</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3068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克拉玛依市</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453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博州</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3150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昌吉州</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6109.5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哈密市</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1459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吐鲁番市</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2727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巴州</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5631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阿克苏地区</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12388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克州</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1722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喀什地区</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7696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和田地区</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3971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自治区农业农村厅（新疆农业大学、西北农林科技大学、华中农业大学）</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20"/>
                <w:szCs w:val="20"/>
                <w:u w:val="none"/>
                <w:lang w:val="en-US" w:eastAsia="zh-CN" w:bidi="ar"/>
              </w:rPr>
            </w:pPr>
            <w:r>
              <w:rPr>
                <w:rFonts w:hint="default" w:ascii="Times New Roman" w:hAnsi="Times New Roman" w:eastAsia="宋体" w:cs="Times New Roman"/>
                <w:b/>
                <w:bCs/>
                <w:i w:val="0"/>
                <w:iCs w:val="0"/>
                <w:color w:val="000000"/>
                <w:kern w:val="0"/>
                <w:sz w:val="20"/>
                <w:szCs w:val="20"/>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16</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新疆农业大学</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524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17</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自治区农业农村厅（西北农林科技大学）</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407.75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18</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自治区农业农村厅(华中农业大学）</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407.75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19</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新疆农业职业技术学院</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新疆农业广播电视学校</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3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新疆农业信贷融资担保有限责任公司</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8269</w:t>
            </w:r>
          </w:p>
        </w:tc>
      </w:tr>
    </w:tbl>
    <w:p>
      <w:pPr>
        <w:pStyle w:val="15"/>
        <w:jc w:val="both"/>
        <w:rPr>
          <w:rFonts w:hint="eastAsia" w:ascii="仿宋_GB2312" w:hAnsi="仿宋_GB2312" w:eastAsia="仿宋_GB2312" w:cs="仿宋_GB2312"/>
          <w:b/>
          <w:bCs/>
          <w:sz w:val="22"/>
        </w:rPr>
      </w:pPr>
    </w:p>
    <w:p>
      <w:pPr>
        <w:pStyle w:val="10"/>
        <w:spacing w:after="0" w:line="560" w:lineRule="exact"/>
        <w:ind w:left="0" w:leftChars="0" w:firstLine="643"/>
        <w:rPr>
          <w:rFonts w:ascii="Times New Roman" w:hAnsi="Times New Roman" w:eastAsia="楷体"/>
          <w:b/>
          <w:bCs/>
          <w:sz w:val="32"/>
          <w:szCs w:val="32"/>
        </w:rPr>
      </w:pPr>
      <w:r>
        <w:rPr>
          <w:rFonts w:ascii="Times New Roman" w:hAnsi="Times New Roman" w:eastAsia="楷体"/>
          <w:b/>
          <w:bCs/>
          <w:sz w:val="32"/>
          <w:szCs w:val="32"/>
        </w:rPr>
        <w:t>2.自治区分解下达绩效目标情况如下</w:t>
      </w:r>
    </w:p>
    <w:p>
      <w:pPr>
        <w:pStyle w:val="15"/>
        <w:spacing w:line="560" w:lineRule="exact"/>
        <w:ind w:firstLine="640" w:firstLineChars="200"/>
        <w:jc w:val="left"/>
        <w:rPr>
          <w:rFonts w:ascii="Times New Roman" w:hAnsi="Times New Roman" w:eastAsia="仿宋_GB2312"/>
          <w:sz w:val="32"/>
          <w:szCs w:val="32"/>
        </w:rPr>
        <w:sectPr>
          <w:pgSz w:w="11906" w:h="16838"/>
          <w:pgMar w:top="1440" w:right="1800" w:bottom="1440" w:left="1800" w:header="851" w:footer="992" w:gutter="0"/>
          <w:cols w:space="425" w:num="1"/>
          <w:docGrid w:type="lines" w:linePitch="312" w:charSpace="0"/>
        </w:sectPr>
      </w:pPr>
      <w:r>
        <w:rPr>
          <w:rFonts w:ascii="Times New Roman" w:hAnsi="Times New Roman" w:eastAsia="仿宋_GB2312"/>
          <w:sz w:val="32"/>
          <w:szCs w:val="32"/>
        </w:rPr>
        <w:t>根据自治区财政厅下达的资金文件确定的绩效目标，结合脱贫县涉农资金整合情况，对县（市）资金的分配主要根据任务的特点进行合理的安排，根据</w:t>
      </w:r>
      <w:r>
        <w:rPr>
          <w:rFonts w:hint="eastAsia" w:ascii="Times New Roman" w:hAnsi="Times New Roman" w:eastAsia="仿宋_GB2312"/>
          <w:sz w:val="32"/>
          <w:szCs w:val="32"/>
        </w:rPr>
        <w:t>自治区财政厅下发《关于调整2024年中央农业经营主体能力提升资金预算的通知》（新财农〔2024〕55号）</w:t>
      </w:r>
      <w:r>
        <w:rPr>
          <w:rFonts w:ascii="Times New Roman" w:hAnsi="Times New Roman" w:eastAsia="仿宋_GB2312"/>
          <w:sz w:val="32"/>
          <w:szCs w:val="32"/>
        </w:rPr>
        <w:t>，绩效目标详见下表：</w:t>
      </w:r>
    </w:p>
    <w:p>
      <w:pPr>
        <w:pStyle w:val="15"/>
        <w:spacing w:line="560" w:lineRule="exact"/>
        <w:jc w:val="left"/>
        <w:rPr>
          <w:rFonts w:ascii="Times New Roman" w:hAnsi="Times New Roman" w:eastAsia="仿宋_GB2312"/>
          <w:sz w:val="32"/>
          <w:szCs w:val="32"/>
        </w:rPr>
        <w:sectPr>
          <w:pgSz w:w="11906" w:h="16838"/>
          <w:pgMar w:top="1440" w:right="1800" w:bottom="1440" w:left="1800" w:header="851" w:footer="992" w:gutter="0"/>
          <w:cols w:space="425" w:num="1"/>
          <w:docGrid w:type="lines" w:linePitch="312" w:charSpace="0"/>
        </w:sectPr>
      </w:pPr>
    </w:p>
    <w:p>
      <w:pPr>
        <w:pStyle w:val="15"/>
        <w:spacing w:line="560" w:lineRule="exact"/>
        <w:ind w:firstLine="441" w:firstLineChars="200"/>
        <w:jc w:val="center"/>
        <w:rPr>
          <w:rFonts w:ascii="Times New Roman" w:hAnsi="Times New Roman" w:eastAsia="仿宋_GB2312"/>
          <w:b/>
          <w:bCs/>
          <w:sz w:val="22"/>
        </w:rPr>
      </w:pPr>
      <w:r>
        <w:rPr>
          <w:rFonts w:ascii="Times New Roman" w:hAnsi="Times New Roman" w:eastAsia="仿宋_GB2312"/>
          <w:b/>
          <w:bCs/>
          <w:sz w:val="22"/>
        </w:rPr>
        <w:t>202</w:t>
      </w:r>
      <w:r>
        <w:rPr>
          <w:rFonts w:hint="eastAsia" w:ascii="Times New Roman" w:hAnsi="Times New Roman" w:eastAsia="仿宋_GB2312"/>
          <w:b/>
          <w:bCs/>
          <w:sz w:val="22"/>
        </w:rPr>
        <w:t>4</w:t>
      </w:r>
      <w:r>
        <w:rPr>
          <w:rFonts w:ascii="Times New Roman" w:hAnsi="Times New Roman" w:eastAsia="仿宋_GB2312"/>
          <w:b/>
          <w:bCs/>
          <w:sz w:val="22"/>
        </w:rPr>
        <w:t>年中央农业经营主体能力提升资金区域绩效目标表</w:t>
      </w: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0"/>
        <w:gridCol w:w="472"/>
        <w:gridCol w:w="363"/>
        <w:gridCol w:w="2049"/>
        <w:gridCol w:w="521"/>
        <w:gridCol w:w="532"/>
        <w:gridCol w:w="505"/>
        <w:gridCol w:w="501"/>
        <w:gridCol w:w="501"/>
        <w:gridCol w:w="505"/>
        <w:gridCol w:w="505"/>
        <w:gridCol w:w="501"/>
        <w:gridCol w:w="550"/>
        <w:gridCol w:w="501"/>
        <w:gridCol w:w="501"/>
        <w:gridCol w:w="501"/>
        <w:gridCol w:w="524"/>
        <w:gridCol w:w="501"/>
        <w:gridCol w:w="501"/>
        <w:gridCol w:w="501"/>
        <w:gridCol w:w="554"/>
        <w:gridCol w:w="508"/>
        <w:gridCol w:w="596"/>
        <w:gridCol w:w="589"/>
        <w:gridCol w:w="521"/>
        <w:gridCol w:w="522"/>
        <w:gridCol w:w="5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资金名称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中央农业经营主体能力提升资金（全年总表）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全区总绩效 目标</w:t>
            </w:r>
          </w:p>
        </w:tc>
        <w:tc>
          <w:tcPr>
            <w:tcW w:w="0" w:type="auto"/>
            <w:gridSpan w:val="20"/>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分区域绩效目标</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中央主管部门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财政部、农业农村部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乌鲁木齐市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伊犁州直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塔城地区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阿勒泰地区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克拉玛依市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博州</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昌吉州</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哈密市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吐鲁番市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巴州</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阿克苏地区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克州</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喀什地区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和田地区</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自治区农业农村厅（新疆农业大学、西北农林科技大学、华中农业大学）</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新疆农业大学</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自治区农业农村厅（西北农林科技大学）</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自治区农业农村厅（华中农业大学）</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新疆农业职业技术学院</w:t>
            </w:r>
          </w:p>
        </w:tc>
        <w:tc>
          <w:tcPr>
            <w:tcW w:w="0" w:type="auto"/>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新疆农业广播电视学校</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新疆农业信贷融资担保有限责任公司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省级财政部门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新疆维吾尔自治区财政厅</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gridSpan w:val="1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各地州市财政局、农业农村局</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省级主管部门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新疆维吾尔自治区农业农村厅</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资金情况   （万元）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年度金额：</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71019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71019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7351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4636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3068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453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3150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6109.5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1459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2727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5631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12388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1722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7696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3971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407.75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407.75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420</w:t>
            </w:r>
          </w:p>
        </w:tc>
        <w:tc>
          <w:tcPr>
            <w:tcW w:w="0" w:type="auto"/>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8269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其中：中央补助</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71019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71019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7351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4636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3068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453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3150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6109.5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1459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2727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5631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12388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1722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7696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3971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407.75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407.75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420</w:t>
            </w:r>
          </w:p>
        </w:tc>
        <w:tc>
          <w:tcPr>
            <w:tcW w:w="0" w:type="auto"/>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8269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地方资金</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FF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FF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FF0000"/>
                <w:sz w:val="12"/>
                <w:szCs w:val="12"/>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rPr>
                <w:rFonts w:hint="eastAsia" w:ascii="宋体" w:hAnsi="宋体" w:eastAsia="宋体" w:cs="宋体"/>
                <w:i w:val="0"/>
                <w:iCs w:val="0"/>
                <w:color w:val="FF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FF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1.加强新型农业经营主体培育；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2.强化高素质农民培育；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3.推广农业社会化服务；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4.推进基层农技推广体系改革与建设；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5.支持全国农担体系高质量发展。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绩效指标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产出指标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支持的农民合作社数量（个）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支持的家庭农场数量（个）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培育奶业新型经营主体数量（个）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落实单产提升关键技术面积（万亩次）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252.5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252.5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19.2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高素质农民培育数量（人）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12458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12791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1660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751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371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333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769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399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1849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1286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学用贯通培育数量（人）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农村实用人才带头人示范培训数量（人）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乡村产业振兴带头人“头雁”培育数量（人）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农业生产全程托管服务面积（万亩）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24.91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16.64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15.32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0.25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53.85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5.91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28.8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11.42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其中：供销社承担的农业生产全程托管任务面积（万亩）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6.47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1.92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2.65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5.85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基层农技人员培训数量（人）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4400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329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329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329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543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农业科技示范展示基地数量（个）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166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172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举办高素质农民技能大赛（期）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改造提升老旧日光温室（亩）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≥1975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≥1975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≥653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≥381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年度新增担保业务规模（亿元）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新型农业经营主体生产设施条件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改善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改善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改善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改善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改善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改善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改善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农业主推技术到位率（%）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95%以上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95%以上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95%以上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95%以上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95%以上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95%以上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95%以上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95%以上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95%以上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95%以上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95%以上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95%以上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95%以上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95%以上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95%以上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95%以上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农业生产社会化服务对象单产水平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项目实施完成率（%）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粮油新型经营主体单产水平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高素质农民培育实行信息化管理和服务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现代设施农业产能和发展质量效益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规模主体单产提升项目县作物单产水平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农业信贷担保业务规模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稳健发展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稳健发展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资金使用重大违规违纪问题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农民合作社示范社和示范家庭农场发展水平和带动能力</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高素质农民生产经营能力和带动能力</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明显增强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明显增强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明显增强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明显增强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明显增强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明显增强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明显增强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明显增强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明显增强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明显增强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明显增强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明显增强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明显增强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明显增强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明显增强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明显增强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满意度指标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高素质农民培育对象满意度（%）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接受社会化服务的小农户满意度（%）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bl>
    <w:p>
      <w:pPr>
        <w:pStyle w:val="15"/>
        <w:spacing w:line="560" w:lineRule="exact"/>
        <w:ind w:firstLine="441" w:firstLineChars="200"/>
        <w:jc w:val="center"/>
        <w:rPr>
          <w:rFonts w:ascii="Times New Roman" w:hAnsi="Times New Roman" w:eastAsia="仿宋_GB2312"/>
          <w:b/>
          <w:bCs/>
          <w:sz w:val="22"/>
        </w:rPr>
      </w:pPr>
    </w:p>
    <w:p>
      <w:pPr>
        <w:pStyle w:val="15"/>
        <w:spacing w:line="560" w:lineRule="exact"/>
        <w:ind w:firstLine="441" w:firstLineChars="200"/>
        <w:jc w:val="center"/>
        <w:rPr>
          <w:rFonts w:ascii="Times New Roman" w:hAnsi="Times New Roman" w:eastAsia="仿宋_GB2312"/>
          <w:b/>
          <w:bCs/>
          <w:sz w:val="22"/>
        </w:rPr>
        <w:sectPr>
          <w:pgSz w:w="16838" w:h="11906" w:orient="landscape"/>
          <w:pgMar w:top="1463" w:right="873" w:bottom="1463" w:left="873" w:header="851" w:footer="992" w:gutter="0"/>
          <w:cols w:space="0" w:num="1"/>
          <w:rtlGutter w:val="0"/>
          <w:docGrid w:type="lines" w:linePitch="312" w:charSpace="0"/>
        </w:sectPr>
      </w:pPr>
    </w:p>
    <w:p>
      <w:pPr>
        <w:spacing w:line="560" w:lineRule="exact"/>
        <w:ind w:firstLine="640" w:firstLineChars="200"/>
        <w:rPr>
          <w:rFonts w:eastAsia="黑体"/>
          <w:bCs/>
          <w:sz w:val="32"/>
          <w:szCs w:val="32"/>
        </w:rPr>
      </w:pPr>
      <w:r>
        <w:rPr>
          <w:rFonts w:eastAsia="黑体"/>
          <w:bCs/>
          <w:sz w:val="32"/>
          <w:szCs w:val="32"/>
        </w:rPr>
        <w:t>二、绩效目标完成情况分析</w:t>
      </w:r>
    </w:p>
    <w:p>
      <w:pPr>
        <w:pStyle w:val="10"/>
        <w:spacing w:after="0" w:line="560" w:lineRule="exact"/>
        <w:ind w:left="0" w:leftChars="0" w:firstLine="643"/>
        <w:rPr>
          <w:rFonts w:ascii="Times New Roman" w:hAnsi="Times New Roman" w:eastAsia="楷体"/>
          <w:b/>
          <w:bCs/>
          <w:sz w:val="32"/>
          <w:szCs w:val="32"/>
        </w:rPr>
      </w:pPr>
      <w:r>
        <w:rPr>
          <w:rFonts w:ascii="Times New Roman" w:hAnsi="Times New Roman" w:eastAsia="楷体"/>
          <w:b/>
          <w:bCs/>
          <w:sz w:val="32"/>
          <w:szCs w:val="32"/>
        </w:rPr>
        <w:t>（一）资金投入情况分析</w:t>
      </w:r>
    </w:p>
    <w:p>
      <w:pPr>
        <w:pStyle w:val="10"/>
        <w:spacing w:after="0" w:line="560" w:lineRule="exact"/>
        <w:ind w:left="0" w:leftChars="0" w:firstLine="640"/>
        <w:rPr>
          <w:rFonts w:ascii="Times New Roman" w:hAnsi="Times New Roman"/>
          <w:b/>
          <w:bCs/>
          <w:sz w:val="32"/>
          <w:szCs w:val="32"/>
        </w:rPr>
      </w:pPr>
      <w:r>
        <w:rPr>
          <w:rFonts w:ascii="Times New Roman" w:hAnsi="Times New Roman"/>
          <w:b/>
          <w:bCs/>
          <w:sz w:val="32"/>
          <w:szCs w:val="32"/>
        </w:rPr>
        <w:t>1.项目资金到位情况分析</w:t>
      </w:r>
    </w:p>
    <w:p>
      <w:pPr>
        <w:pStyle w:val="10"/>
        <w:spacing w:after="0" w:line="560" w:lineRule="exact"/>
        <w:ind w:left="0" w:leftChars="0" w:firstLine="640"/>
        <w:rPr>
          <w:rFonts w:ascii="Times New Roman" w:hAnsi="Times New Roman"/>
          <w:sz w:val="32"/>
          <w:szCs w:val="32"/>
        </w:rPr>
      </w:pPr>
      <w:r>
        <w:rPr>
          <w:rFonts w:ascii="Times New Roman" w:hAnsi="Times New Roman"/>
          <w:sz w:val="32"/>
          <w:szCs w:val="32"/>
        </w:rPr>
        <w:t>202</w:t>
      </w:r>
      <w:r>
        <w:rPr>
          <w:rFonts w:hint="eastAsia" w:ascii="Times New Roman" w:hAnsi="Times New Roman"/>
          <w:sz w:val="32"/>
          <w:szCs w:val="32"/>
        </w:rPr>
        <w:t>3</w:t>
      </w:r>
      <w:r>
        <w:rPr>
          <w:rFonts w:ascii="Times New Roman" w:hAnsi="Times New Roman"/>
          <w:sz w:val="32"/>
          <w:szCs w:val="32"/>
        </w:rPr>
        <w:t>年</w:t>
      </w:r>
      <w:r>
        <w:rPr>
          <w:rFonts w:hint="eastAsia" w:ascii="Times New Roman" w:hAnsi="Times New Roman"/>
          <w:sz w:val="32"/>
          <w:szCs w:val="32"/>
        </w:rPr>
        <w:t>12月</w:t>
      </w:r>
      <w:r>
        <w:rPr>
          <w:rFonts w:ascii="Times New Roman" w:hAnsi="Times New Roman"/>
          <w:sz w:val="32"/>
          <w:szCs w:val="32"/>
        </w:rPr>
        <w:t>中央下达新疆农业经营主体能力提升资金</w:t>
      </w:r>
      <w:r>
        <w:rPr>
          <w:rFonts w:hint="eastAsia" w:ascii="Times New Roman" w:hAnsi="Times New Roman"/>
          <w:sz w:val="32"/>
          <w:szCs w:val="32"/>
        </w:rPr>
        <w:t>71019</w:t>
      </w:r>
      <w:r>
        <w:rPr>
          <w:rFonts w:ascii="Times New Roman" w:hAnsi="Times New Roman"/>
          <w:sz w:val="32"/>
          <w:szCs w:val="32"/>
        </w:rPr>
        <w:t>万元，资金到位</w:t>
      </w:r>
      <w:r>
        <w:rPr>
          <w:rFonts w:hint="eastAsia" w:ascii="Times New Roman" w:hAnsi="Times New Roman"/>
          <w:sz w:val="32"/>
          <w:szCs w:val="32"/>
        </w:rPr>
        <w:t>71019</w:t>
      </w:r>
      <w:r>
        <w:rPr>
          <w:rFonts w:ascii="Times New Roman" w:hAnsi="Times New Roman"/>
          <w:sz w:val="32"/>
          <w:szCs w:val="32"/>
        </w:rPr>
        <w:t>万元，到位率</w:t>
      </w:r>
      <w:r>
        <w:rPr>
          <w:rFonts w:hint="eastAsia" w:ascii="Times New Roman" w:hAnsi="Times New Roman"/>
          <w:sz w:val="32"/>
          <w:szCs w:val="32"/>
        </w:rPr>
        <w:t>100</w:t>
      </w:r>
      <w:r>
        <w:rPr>
          <w:rFonts w:ascii="Times New Roman" w:hAnsi="Times New Roman"/>
          <w:sz w:val="32"/>
          <w:szCs w:val="32"/>
        </w:rPr>
        <w:t>%</w:t>
      </w:r>
      <w:r>
        <w:rPr>
          <w:rFonts w:hint="eastAsia" w:ascii="Times New Roman" w:hAnsi="Times New Roman"/>
          <w:sz w:val="32"/>
          <w:szCs w:val="32"/>
        </w:rPr>
        <w:t>。</w:t>
      </w:r>
    </w:p>
    <w:p>
      <w:pPr>
        <w:pStyle w:val="10"/>
        <w:spacing w:after="0" w:line="560" w:lineRule="exact"/>
        <w:ind w:left="0" w:leftChars="0" w:firstLine="640"/>
        <w:rPr>
          <w:rFonts w:ascii="Times New Roman" w:hAnsi="Times New Roman"/>
          <w:sz w:val="32"/>
          <w:szCs w:val="32"/>
        </w:rPr>
      </w:pPr>
      <w:r>
        <w:rPr>
          <w:rFonts w:ascii="Times New Roman" w:hAnsi="Times New Roman"/>
          <w:sz w:val="32"/>
          <w:szCs w:val="32"/>
        </w:rPr>
        <w:t>其中</w:t>
      </w:r>
      <w:r>
        <w:rPr>
          <w:rFonts w:hint="eastAsia" w:ascii="Times New Roman" w:hAnsi="Times New Roman"/>
          <w:sz w:val="32"/>
          <w:szCs w:val="32"/>
        </w:rPr>
        <w:t>：2023年11月《财政部关于提前下达2024年农业相关转移支付资金预算的通知》（财农〔2023〕87号）下达52201万元。2024年4月《财政部关于下达2024年农业经营主体能力提升资金预算的通知》（财农〔2024〕17号）下达18818万元</w:t>
      </w:r>
    </w:p>
    <w:p>
      <w:pPr>
        <w:pStyle w:val="10"/>
        <w:spacing w:after="0" w:line="560" w:lineRule="exact"/>
        <w:ind w:left="0" w:leftChars="0" w:firstLine="640"/>
        <w:rPr>
          <w:rFonts w:ascii="Times New Roman" w:hAnsi="Times New Roman"/>
          <w:b/>
          <w:bCs/>
          <w:sz w:val="32"/>
          <w:szCs w:val="32"/>
        </w:rPr>
      </w:pPr>
      <w:r>
        <w:rPr>
          <w:rFonts w:ascii="Times New Roman" w:hAnsi="Times New Roman"/>
          <w:b/>
          <w:bCs/>
          <w:sz w:val="32"/>
          <w:szCs w:val="32"/>
        </w:rPr>
        <w:t>2.项目资金执行情况分析</w:t>
      </w:r>
    </w:p>
    <w:p>
      <w:pPr>
        <w:pStyle w:val="10"/>
        <w:adjustRightInd w:val="0"/>
        <w:spacing w:after="0" w:line="560" w:lineRule="exact"/>
        <w:ind w:left="0" w:leftChars="0" w:firstLine="640"/>
        <w:rPr>
          <w:rFonts w:ascii="Times New Roman" w:hAnsi="Times New Roman"/>
          <w:sz w:val="32"/>
          <w:szCs w:val="32"/>
        </w:rPr>
      </w:pPr>
      <w:r>
        <w:rPr>
          <w:rFonts w:ascii="Times New Roman" w:hAnsi="Times New Roman"/>
          <w:sz w:val="32"/>
          <w:szCs w:val="32"/>
        </w:rPr>
        <w:t>202</w:t>
      </w:r>
      <w:r>
        <w:rPr>
          <w:rFonts w:hint="eastAsia" w:ascii="Times New Roman" w:hAnsi="Times New Roman"/>
          <w:sz w:val="32"/>
          <w:szCs w:val="32"/>
        </w:rPr>
        <w:t>4</w:t>
      </w:r>
      <w:r>
        <w:rPr>
          <w:rFonts w:ascii="Times New Roman" w:hAnsi="Times New Roman"/>
          <w:sz w:val="32"/>
          <w:szCs w:val="32"/>
        </w:rPr>
        <w:t>年度下达农业经营主体能力提升资金</w:t>
      </w:r>
      <w:r>
        <w:rPr>
          <w:rFonts w:hint="eastAsia" w:ascii="Times New Roman" w:hAnsi="Times New Roman"/>
          <w:sz w:val="32"/>
          <w:szCs w:val="32"/>
        </w:rPr>
        <w:t>71019</w:t>
      </w:r>
      <w:r>
        <w:rPr>
          <w:rFonts w:ascii="Times New Roman" w:hAnsi="Times New Roman"/>
          <w:sz w:val="32"/>
          <w:szCs w:val="32"/>
        </w:rPr>
        <w:t>万元</w:t>
      </w:r>
      <w:r>
        <w:rPr>
          <w:rFonts w:hint="eastAsia" w:ascii="Times New Roman" w:hAnsi="Times New Roman"/>
          <w:sz w:val="32"/>
          <w:szCs w:val="32"/>
        </w:rPr>
        <w:t>，</w:t>
      </w:r>
      <w:r>
        <w:rPr>
          <w:rFonts w:ascii="Times New Roman" w:hAnsi="Times New Roman"/>
          <w:sz w:val="32"/>
          <w:szCs w:val="32"/>
        </w:rPr>
        <w:t>截至202</w:t>
      </w:r>
      <w:r>
        <w:rPr>
          <w:rFonts w:hint="eastAsia" w:ascii="Times New Roman" w:hAnsi="Times New Roman"/>
          <w:sz w:val="32"/>
          <w:szCs w:val="32"/>
        </w:rPr>
        <w:t>4</w:t>
      </w:r>
      <w:r>
        <w:rPr>
          <w:rFonts w:ascii="Times New Roman" w:hAnsi="Times New Roman"/>
          <w:sz w:val="32"/>
          <w:szCs w:val="32"/>
        </w:rPr>
        <w:t>年12月31日，</w:t>
      </w:r>
      <w:r>
        <w:rPr>
          <w:rFonts w:hint="eastAsia" w:ascii="Times New Roman" w:hAnsi="Times New Roman"/>
          <w:sz w:val="32"/>
          <w:szCs w:val="32"/>
        </w:rPr>
        <w:t>资金执行60316.06</w:t>
      </w:r>
      <w:r>
        <w:rPr>
          <w:rFonts w:ascii="Times New Roman" w:hAnsi="Times New Roman"/>
          <w:sz w:val="32"/>
          <w:szCs w:val="32"/>
        </w:rPr>
        <w:t>万元</w:t>
      </w:r>
      <w:r>
        <w:rPr>
          <w:rFonts w:hint="eastAsia" w:ascii="Times New Roman" w:hAnsi="Times New Roman"/>
          <w:sz w:val="32"/>
          <w:szCs w:val="32"/>
        </w:rPr>
        <w:t>，资金执行率84.93%。</w:t>
      </w:r>
      <w:r>
        <w:rPr>
          <w:rFonts w:hint="eastAsia" w:ascii="Times New Roman" w:hAnsi="Times New Roman"/>
          <w:sz w:val="32"/>
          <w:szCs w:val="32"/>
          <w:lang w:val="en-US" w:eastAsia="zh-CN"/>
        </w:rPr>
        <w:t>自治区及</w:t>
      </w:r>
      <w:r>
        <w:rPr>
          <w:rFonts w:ascii="Times New Roman" w:hAnsi="Times New Roman"/>
          <w:sz w:val="32"/>
          <w:szCs w:val="32"/>
        </w:rPr>
        <w:t>各地州资金执行情况详见下表：</w:t>
      </w:r>
    </w:p>
    <w:p>
      <w:pPr>
        <w:pStyle w:val="15"/>
        <w:spacing w:line="560" w:lineRule="exact"/>
        <w:ind w:firstLine="441" w:firstLineChars="200"/>
        <w:jc w:val="center"/>
        <w:rPr>
          <w:rFonts w:ascii="Times New Roman" w:hAnsi="Times New Roman"/>
          <w:b/>
          <w:bCs/>
          <w:sz w:val="22"/>
          <w:szCs w:val="22"/>
        </w:rPr>
      </w:pPr>
      <w:r>
        <w:rPr>
          <w:rFonts w:ascii="Times New Roman" w:hAnsi="Times New Roman"/>
          <w:b/>
          <w:bCs/>
          <w:sz w:val="22"/>
          <w:szCs w:val="22"/>
        </w:rPr>
        <w:t>202</w:t>
      </w:r>
      <w:r>
        <w:rPr>
          <w:rFonts w:hint="eastAsia" w:ascii="Times New Roman" w:hAnsi="Times New Roman"/>
          <w:b/>
          <w:bCs/>
          <w:sz w:val="22"/>
          <w:szCs w:val="22"/>
        </w:rPr>
        <w:t>4</w:t>
      </w:r>
      <w:r>
        <w:rPr>
          <w:rFonts w:ascii="Times New Roman" w:hAnsi="Times New Roman"/>
          <w:b/>
          <w:bCs/>
          <w:sz w:val="22"/>
          <w:szCs w:val="22"/>
        </w:rPr>
        <w:t>年</w:t>
      </w:r>
      <w:r>
        <w:rPr>
          <w:rFonts w:hint="eastAsia" w:ascii="Times New Roman" w:hAnsi="Times New Roman"/>
          <w:b/>
          <w:bCs/>
          <w:sz w:val="22"/>
          <w:szCs w:val="22"/>
        </w:rPr>
        <w:t>农业经营主体能力提升资金</w:t>
      </w:r>
      <w:r>
        <w:rPr>
          <w:rFonts w:hint="eastAsia" w:ascii="Times New Roman" w:hAnsi="Times New Roman"/>
          <w:b/>
          <w:bCs/>
          <w:sz w:val="22"/>
          <w:szCs w:val="22"/>
          <w:lang w:val="en-US" w:eastAsia="zh-CN"/>
        </w:rPr>
        <w:t>自治区及</w:t>
      </w:r>
      <w:r>
        <w:rPr>
          <w:rFonts w:ascii="Times New Roman" w:hAnsi="Times New Roman"/>
          <w:b/>
          <w:bCs/>
          <w:sz w:val="22"/>
          <w:szCs w:val="22"/>
        </w:rPr>
        <w:t>各地州资金执行情况表</w:t>
      </w:r>
    </w:p>
    <w:p>
      <w:pPr>
        <w:pStyle w:val="15"/>
        <w:spacing w:line="560" w:lineRule="exact"/>
        <w:ind w:firstLine="441" w:firstLineChars="200"/>
        <w:jc w:val="right"/>
        <w:rPr>
          <w:rFonts w:ascii="Times New Roman" w:hAnsi="Times New Roman"/>
          <w:b/>
          <w:bCs/>
          <w:sz w:val="18"/>
          <w:szCs w:val="16"/>
        </w:rPr>
      </w:pPr>
      <w:r>
        <w:rPr>
          <w:rFonts w:ascii="Times New Roman" w:hAnsi="Times New Roman"/>
          <w:b/>
          <w:bCs/>
          <w:sz w:val="22"/>
          <w:szCs w:val="22"/>
        </w:rPr>
        <w:t xml:space="preserve"> 单位：万元</w:t>
      </w:r>
    </w:p>
    <w:tbl>
      <w:tblPr>
        <w:tblStyle w:val="11"/>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23"/>
        <w:gridCol w:w="1961"/>
        <w:gridCol w:w="1623"/>
        <w:gridCol w:w="1689"/>
        <w:gridCol w:w="16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地州/单位</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分配金额</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执行数</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 xml:space="preserve">伊犁州  </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7351</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6348.43</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 xml:space="preserve">塔城地区  </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4636</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3731.7</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 xml:space="preserve">阿勒泰地区  </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3068</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2510.84</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 xml:space="preserve">昌吉州  </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6109.5</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6038.5</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乌鲁木齐市</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431</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415.04</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 xml:space="preserve">克拉玛依市  </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453</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451.22</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 xml:space="preserve">博州  </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3150</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3118.09</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 xml:space="preserve">吐鲁番市  </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2727</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1873.25</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 xml:space="preserve">哈密市  </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1459</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838.53</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 xml:space="preserve">巴州  </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5631</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4576.97</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 xml:space="preserve">阿克苏地区  </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12388</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9758.36</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 xml:space="preserve">克州  </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1722</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1133.53</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 xml:space="preserve">喀什地区  </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7696</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6854.71</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和田地区</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3971</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2440.4</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自治区本级</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10226.5</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10226.5</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楷体" w:hAnsi="楷体" w:eastAsia="楷体" w:cs="楷体"/>
                <w:b/>
                <w:bCs/>
                <w:i w:val="0"/>
                <w:iCs w:val="0"/>
                <w:color w:val="000000"/>
                <w:sz w:val="20"/>
                <w:szCs w:val="20"/>
                <w:u w:val="none"/>
              </w:rPr>
            </w:pPr>
            <w:r>
              <w:rPr>
                <w:rFonts w:hint="eastAsia" w:ascii="楷体" w:hAnsi="楷体" w:eastAsia="楷体" w:cs="楷体"/>
                <w:b/>
                <w:bCs/>
                <w:i w:val="0"/>
                <w:iCs w:val="0"/>
                <w:color w:val="000000"/>
                <w:kern w:val="0"/>
                <w:sz w:val="20"/>
                <w:szCs w:val="20"/>
                <w:u w:val="none"/>
                <w:lang w:val="en-US" w:eastAsia="zh-CN" w:bidi="ar"/>
              </w:rPr>
              <w:t>合计</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71019</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60316.06</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84.93%</w:t>
            </w:r>
          </w:p>
        </w:tc>
      </w:tr>
    </w:tbl>
    <w:p>
      <w:pPr>
        <w:pStyle w:val="15"/>
        <w:spacing w:line="560" w:lineRule="exact"/>
        <w:ind w:firstLine="361" w:firstLineChars="200"/>
        <w:jc w:val="both"/>
        <w:rPr>
          <w:rFonts w:ascii="Times New Roman" w:hAnsi="Times New Roman"/>
          <w:b/>
          <w:bCs/>
          <w:sz w:val="18"/>
          <w:szCs w:val="16"/>
        </w:rPr>
      </w:pPr>
    </w:p>
    <w:p>
      <w:pPr>
        <w:spacing w:line="560" w:lineRule="exact"/>
        <w:ind w:firstLine="642" w:firstLineChars="200"/>
        <w:rPr>
          <w:b/>
          <w:bCs/>
          <w:sz w:val="32"/>
          <w:szCs w:val="32"/>
        </w:rPr>
      </w:pPr>
      <w:r>
        <w:rPr>
          <w:b/>
          <w:bCs/>
          <w:sz w:val="32"/>
          <w:szCs w:val="32"/>
        </w:rPr>
        <w:t>（二）项目资金管理情况分析</w:t>
      </w:r>
    </w:p>
    <w:p>
      <w:pPr>
        <w:spacing w:line="560" w:lineRule="exact"/>
        <w:ind w:firstLine="640" w:firstLineChars="200"/>
        <w:rPr>
          <w:b/>
          <w:bCs/>
          <w:sz w:val="32"/>
          <w:szCs w:val="32"/>
        </w:rPr>
      </w:pPr>
      <w:r>
        <w:rPr>
          <w:rFonts w:hint="eastAsia"/>
          <w:sz w:val="32"/>
          <w:szCs w:val="32"/>
          <w:shd w:val="clear" w:color="auto" w:fill="FFFFFF"/>
          <w:lang w:val="en-US" w:eastAsia="zh-CN"/>
        </w:rPr>
        <w:t>按照</w:t>
      </w:r>
      <w:r>
        <w:rPr>
          <w:spacing w:val="-2"/>
          <w:sz w:val="32"/>
          <w:szCs w:val="32"/>
        </w:rPr>
        <w:t>《财政部农业农村部关于修订农业相关转移支付资金管理办法的通知》</w:t>
      </w:r>
      <w:r>
        <w:rPr>
          <w:rFonts w:hint="eastAsia"/>
          <w:spacing w:val="-2"/>
          <w:sz w:val="32"/>
          <w:szCs w:val="32"/>
        </w:rPr>
        <w:t>（</w:t>
      </w:r>
      <w:r>
        <w:rPr>
          <w:spacing w:val="-2"/>
          <w:sz w:val="32"/>
          <w:szCs w:val="32"/>
        </w:rPr>
        <w:t>财农〔2022〕25号）</w:t>
      </w:r>
      <w:r>
        <w:rPr>
          <w:rFonts w:hint="eastAsia"/>
          <w:spacing w:val="-2"/>
          <w:sz w:val="32"/>
          <w:szCs w:val="32"/>
          <w:lang w:eastAsia="zh-CN"/>
        </w:rPr>
        <w:t>、</w:t>
      </w:r>
      <w:r>
        <w:rPr>
          <w:sz w:val="32"/>
          <w:szCs w:val="32"/>
          <w:shd w:val="clear" w:color="auto" w:fill="FFFFFF"/>
        </w:rPr>
        <w:t>《中共中央国务院关于全面实施预算绩效管理的意见》、《关于印发&lt;自治区本级部门预算绩效目标管理办法&gt;的通知》（新财预〔2017〕21号</w:t>
      </w:r>
      <w:r>
        <w:rPr>
          <w:rFonts w:hint="eastAsia"/>
          <w:sz w:val="32"/>
          <w:szCs w:val="32"/>
          <w:shd w:val="clear" w:color="auto" w:fill="FFFFFF"/>
        </w:rPr>
        <w:t>）</w:t>
      </w:r>
      <w:r>
        <w:rPr>
          <w:sz w:val="32"/>
          <w:szCs w:val="32"/>
          <w:shd w:val="clear" w:color="auto" w:fill="FFFFFF"/>
        </w:rPr>
        <w:t>、《关于印发&lt;新疆维吾尔自治区农业相关转移支付资金绩效管理办法实施细则&gt;的通知》（新财规〔2020〕15号）</w:t>
      </w:r>
      <w:r>
        <w:rPr>
          <w:rFonts w:hint="eastAsia"/>
          <w:sz w:val="32"/>
          <w:szCs w:val="32"/>
          <w:shd w:val="clear" w:color="auto" w:fill="FFFFFF"/>
          <w:lang w:val="en-US" w:eastAsia="zh-CN"/>
        </w:rPr>
        <w:t>，落实资金整体管理，专款专用、及时拨付、规范支付，保障中央农业经营主体能力提升资金支付需求，保障中央农业经营主体能力提升资金项目顺利实施。</w:t>
      </w:r>
    </w:p>
    <w:p>
      <w:pPr>
        <w:spacing w:line="560" w:lineRule="exact"/>
        <w:ind w:firstLine="642" w:firstLineChars="200"/>
        <w:rPr>
          <w:sz w:val="32"/>
          <w:szCs w:val="32"/>
        </w:rPr>
      </w:pPr>
      <w:r>
        <w:rPr>
          <w:b/>
          <w:bCs/>
          <w:sz w:val="32"/>
          <w:szCs w:val="32"/>
        </w:rPr>
        <w:t>1.资金分配科学性：</w:t>
      </w:r>
      <w:r>
        <w:rPr>
          <w:rFonts w:hint="eastAsia"/>
          <w:sz w:val="32"/>
          <w:szCs w:val="32"/>
        </w:rPr>
        <w:t>一是</w:t>
      </w:r>
      <w:r>
        <w:rPr>
          <w:sz w:val="32"/>
          <w:szCs w:val="32"/>
        </w:rPr>
        <w:t>摸清任务需求。聚焦粮棉油等大宗农作物，提前安排各地全面摸清小农户农业生产托管服务需求，认真梳理各类主体服务能力情况，以地（州、市）为单位，向自治区报送任务需求面积及项目实施主体情况报告，为年度项目资金分配及项目实施提供决策参考。</w:t>
      </w:r>
      <w:r>
        <w:rPr>
          <w:rFonts w:hint="eastAsia"/>
          <w:sz w:val="32"/>
          <w:szCs w:val="32"/>
        </w:rPr>
        <w:t>二是</w:t>
      </w:r>
      <w:r>
        <w:rPr>
          <w:sz w:val="32"/>
          <w:szCs w:val="32"/>
        </w:rPr>
        <w:t>科学编制方案。加强与部合作经济指导司沟通，明确资金使用方向，在各地上报项目需求基础上，充分考虑作物面积及社会化服务创新试点情况，结合上年度项目绩效评价等因素，科学合理制定资金分配方案。按照有关文件精神，因地制宜制定项目实施方案，按程序经部合作经济指导司审核后印发各地实施。</w:t>
      </w:r>
      <w:r>
        <w:rPr>
          <w:rFonts w:hint="eastAsia"/>
          <w:sz w:val="32"/>
          <w:szCs w:val="32"/>
        </w:rPr>
        <w:t>三是</w:t>
      </w:r>
      <w:r>
        <w:rPr>
          <w:sz w:val="32"/>
          <w:szCs w:val="32"/>
        </w:rPr>
        <w:t>根据各地州粮食种植面积，项目资金优先用于支持伊犁州、塔城地区、阿勒泰地区、昌吉州、博州、巴州、阿克苏地区、喀什地区、和田地区9个粮食种植面积较大、单产提升潜力较高的地州。</w:t>
      </w:r>
    </w:p>
    <w:p>
      <w:pPr>
        <w:spacing w:line="560" w:lineRule="exact"/>
        <w:ind w:firstLine="642" w:firstLineChars="200"/>
        <w:rPr>
          <w:sz w:val="32"/>
          <w:szCs w:val="32"/>
        </w:rPr>
      </w:pPr>
      <w:r>
        <w:rPr>
          <w:b/>
          <w:bCs/>
          <w:sz w:val="32"/>
          <w:szCs w:val="32"/>
        </w:rPr>
        <w:t>2.资金下达及时性：</w:t>
      </w:r>
      <w:r>
        <w:rPr>
          <w:rFonts w:hint="eastAsia"/>
          <w:sz w:val="32"/>
          <w:szCs w:val="32"/>
        </w:rPr>
        <w:t>2023年11月《财政部关于提前下达2024年农业相关转移支付资金预算的通知》（财农〔2023〕87号）下达52201万元。2024年4月《财政部关于下达2024年农业经营主体能力提升资金预算的通知》（财农〔2024〕17号）下达18818万元，合计下达71019万元。</w:t>
      </w:r>
      <w:r>
        <w:rPr>
          <w:sz w:val="32"/>
          <w:szCs w:val="32"/>
        </w:rPr>
        <w:t>根据财政部、农业</w:t>
      </w:r>
      <w:r>
        <w:rPr>
          <w:rFonts w:hint="eastAsia"/>
          <w:sz w:val="32"/>
          <w:szCs w:val="32"/>
        </w:rPr>
        <w:t>农村</w:t>
      </w:r>
      <w:r>
        <w:rPr>
          <w:sz w:val="32"/>
          <w:szCs w:val="32"/>
        </w:rPr>
        <w:t>部有关要求，农业农村厅收到资金文件后，在规定时限内，按管理办法规定提出具体资金分配方案，经厅党组审议同意后，正式行文报财政厅申请下达资金</w:t>
      </w:r>
      <w:r>
        <w:rPr>
          <w:rFonts w:hint="eastAsia"/>
          <w:sz w:val="32"/>
          <w:szCs w:val="32"/>
        </w:rPr>
        <w:t>。</w:t>
      </w:r>
      <w:r>
        <w:rPr>
          <w:sz w:val="32"/>
          <w:szCs w:val="32"/>
        </w:rPr>
        <w:t>专项资金及时拨付至各地县，</w:t>
      </w:r>
      <w:r>
        <w:rPr>
          <w:kern w:val="0"/>
          <w:sz w:val="32"/>
          <w:szCs w:val="32"/>
          <w:lang w:bidi="ar"/>
        </w:rPr>
        <w:t>资金分解下达及时</w:t>
      </w:r>
      <w:r>
        <w:rPr>
          <w:rFonts w:hint="eastAsia"/>
          <w:kern w:val="0"/>
          <w:sz w:val="32"/>
          <w:szCs w:val="32"/>
          <w:lang w:bidi="ar"/>
        </w:rPr>
        <w:t>。</w:t>
      </w:r>
    </w:p>
    <w:p>
      <w:pPr>
        <w:spacing w:line="560" w:lineRule="exact"/>
        <w:ind w:firstLine="642" w:firstLineChars="200"/>
        <w:rPr>
          <w:sz w:val="32"/>
          <w:szCs w:val="32"/>
        </w:rPr>
      </w:pPr>
      <w:r>
        <w:rPr>
          <w:b/>
          <w:bCs/>
          <w:sz w:val="32"/>
          <w:szCs w:val="32"/>
        </w:rPr>
        <w:t>3.资金拨付合规性：</w:t>
      </w:r>
      <w:r>
        <w:rPr>
          <w:spacing w:val="-2"/>
          <w:sz w:val="32"/>
          <w:szCs w:val="32"/>
        </w:rPr>
        <w:t>按照《财政部农业农村部关于修订农业相关转移支付资金管理办法的通知》</w:t>
      </w:r>
      <w:r>
        <w:rPr>
          <w:rFonts w:hint="eastAsia"/>
          <w:spacing w:val="-2"/>
          <w:sz w:val="32"/>
          <w:szCs w:val="32"/>
        </w:rPr>
        <w:t>（</w:t>
      </w:r>
      <w:r>
        <w:rPr>
          <w:spacing w:val="-2"/>
          <w:sz w:val="32"/>
          <w:szCs w:val="32"/>
        </w:rPr>
        <w:t>财农〔2022〕25号）文件的“第三章资金分配和预算下达”要求，严格按照国库集中支付制度有关规定支付资金，未出现违规将资金从国库转入财政专户或支付到预算单位实有资金账户等问题</w:t>
      </w:r>
      <w:r>
        <w:rPr>
          <w:sz w:val="32"/>
          <w:szCs w:val="32"/>
          <w:shd w:val="clear" w:color="auto" w:fill="FFFFFF"/>
        </w:rPr>
        <w:t>，资金拨付合规</w:t>
      </w:r>
      <w:r>
        <w:rPr>
          <w:rFonts w:hint="eastAsia"/>
          <w:sz w:val="32"/>
          <w:szCs w:val="32"/>
          <w:shd w:val="clear" w:color="auto" w:fill="FFFFFF"/>
        </w:rPr>
        <w:t>。</w:t>
      </w:r>
    </w:p>
    <w:p>
      <w:pPr>
        <w:spacing w:line="560" w:lineRule="exact"/>
        <w:ind w:firstLine="642" w:firstLineChars="200"/>
        <w:rPr>
          <w:sz w:val="32"/>
          <w:szCs w:val="32"/>
        </w:rPr>
      </w:pPr>
      <w:r>
        <w:rPr>
          <w:b/>
          <w:bCs/>
          <w:sz w:val="32"/>
          <w:szCs w:val="32"/>
        </w:rPr>
        <w:t>4.资金使用规范性：</w:t>
      </w:r>
      <w:r>
        <w:rPr>
          <w:rFonts w:hint="eastAsia"/>
          <w:sz w:val="32"/>
          <w:szCs w:val="32"/>
        </w:rPr>
        <w:t>按照</w:t>
      </w:r>
      <w:r>
        <w:rPr>
          <w:sz w:val="32"/>
          <w:szCs w:val="32"/>
        </w:rPr>
        <w:t>《财政部农业农村部关于修订农业相关转移支付资金管理办法的通知》（财农〔2022〕25号）要求，建立资金使用台账，加强资金监管，实行统筹管理、专项核算、专职会计。坚持实事求是的原则，严格执行财务制度，做到原始凭证齐全，财务手续健全，账目核算规范。做</w:t>
      </w:r>
      <w:r>
        <w:rPr>
          <w:rFonts w:hint="eastAsia"/>
          <w:sz w:val="32"/>
          <w:szCs w:val="32"/>
        </w:rPr>
        <w:t>到</w:t>
      </w:r>
      <w:r>
        <w:rPr>
          <w:sz w:val="32"/>
          <w:szCs w:val="32"/>
        </w:rPr>
        <w:t>项目资金专款专储专用，杜绝任何形式的资金占用。</w:t>
      </w:r>
    </w:p>
    <w:p>
      <w:pPr>
        <w:spacing w:line="560" w:lineRule="exact"/>
        <w:ind w:firstLine="640" w:firstLineChars="200"/>
        <w:rPr>
          <w:sz w:val="32"/>
          <w:szCs w:val="32"/>
        </w:rPr>
      </w:pPr>
      <w:r>
        <w:rPr>
          <w:sz w:val="32"/>
          <w:szCs w:val="32"/>
        </w:rPr>
        <w:t>资金使用符合农业经营主体能力提升</w:t>
      </w:r>
      <w:r>
        <w:rPr>
          <w:rFonts w:hint="eastAsia"/>
          <w:sz w:val="32"/>
          <w:szCs w:val="32"/>
        </w:rPr>
        <w:t>资金</w:t>
      </w:r>
      <w:r>
        <w:rPr>
          <w:sz w:val="32"/>
          <w:szCs w:val="32"/>
        </w:rPr>
        <w:t>使用范围要求，</w:t>
      </w:r>
      <w:r>
        <w:rPr>
          <w:kern w:val="0"/>
          <w:sz w:val="32"/>
          <w:szCs w:val="32"/>
          <w:lang w:bidi="ar"/>
        </w:rPr>
        <w:t>在中央巡视、各级审计和财政监督中未发现问题</w:t>
      </w:r>
      <w:r>
        <w:rPr>
          <w:rFonts w:hint="eastAsia"/>
          <w:kern w:val="0"/>
          <w:sz w:val="32"/>
          <w:szCs w:val="32"/>
          <w:lang w:bidi="ar"/>
        </w:rPr>
        <w:t>。</w:t>
      </w:r>
    </w:p>
    <w:p>
      <w:pPr>
        <w:numPr>
          <w:ilvl w:val="0"/>
          <w:numId w:val="0"/>
        </w:numPr>
        <w:spacing w:line="560" w:lineRule="exact"/>
        <w:ind w:firstLine="642" w:firstLineChars="200"/>
        <w:rPr>
          <w:rFonts w:hint="eastAsia"/>
          <w:sz w:val="32"/>
          <w:szCs w:val="32"/>
          <w:lang w:val="en-US" w:eastAsia="zh-CN"/>
        </w:rPr>
      </w:pPr>
      <w:r>
        <w:rPr>
          <w:rFonts w:hint="eastAsia"/>
          <w:b/>
          <w:bCs/>
          <w:sz w:val="32"/>
          <w:szCs w:val="32"/>
          <w:lang w:val="en-US" w:eastAsia="zh-CN"/>
        </w:rPr>
        <w:t>5.</w:t>
      </w:r>
      <w:r>
        <w:rPr>
          <w:b/>
          <w:bCs/>
          <w:sz w:val="32"/>
          <w:szCs w:val="32"/>
        </w:rPr>
        <w:t>资金执行准确性</w:t>
      </w:r>
      <w:r>
        <w:rPr>
          <w:sz w:val="32"/>
          <w:szCs w:val="32"/>
        </w:rPr>
        <w:t>：自治区</w:t>
      </w:r>
      <w:r>
        <w:rPr>
          <w:sz w:val="32"/>
          <w:szCs w:val="32"/>
          <w:lang w:val="en"/>
        </w:rPr>
        <w:t>农业农村厅印发《关于全力以赴抓好2023年涉农项目资金监管工作的通知》、《关于印发</w:t>
      </w:r>
      <w:r>
        <w:rPr>
          <w:sz w:val="32"/>
          <w:szCs w:val="32"/>
        </w:rPr>
        <w:t>&lt;</w:t>
      </w:r>
      <w:r>
        <w:rPr>
          <w:sz w:val="32"/>
          <w:szCs w:val="32"/>
          <w:lang w:val="en"/>
        </w:rPr>
        <w:t>关于加强农业农村厅涉农资金规范管理的办法（试行）</w:t>
      </w:r>
      <w:r>
        <w:rPr>
          <w:sz w:val="32"/>
          <w:szCs w:val="32"/>
        </w:rPr>
        <w:t>&gt;</w:t>
      </w:r>
      <w:r>
        <w:rPr>
          <w:sz w:val="32"/>
          <w:szCs w:val="32"/>
          <w:lang w:val="en"/>
        </w:rPr>
        <w:t>的通知》等，委托第三方</w:t>
      </w:r>
      <w:r>
        <w:rPr>
          <w:sz w:val="32"/>
          <w:szCs w:val="32"/>
        </w:rPr>
        <w:t>专业机构</w:t>
      </w:r>
      <w:r>
        <w:rPr>
          <w:sz w:val="32"/>
          <w:szCs w:val="32"/>
          <w:lang w:val="en"/>
        </w:rPr>
        <w:t>对项目开展实地绩效评价，</w:t>
      </w:r>
      <w:r>
        <w:rPr>
          <w:sz w:val="32"/>
          <w:szCs w:val="32"/>
        </w:rPr>
        <w:t>对发现问题通过发提醒函或约谈等形式及时协调推动解决，</w:t>
      </w:r>
      <w:r>
        <w:rPr>
          <w:sz w:val="32"/>
          <w:szCs w:val="32"/>
          <w:lang w:val="en"/>
        </w:rPr>
        <w:t>督促做好涉农项目资金管理工作。</w:t>
      </w:r>
      <w:r>
        <w:rPr>
          <w:rFonts w:hint="eastAsia"/>
          <w:sz w:val="32"/>
          <w:szCs w:val="32"/>
          <w:lang w:val="en"/>
        </w:rPr>
        <w:t>大部分项目能够按照规定的范围和用途执行资金</w:t>
      </w:r>
      <w:r>
        <w:rPr>
          <w:rFonts w:hint="eastAsia"/>
          <w:sz w:val="32"/>
          <w:szCs w:val="32"/>
          <w:lang w:val="en" w:eastAsia="zh-CN"/>
        </w:rPr>
        <w:t>额</w:t>
      </w:r>
      <w:r>
        <w:rPr>
          <w:rFonts w:hint="eastAsia"/>
          <w:sz w:val="32"/>
          <w:szCs w:val="32"/>
          <w:lang w:val="en"/>
        </w:rPr>
        <w:t>，</w:t>
      </w:r>
      <w:r>
        <w:rPr>
          <w:rFonts w:hint="eastAsia"/>
          <w:sz w:val="32"/>
          <w:szCs w:val="32"/>
          <w:lang w:val="en" w:eastAsia="zh-CN"/>
        </w:rPr>
        <w:t>保障</w:t>
      </w:r>
      <w:r>
        <w:rPr>
          <w:rFonts w:hint="eastAsia"/>
          <w:sz w:val="32"/>
          <w:szCs w:val="32"/>
          <w:lang w:val="en"/>
        </w:rPr>
        <w:t>资金精准用于农业经营主体提升项目。部分地区建立了资金执行信息公开机制，提高了资金执行的透明度和准确性</w:t>
      </w:r>
      <w:r>
        <w:rPr>
          <w:rFonts w:hint="eastAsia"/>
          <w:sz w:val="32"/>
          <w:szCs w:val="32"/>
          <w:lang w:val="en" w:eastAsia="zh-CN"/>
        </w:rPr>
        <w:t>。</w:t>
      </w:r>
      <w:r>
        <w:rPr>
          <w:rFonts w:hint="eastAsia"/>
          <w:sz w:val="32"/>
          <w:szCs w:val="32"/>
          <w:lang w:val="en-US" w:eastAsia="zh-CN"/>
        </w:rPr>
        <w:t>严格执行向下到十四个地州及自治区本级的资金，明确资金使用范围严格按照政策文件规定的范围执行资金，保障资金精准用于农业经营主体提升项目。对资金使用范围进行细化，避免模糊地带导致的资金执行偏离目标。</w:t>
      </w:r>
    </w:p>
    <w:p>
      <w:pPr>
        <w:numPr>
          <w:ilvl w:val="0"/>
          <w:numId w:val="0"/>
        </w:numPr>
        <w:spacing w:line="560" w:lineRule="exact"/>
        <w:ind w:firstLine="642" w:firstLineChars="200"/>
        <w:rPr>
          <w:sz w:val="32"/>
          <w:szCs w:val="32"/>
        </w:rPr>
      </w:pPr>
      <w:r>
        <w:rPr>
          <w:b/>
          <w:bCs/>
          <w:sz w:val="32"/>
          <w:szCs w:val="32"/>
        </w:rPr>
        <w:t>6.预算绩效管理情况：</w:t>
      </w:r>
      <w:r>
        <w:rPr>
          <w:sz w:val="32"/>
          <w:szCs w:val="32"/>
          <w:shd w:val="clear" w:color="auto" w:fill="FFFFFF"/>
        </w:rPr>
        <w:t>按照《中共中央国务院关于全面实施预算绩效管理的意见》、《关于印发&lt;自治区本级部门预算绩效目标管理办法&gt;的通知》（新财预〔2017〕21号</w:t>
      </w:r>
      <w:r>
        <w:rPr>
          <w:rFonts w:hint="eastAsia"/>
          <w:sz w:val="32"/>
          <w:szCs w:val="32"/>
          <w:shd w:val="clear" w:color="auto" w:fill="FFFFFF"/>
        </w:rPr>
        <w:t>）</w:t>
      </w:r>
      <w:r>
        <w:rPr>
          <w:sz w:val="32"/>
          <w:szCs w:val="32"/>
          <w:shd w:val="clear" w:color="auto" w:fill="FFFFFF"/>
        </w:rPr>
        <w:t>、《关于印发&lt;新疆维吾尔自治区农业相关转移支付资金绩效管理办法实施细则&gt;的通知》（新财规〔2020〕15号）等相关文件要求，</w:t>
      </w:r>
      <w:r>
        <w:rPr>
          <w:rFonts w:hint="eastAsia"/>
          <w:sz w:val="32"/>
          <w:szCs w:val="32"/>
          <w:shd w:val="clear" w:color="auto" w:fill="FFFFFF"/>
        </w:rPr>
        <w:t>部分农业经营主体项目能够按照绩效目标使用资金，</w:t>
      </w:r>
      <w:r>
        <w:rPr>
          <w:rFonts w:hint="eastAsia"/>
          <w:sz w:val="32"/>
          <w:szCs w:val="32"/>
          <w:shd w:val="clear" w:color="auto" w:fill="FFFFFF"/>
          <w:lang w:eastAsia="zh-CN"/>
        </w:rPr>
        <w:t>保障</w:t>
      </w:r>
      <w:r>
        <w:rPr>
          <w:rFonts w:hint="eastAsia"/>
          <w:sz w:val="32"/>
          <w:szCs w:val="32"/>
          <w:shd w:val="clear" w:color="auto" w:fill="FFFFFF"/>
        </w:rPr>
        <w:t>资金使用效益。部分地区建立了绩效监控机制，定期对项目进展和资金使用情况进行跟踪。制定具体、可量化的绩效目标，</w:t>
      </w:r>
      <w:r>
        <w:rPr>
          <w:rFonts w:hint="eastAsia"/>
          <w:sz w:val="32"/>
          <w:szCs w:val="32"/>
          <w:shd w:val="clear" w:color="auto" w:fill="FFFFFF"/>
          <w:lang w:eastAsia="zh-CN"/>
        </w:rPr>
        <w:t>保障</w:t>
      </w:r>
      <w:r>
        <w:rPr>
          <w:rFonts w:hint="eastAsia"/>
          <w:sz w:val="32"/>
          <w:szCs w:val="32"/>
          <w:shd w:val="clear" w:color="auto" w:fill="FFFFFF"/>
        </w:rPr>
        <w:t>目标具有可操作性和可评估性。将绩效目标与资金分配挂钩，</w:t>
      </w:r>
      <w:r>
        <w:rPr>
          <w:rFonts w:hint="eastAsia"/>
          <w:sz w:val="32"/>
          <w:szCs w:val="32"/>
          <w:shd w:val="clear" w:color="auto" w:fill="FFFFFF"/>
          <w:lang w:eastAsia="zh-CN"/>
        </w:rPr>
        <w:t>保障</w:t>
      </w:r>
      <w:r>
        <w:rPr>
          <w:rFonts w:hint="eastAsia"/>
          <w:sz w:val="32"/>
          <w:szCs w:val="32"/>
          <w:shd w:val="clear" w:color="auto" w:fill="FFFFFF"/>
        </w:rPr>
        <w:t>资金使用与目标实现紧密结合</w:t>
      </w:r>
      <w:r>
        <w:rPr>
          <w:rFonts w:hint="eastAsia"/>
          <w:sz w:val="32"/>
          <w:szCs w:val="32"/>
          <w:shd w:val="clear" w:color="auto" w:fill="FFFFFF"/>
          <w:lang w:eastAsia="zh-CN"/>
        </w:rPr>
        <w:t>。推行全过程绩效管理，将资金使用效率与项目目标实现情况挂钩。</w:t>
      </w:r>
    </w:p>
    <w:p>
      <w:pPr>
        <w:pStyle w:val="10"/>
        <w:spacing w:after="0" w:line="560" w:lineRule="exact"/>
        <w:ind w:left="0" w:leftChars="0" w:firstLine="640"/>
        <w:rPr>
          <w:rFonts w:ascii="Times New Roman" w:hAnsi="Times New Roman"/>
          <w:sz w:val="32"/>
          <w:szCs w:val="32"/>
          <w:shd w:val="clear" w:color="auto" w:fill="FFFFFF"/>
        </w:rPr>
      </w:pPr>
      <w:r>
        <w:rPr>
          <w:rFonts w:ascii="Times New Roman" w:hAnsi="Times New Roman"/>
          <w:b/>
          <w:bCs/>
          <w:sz w:val="32"/>
          <w:szCs w:val="32"/>
        </w:rPr>
        <w:t>7.支出责任履行情况：</w:t>
      </w:r>
      <w:r>
        <w:rPr>
          <w:rFonts w:ascii="Times New Roman" w:hAnsi="Times New Roman"/>
          <w:sz w:val="32"/>
          <w:szCs w:val="32"/>
          <w:shd w:val="clear" w:color="auto" w:fill="FFFFFF"/>
        </w:rPr>
        <w:t>对共同财政事权转移支付，按照财政事权和支出责任划分有关规定，足额安排资金履行本级支出责任，支出责任履行情况良好。</w:t>
      </w:r>
    </w:p>
    <w:p>
      <w:pPr>
        <w:pStyle w:val="10"/>
        <w:spacing w:after="0" w:line="560" w:lineRule="exact"/>
        <w:ind w:left="0" w:leftChars="0" w:firstLine="640"/>
        <w:rPr>
          <w:rFonts w:ascii="Times New Roman" w:hAnsi="Times New Roman"/>
          <w:color w:val="FF0000"/>
          <w:sz w:val="32"/>
          <w:szCs w:val="32"/>
        </w:rPr>
      </w:pPr>
      <w:r>
        <w:rPr>
          <w:rFonts w:ascii="Times New Roman" w:hAnsi="Times New Roman"/>
          <w:sz w:val="32"/>
          <w:szCs w:val="32"/>
          <w:lang w:eastAsia="zh-Hans"/>
        </w:rPr>
        <w:t>项目实施乡镇人民政府为直接责任人，地州市县农业农村局为项目主管部门对项目资金使用、监督和验收负主体责任；单位主要领导为项目监督和实施第一责任人</w:t>
      </w:r>
      <w:r>
        <w:rPr>
          <w:rFonts w:ascii="Times New Roman" w:hAnsi="Times New Roman"/>
          <w:sz w:val="32"/>
          <w:szCs w:val="32"/>
        </w:rPr>
        <w:t>，</w:t>
      </w:r>
      <w:r>
        <w:rPr>
          <w:rFonts w:ascii="Times New Roman" w:hAnsi="Times New Roman"/>
          <w:sz w:val="32"/>
          <w:szCs w:val="32"/>
          <w:lang w:eastAsia="zh-Hans"/>
        </w:rPr>
        <w:t>主动与财政部门做好项目资金对接落实工作，</w:t>
      </w:r>
      <w:r>
        <w:rPr>
          <w:rFonts w:hint="eastAsia" w:ascii="Times New Roman" w:hAnsi="Times New Roman"/>
          <w:sz w:val="32"/>
          <w:szCs w:val="32"/>
          <w:lang w:eastAsia="zh-CN"/>
        </w:rPr>
        <w:t>保障</w:t>
      </w:r>
      <w:r>
        <w:rPr>
          <w:rFonts w:ascii="Times New Roman" w:hAnsi="Times New Roman"/>
          <w:sz w:val="32"/>
          <w:szCs w:val="32"/>
          <w:lang w:eastAsia="zh-Hans"/>
        </w:rPr>
        <w:t>资金及时到位，安全使用；</w:t>
      </w:r>
      <w:r>
        <w:rPr>
          <w:rFonts w:ascii="Times New Roman" w:hAnsi="Times New Roman"/>
          <w:sz w:val="32"/>
          <w:szCs w:val="32"/>
        </w:rPr>
        <w:t>自治区农业农村厅</w:t>
      </w:r>
      <w:r>
        <w:rPr>
          <w:rFonts w:ascii="Times New Roman" w:hAnsi="Times New Roman"/>
          <w:sz w:val="32"/>
          <w:szCs w:val="32"/>
          <w:lang w:eastAsia="zh-Hans"/>
        </w:rPr>
        <w:t>建立项目执行定期调度督导机制，及时掌握项目执行和资金使用情况，</w:t>
      </w:r>
      <w:r>
        <w:rPr>
          <w:rFonts w:ascii="Times New Roman" w:hAnsi="Times New Roman"/>
          <w:sz w:val="32"/>
          <w:szCs w:val="32"/>
        </w:rPr>
        <w:t>不断总结经验和问题，</w:t>
      </w:r>
      <w:r>
        <w:rPr>
          <w:rFonts w:hint="eastAsia" w:ascii="Times New Roman" w:hAnsi="Times New Roman"/>
          <w:sz w:val="32"/>
          <w:szCs w:val="32"/>
          <w:lang w:eastAsia="zh-CN"/>
        </w:rPr>
        <w:t>保障</w:t>
      </w:r>
      <w:r>
        <w:rPr>
          <w:rFonts w:ascii="Times New Roman" w:hAnsi="Times New Roman"/>
          <w:sz w:val="32"/>
          <w:szCs w:val="32"/>
          <w:lang w:eastAsia="zh-Hans"/>
        </w:rPr>
        <w:t>项目执行到位、资金使用规范。</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eastAsia="楷体"/>
          <w:b/>
          <w:bCs/>
          <w:sz w:val="32"/>
          <w:szCs w:val="32"/>
        </w:rPr>
      </w:pPr>
      <w:r>
        <w:rPr>
          <w:rFonts w:eastAsia="楷体"/>
          <w:b/>
          <w:bCs/>
          <w:sz w:val="32"/>
          <w:szCs w:val="32"/>
        </w:rPr>
        <w:t>（三）总体绩效目标完成情况分析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2"/>
        </w:rPr>
      </w:pPr>
      <w:r>
        <w:rPr>
          <w:sz w:val="32"/>
          <w:szCs w:val="32"/>
        </w:rPr>
        <w:t>202</w:t>
      </w:r>
      <w:r>
        <w:rPr>
          <w:rFonts w:hint="eastAsia"/>
          <w:sz w:val="32"/>
          <w:szCs w:val="32"/>
        </w:rPr>
        <w:t>4</w:t>
      </w:r>
      <w:r>
        <w:rPr>
          <w:sz w:val="32"/>
          <w:szCs w:val="32"/>
        </w:rPr>
        <w:t>年，</w:t>
      </w:r>
      <w:r>
        <w:rPr>
          <w:rFonts w:hint="eastAsia"/>
          <w:sz w:val="32"/>
          <w:szCs w:val="32"/>
        </w:rPr>
        <w:t>全年完成支持的农民合作社数量160个、持的家庭农场数量240个、培育奶业新型经营主体数量49个、落实单产提升关键技术面积、高素质农民培育数量12791人、学用贯通培育数量200人、农村实用人才带头人示范培训数量900人、乡村产业振兴带头人“头雁”培育数量600人、基层农技人员培训数量4451人、农业科技示范展示基地数量188人。改造提升老旧日光温室1980亩，年度新增担保业务规模77.34亿，新型农业经营主体生产设施条件改善。</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农业主推技术到位率达到96%，农业生产社会化服务对象单产水平提高，实现提高了粮油新型经营主体单产水平，提升了高素质农民培育实行信息化管理和服务。农业信贷担保业务规模稳定发展，无资金使用重大违规违纪问题，提高了农民合作社示范社和示范家庭农场发展水平和带动能力，明显增强了高素质农民生产经营能力和带动能力，高素质农民培育对象满意度与接受社会化服务的小农户满意度均达到100%左右。</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eastAsia="楷体"/>
          <w:b/>
          <w:bCs/>
          <w:sz w:val="32"/>
          <w:szCs w:val="32"/>
        </w:rPr>
      </w:pPr>
      <w:r>
        <w:rPr>
          <w:rFonts w:eastAsia="楷体"/>
          <w:b/>
          <w:bCs/>
          <w:sz w:val="32"/>
          <w:szCs w:val="32"/>
        </w:rPr>
        <w:t>（四）绩效指标完成情况分析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eastAsia="楷体"/>
          <w:b/>
          <w:bCs/>
          <w:sz w:val="32"/>
          <w:szCs w:val="32"/>
        </w:rPr>
      </w:pPr>
      <w:r>
        <w:rPr>
          <w:rFonts w:eastAsia="楷体"/>
          <w:b/>
          <w:bCs/>
          <w:sz w:val="32"/>
          <w:szCs w:val="32"/>
        </w:rPr>
        <w:t>1.产出指标完成情况分析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（1）数量指标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a.</w:t>
      </w:r>
      <w:r>
        <w:rPr>
          <w:rFonts w:hint="eastAsia"/>
          <w:sz w:val="32"/>
          <w:szCs w:val="32"/>
        </w:rPr>
        <w:t>财政部</w:t>
      </w:r>
      <w:r>
        <w:rPr>
          <w:sz w:val="32"/>
          <w:szCs w:val="32"/>
        </w:rPr>
        <w:t>随文下达</w:t>
      </w:r>
      <w:r>
        <w:rPr>
          <w:rFonts w:hint="eastAsia"/>
          <w:sz w:val="32"/>
          <w:szCs w:val="32"/>
        </w:rPr>
        <w:t>支持的农民合作社数量指标，指标值为</w:t>
      </w:r>
      <w:r>
        <w:rPr>
          <w:rFonts w:hint="eastAsia"/>
          <w:sz w:val="32"/>
          <w:szCs w:val="32"/>
          <w:lang w:val="en-US" w:eastAsia="zh-CN"/>
        </w:rPr>
        <w:t>120</w:t>
      </w:r>
      <w:r>
        <w:rPr>
          <w:rFonts w:hint="eastAsia"/>
          <w:sz w:val="32"/>
          <w:szCs w:val="32"/>
        </w:rPr>
        <w:t>个，</w:t>
      </w:r>
      <w:r>
        <w:rPr>
          <w:sz w:val="32"/>
          <w:szCs w:val="36"/>
        </w:rPr>
        <w:t>我区</w:t>
      </w:r>
      <w:r>
        <w:rPr>
          <w:sz w:val="32"/>
          <w:szCs w:val="32"/>
        </w:rPr>
        <w:t>实际完成</w:t>
      </w:r>
      <w:r>
        <w:rPr>
          <w:rFonts w:hint="eastAsia"/>
          <w:sz w:val="32"/>
          <w:szCs w:val="32"/>
        </w:rPr>
        <w:t>160</w:t>
      </w:r>
      <w:r>
        <w:rPr>
          <w:sz w:val="32"/>
          <w:szCs w:val="32"/>
        </w:rPr>
        <w:t>个，完成率</w:t>
      </w:r>
      <w:r>
        <w:rPr>
          <w:rFonts w:hint="eastAsia"/>
          <w:sz w:val="32"/>
          <w:szCs w:val="32"/>
        </w:rPr>
        <w:t>133.33</w:t>
      </w:r>
      <w:r>
        <w:rPr>
          <w:sz w:val="32"/>
          <w:szCs w:val="32"/>
        </w:rPr>
        <w:t>%，偏差率</w:t>
      </w:r>
      <w:r>
        <w:rPr>
          <w:rFonts w:hint="eastAsia"/>
          <w:sz w:val="32"/>
          <w:szCs w:val="32"/>
        </w:rPr>
        <w:t>33.33%</w:t>
      </w:r>
      <w:r>
        <w:rPr>
          <w:sz w:val="32"/>
          <w:szCs w:val="32"/>
        </w:rPr>
        <w:t>。</w:t>
      </w:r>
      <w:r>
        <w:rPr>
          <w:rFonts w:hint="eastAsia"/>
          <w:sz w:val="32"/>
          <w:szCs w:val="32"/>
        </w:rPr>
        <w:t>偏差原因：</w:t>
      </w:r>
      <w:r>
        <w:rPr>
          <w:rFonts w:hint="eastAsia" w:ascii="仿宋_GB2312" w:hAnsi="仿宋" w:eastAsia="仿宋_GB2312"/>
          <w:sz w:val="32"/>
          <w:szCs w:val="32"/>
          <w:highlight w:val="none"/>
          <w:lang w:val="en-US" w:eastAsia="zh-CN"/>
        </w:rPr>
        <w:t>2024年度中央财政下达新疆支持农民合作社、家庭农场培育项目资金2700万元，通过农业农村厅内部调剂最终落实资金4641万元</w:t>
      </w:r>
      <w:r>
        <w:rPr>
          <w:rFonts w:hint="eastAsia" w:ascii="仿宋_GB2312" w:hAnsi="仿宋"/>
          <w:sz w:val="32"/>
          <w:szCs w:val="32"/>
          <w:highlight w:val="none"/>
          <w:lang w:val="en-US"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b.</w:t>
      </w:r>
      <w:r>
        <w:rPr>
          <w:rFonts w:hint="eastAsia"/>
          <w:sz w:val="32"/>
          <w:szCs w:val="32"/>
        </w:rPr>
        <w:t>财政部</w:t>
      </w:r>
      <w:r>
        <w:rPr>
          <w:sz w:val="32"/>
          <w:szCs w:val="32"/>
        </w:rPr>
        <w:t>随文下达支持的家庭农场数量</w:t>
      </w:r>
      <w:r>
        <w:rPr>
          <w:rFonts w:hint="eastAsia"/>
          <w:sz w:val="32"/>
          <w:szCs w:val="32"/>
        </w:rPr>
        <w:t>指标，指标值为240个，</w:t>
      </w:r>
      <w:r>
        <w:rPr>
          <w:sz w:val="32"/>
          <w:szCs w:val="36"/>
        </w:rPr>
        <w:t>我区</w:t>
      </w:r>
      <w:r>
        <w:rPr>
          <w:sz w:val="32"/>
          <w:szCs w:val="32"/>
        </w:rPr>
        <w:t>实际完成</w:t>
      </w:r>
      <w:r>
        <w:rPr>
          <w:rFonts w:hint="eastAsia"/>
          <w:sz w:val="32"/>
          <w:szCs w:val="32"/>
        </w:rPr>
        <w:t>240</w:t>
      </w:r>
      <w:r>
        <w:rPr>
          <w:sz w:val="32"/>
          <w:szCs w:val="32"/>
        </w:rPr>
        <w:t>个，完成率</w:t>
      </w:r>
      <w:r>
        <w:rPr>
          <w:rFonts w:hint="eastAsia"/>
          <w:sz w:val="32"/>
          <w:szCs w:val="32"/>
        </w:rPr>
        <w:t>100</w:t>
      </w:r>
      <w:r>
        <w:rPr>
          <w:sz w:val="32"/>
          <w:szCs w:val="32"/>
        </w:rPr>
        <w:t>%，偏差率</w:t>
      </w:r>
      <w:r>
        <w:rPr>
          <w:rFonts w:hint="eastAsia"/>
          <w:sz w:val="32"/>
          <w:szCs w:val="32"/>
        </w:rPr>
        <w:t>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2"/>
          <w:lang w:val="en-US" w:eastAsia="zh-CN"/>
        </w:rPr>
      </w:pPr>
      <w:r>
        <w:rPr>
          <w:rFonts w:hint="eastAsia"/>
          <w:sz w:val="32"/>
          <w:szCs w:val="32"/>
        </w:rPr>
        <w:t>c.财政部</w:t>
      </w:r>
      <w:r>
        <w:rPr>
          <w:sz w:val="32"/>
          <w:szCs w:val="32"/>
        </w:rPr>
        <w:t>随文下达培育奶业新型经营主体数量</w:t>
      </w:r>
      <w:r>
        <w:rPr>
          <w:rFonts w:hint="eastAsia"/>
          <w:sz w:val="32"/>
          <w:szCs w:val="32"/>
        </w:rPr>
        <w:t>指标，指标值为50个，</w:t>
      </w:r>
      <w:r>
        <w:rPr>
          <w:sz w:val="32"/>
          <w:szCs w:val="32"/>
        </w:rPr>
        <w:t>我区</w:t>
      </w:r>
      <w:r>
        <w:rPr>
          <w:rFonts w:hint="eastAsia"/>
          <w:sz w:val="32"/>
          <w:szCs w:val="32"/>
        </w:rPr>
        <w:t>实际完成49个，完成率98%、偏差率2%。</w:t>
      </w:r>
      <w:r>
        <w:rPr>
          <w:rFonts w:hint="eastAsia"/>
          <w:sz w:val="32"/>
          <w:szCs w:val="32"/>
          <w:lang w:val="en-US" w:eastAsia="zh-CN"/>
        </w:rPr>
        <w:t>偏差原因：巴州博湖县实施主体原计划投建奶吧，资金用于购买设施设备，但实施主体因当前奶业形势不佳等原因，未配套资金。未开工建设。巴州</w:t>
      </w:r>
      <w:r>
        <w:rPr>
          <w:rFonts w:hint="eastAsia"/>
          <w:sz w:val="32"/>
          <w:szCs w:val="32"/>
        </w:rPr>
        <w:t>2025</w:t>
      </w:r>
      <w:r>
        <w:rPr>
          <w:rFonts w:hint="eastAsia"/>
          <w:sz w:val="32"/>
          <w:szCs w:val="32"/>
          <w:lang w:eastAsia="zh-CN"/>
        </w:rPr>
        <w:t>年将督促实施主体完成项目建设。</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d.财政部</w:t>
      </w:r>
      <w:r>
        <w:rPr>
          <w:sz w:val="32"/>
          <w:szCs w:val="32"/>
        </w:rPr>
        <w:t>随文下达落实单产提升关键技术面积</w:t>
      </w:r>
      <w:r>
        <w:rPr>
          <w:rFonts w:hint="eastAsia"/>
          <w:sz w:val="32"/>
          <w:szCs w:val="32"/>
        </w:rPr>
        <w:t>指标，指标值为252.5万亩，</w:t>
      </w:r>
      <w:r>
        <w:rPr>
          <w:sz w:val="32"/>
          <w:szCs w:val="36"/>
        </w:rPr>
        <w:t>我区</w:t>
      </w:r>
      <w:r>
        <w:rPr>
          <w:sz w:val="32"/>
          <w:szCs w:val="32"/>
        </w:rPr>
        <w:t>实际完成</w:t>
      </w:r>
      <w:r>
        <w:rPr>
          <w:rFonts w:hint="eastAsia"/>
          <w:sz w:val="32"/>
          <w:szCs w:val="32"/>
          <w:lang w:val="en-US" w:eastAsia="zh-CN"/>
        </w:rPr>
        <w:t>266.65</w:t>
      </w:r>
      <w:r>
        <w:rPr>
          <w:rFonts w:hint="eastAsia"/>
          <w:sz w:val="32"/>
          <w:szCs w:val="32"/>
        </w:rPr>
        <w:t>万亩</w:t>
      </w:r>
      <w:r>
        <w:rPr>
          <w:sz w:val="32"/>
          <w:szCs w:val="32"/>
        </w:rPr>
        <w:t>，完成率</w:t>
      </w:r>
      <w:r>
        <w:rPr>
          <w:rFonts w:hint="eastAsia"/>
          <w:sz w:val="32"/>
          <w:szCs w:val="32"/>
          <w:lang w:val="en-US" w:eastAsia="zh-CN"/>
        </w:rPr>
        <w:t>105.60</w:t>
      </w:r>
      <w:r>
        <w:rPr>
          <w:sz w:val="32"/>
          <w:szCs w:val="32"/>
        </w:rPr>
        <w:t>%，偏差率</w:t>
      </w:r>
      <w:r>
        <w:rPr>
          <w:rFonts w:hint="eastAsia"/>
          <w:sz w:val="32"/>
          <w:szCs w:val="32"/>
          <w:lang w:val="en-US" w:eastAsia="zh-CN"/>
        </w:rPr>
        <w:t>5.60</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e.财政部</w:t>
      </w:r>
      <w:r>
        <w:rPr>
          <w:sz w:val="32"/>
          <w:szCs w:val="32"/>
        </w:rPr>
        <w:t>随文下达高素质农民培育数量</w:t>
      </w:r>
      <w:r>
        <w:rPr>
          <w:rFonts w:hint="eastAsia"/>
          <w:sz w:val="32"/>
          <w:szCs w:val="32"/>
        </w:rPr>
        <w:t>指标，指标值为12</w:t>
      </w:r>
      <w:r>
        <w:rPr>
          <w:rFonts w:hint="eastAsia"/>
          <w:sz w:val="32"/>
          <w:szCs w:val="32"/>
          <w:lang w:val="en-US" w:eastAsia="zh-CN"/>
        </w:rPr>
        <w:t>458</w:t>
      </w:r>
      <w:r>
        <w:rPr>
          <w:rFonts w:hint="eastAsia"/>
          <w:sz w:val="32"/>
          <w:szCs w:val="32"/>
        </w:rPr>
        <w:t>人，</w:t>
      </w:r>
      <w:r>
        <w:rPr>
          <w:sz w:val="32"/>
          <w:szCs w:val="36"/>
        </w:rPr>
        <w:t>我区</w:t>
      </w:r>
      <w:r>
        <w:rPr>
          <w:sz w:val="32"/>
          <w:szCs w:val="32"/>
        </w:rPr>
        <w:t>实际完成</w:t>
      </w:r>
      <w:r>
        <w:rPr>
          <w:rFonts w:hint="eastAsia"/>
          <w:sz w:val="32"/>
          <w:szCs w:val="32"/>
        </w:rPr>
        <w:t>12791人</w:t>
      </w:r>
      <w:r>
        <w:rPr>
          <w:sz w:val="32"/>
          <w:szCs w:val="32"/>
        </w:rPr>
        <w:t>，完成率</w:t>
      </w:r>
      <w:r>
        <w:rPr>
          <w:rFonts w:hint="eastAsia"/>
          <w:sz w:val="32"/>
          <w:szCs w:val="32"/>
          <w:lang w:val="en-US" w:eastAsia="zh-CN"/>
        </w:rPr>
        <w:t>102.67</w:t>
      </w:r>
      <w:r>
        <w:rPr>
          <w:sz w:val="32"/>
          <w:szCs w:val="32"/>
        </w:rPr>
        <w:t>%，偏差率</w:t>
      </w:r>
      <w:r>
        <w:rPr>
          <w:rFonts w:hint="eastAsia"/>
          <w:sz w:val="32"/>
          <w:szCs w:val="32"/>
          <w:lang w:val="en-US" w:eastAsia="zh-CN"/>
        </w:rPr>
        <w:t>2.67</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f.财政部随文下达学用贯通培育数量指标，指标值为200人，</w:t>
      </w:r>
      <w:r>
        <w:rPr>
          <w:sz w:val="32"/>
          <w:szCs w:val="36"/>
        </w:rPr>
        <w:t>我区</w:t>
      </w:r>
      <w:r>
        <w:rPr>
          <w:sz w:val="32"/>
          <w:szCs w:val="32"/>
        </w:rPr>
        <w:t>实际完成</w:t>
      </w:r>
      <w:r>
        <w:rPr>
          <w:rFonts w:hint="eastAsia"/>
          <w:sz w:val="32"/>
          <w:szCs w:val="32"/>
        </w:rPr>
        <w:t>200人</w:t>
      </w:r>
      <w:r>
        <w:rPr>
          <w:sz w:val="32"/>
          <w:szCs w:val="32"/>
        </w:rPr>
        <w:t>，完成率</w:t>
      </w:r>
      <w:r>
        <w:rPr>
          <w:rFonts w:hint="eastAsia"/>
          <w:sz w:val="32"/>
          <w:szCs w:val="32"/>
        </w:rPr>
        <w:t>100</w:t>
      </w:r>
      <w:r>
        <w:rPr>
          <w:sz w:val="32"/>
          <w:szCs w:val="32"/>
        </w:rPr>
        <w:t>%，偏差率</w:t>
      </w:r>
      <w:r>
        <w:rPr>
          <w:rFonts w:hint="eastAsia"/>
          <w:sz w:val="32"/>
          <w:szCs w:val="32"/>
        </w:rPr>
        <w:t>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g.财政部随文下达农村实用人才带头人示范培训数量指标，指标值为900人，</w:t>
      </w:r>
      <w:r>
        <w:rPr>
          <w:sz w:val="32"/>
          <w:szCs w:val="36"/>
        </w:rPr>
        <w:t>我区</w:t>
      </w:r>
      <w:r>
        <w:rPr>
          <w:sz w:val="32"/>
          <w:szCs w:val="32"/>
        </w:rPr>
        <w:t>实际完成</w:t>
      </w:r>
      <w:r>
        <w:rPr>
          <w:rFonts w:hint="eastAsia"/>
          <w:sz w:val="32"/>
          <w:szCs w:val="32"/>
        </w:rPr>
        <w:t>900人</w:t>
      </w:r>
      <w:r>
        <w:rPr>
          <w:sz w:val="32"/>
          <w:szCs w:val="32"/>
        </w:rPr>
        <w:t>，完成率</w:t>
      </w:r>
      <w:r>
        <w:rPr>
          <w:rFonts w:hint="eastAsia"/>
          <w:sz w:val="32"/>
          <w:szCs w:val="32"/>
        </w:rPr>
        <w:t>100</w:t>
      </w:r>
      <w:r>
        <w:rPr>
          <w:sz w:val="32"/>
          <w:szCs w:val="32"/>
        </w:rPr>
        <w:t>%，偏差率</w:t>
      </w:r>
      <w:r>
        <w:rPr>
          <w:rFonts w:hint="eastAsia"/>
          <w:sz w:val="32"/>
          <w:szCs w:val="32"/>
        </w:rPr>
        <w:t>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h.财政部随文下达乡村产业振兴带头人“头雁”培育数量指标，指标值为600人，</w:t>
      </w:r>
      <w:r>
        <w:rPr>
          <w:sz w:val="32"/>
          <w:szCs w:val="36"/>
        </w:rPr>
        <w:t>我区</w:t>
      </w:r>
      <w:r>
        <w:rPr>
          <w:sz w:val="32"/>
          <w:szCs w:val="32"/>
        </w:rPr>
        <w:t>实际完成</w:t>
      </w:r>
      <w:r>
        <w:rPr>
          <w:rFonts w:hint="eastAsia"/>
          <w:sz w:val="32"/>
          <w:szCs w:val="32"/>
        </w:rPr>
        <w:t>600人（三所大学各200人）</w:t>
      </w:r>
      <w:r>
        <w:rPr>
          <w:sz w:val="32"/>
          <w:szCs w:val="32"/>
        </w:rPr>
        <w:t>，完成率</w:t>
      </w:r>
      <w:r>
        <w:rPr>
          <w:rFonts w:hint="eastAsia"/>
          <w:sz w:val="32"/>
          <w:szCs w:val="32"/>
        </w:rPr>
        <w:t>100</w:t>
      </w:r>
      <w:r>
        <w:rPr>
          <w:sz w:val="32"/>
          <w:szCs w:val="32"/>
        </w:rPr>
        <w:t>%，偏差率</w:t>
      </w:r>
      <w:r>
        <w:rPr>
          <w:rFonts w:hint="eastAsia"/>
          <w:sz w:val="32"/>
          <w:szCs w:val="32"/>
        </w:rPr>
        <w:t>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eastAsia="仿宋_GB2312"/>
          <w:sz w:val="32"/>
          <w:szCs w:val="32"/>
          <w:lang w:val="en-US" w:eastAsia="zh-CN"/>
        </w:rPr>
      </w:pPr>
      <w:r>
        <w:rPr>
          <w:rFonts w:hint="eastAsia"/>
          <w:sz w:val="32"/>
          <w:szCs w:val="32"/>
        </w:rPr>
        <w:t>i.财政部随文下达农业生产全程托管服务面积指标，指标值为210（万亩），我区实际完成304.67万亩，完成率145.08%、偏差率45.08%。</w:t>
      </w:r>
      <w:r>
        <w:rPr>
          <w:rFonts w:hint="eastAsia"/>
          <w:sz w:val="32"/>
          <w:szCs w:val="32"/>
          <w:lang w:val="en-US" w:eastAsia="zh-CN"/>
        </w:rPr>
        <w:t>偏差原因：</w:t>
      </w:r>
      <w:r>
        <w:rPr>
          <w:rFonts w:hint="eastAsia"/>
          <w:sz w:val="32"/>
          <w:szCs w:val="32"/>
        </w:rPr>
        <w:t>由于自治区“按单季作物亩均补助金额不超过100元”的补助标准下达任务面积，而各项目县结合实际，根据农业生产不同领域、不同环节、不同对象和市场发育成熟度，科学确定补助环节和财政补助标准，经调度核算，</w:t>
      </w:r>
      <w:r>
        <w:rPr>
          <w:rFonts w:hint="eastAsia"/>
          <w:sz w:val="32"/>
          <w:szCs w:val="32"/>
          <w:lang w:val="en"/>
        </w:rPr>
        <w:t>亩均</w:t>
      </w:r>
      <w:r>
        <w:rPr>
          <w:rFonts w:hint="eastAsia"/>
          <w:sz w:val="32"/>
          <w:szCs w:val="32"/>
        </w:rPr>
        <w:t>补助</w:t>
      </w:r>
      <w:r>
        <w:rPr>
          <w:rFonts w:hint="eastAsia"/>
          <w:sz w:val="32"/>
          <w:szCs w:val="32"/>
          <w:lang w:val="en"/>
        </w:rPr>
        <w:t>约</w:t>
      </w:r>
      <w:r>
        <w:rPr>
          <w:rFonts w:hint="eastAsia"/>
          <w:sz w:val="32"/>
          <w:szCs w:val="32"/>
        </w:rPr>
        <w:t>68.93</w:t>
      </w:r>
      <w:r>
        <w:rPr>
          <w:rFonts w:hint="eastAsia"/>
          <w:sz w:val="32"/>
          <w:szCs w:val="32"/>
          <w:lang w:val="en"/>
        </w:rPr>
        <w:t>元，</w:t>
      </w:r>
      <w:r>
        <w:rPr>
          <w:rFonts w:hint="eastAsia"/>
          <w:sz w:val="32"/>
          <w:szCs w:val="32"/>
        </w:rPr>
        <w:t>因此实际补助服务面积大于任务面积，符合项目实施方案要求</w:t>
      </w:r>
      <w:r>
        <w:rPr>
          <w:rFonts w:hint="eastAsia"/>
          <w:sz w:val="32"/>
          <w:szCs w:val="32"/>
          <w:lang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eastAsia="仿宋_GB2312"/>
          <w:sz w:val="32"/>
          <w:szCs w:val="32"/>
          <w:lang w:eastAsia="zh-CN"/>
        </w:rPr>
      </w:pPr>
      <w:r>
        <w:rPr>
          <w:rFonts w:hint="eastAsia"/>
          <w:sz w:val="32"/>
          <w:szCs w:val="32"/>
        </w:rPr>
        <w:t>j.财政部随文下达其中:供销社承担的农业生产全程托管任务面积指标，指标值为30（万亩），</w:t>
      </w:r>
      <w:r>
        <w:rPr>
          <w:sz w:val="32"/>
          <w:szCs w:val="36"/>
        </w:rPr>
        <w:t>我区</w:t>
      </w:r>
      <w:r>
        <w:rPr>
          <w:sz w:val="32"/>
          <w:szCs w:val="32"/>
        </w:rPr>
        <w:t>实际完成</w:t>
      </w:r>
      <w:r>
        <w:rPr>
          <w:rFonts w:hint="eastAsia"/>
          <w:sz w:val="32"/>
          <w:szCs w:val="32"/>
        </w:rPr>
        <w:t>25.26</w:t>
      </w:r>
      <w:r>
        <w:rPr>
          <w:sz w:val="32"/>
          <w:szCs w:val="32"/>
        </w:rPr>
        <w:t>个，完成率</w:t>
      </w:r>
      <w:r>
        <w:rPr>
          <w:rFonts w:hint="eastAsia"/>
          <w:sz w:val="32"/>
          <w:szCs w:val="32"/>
        </w:rPr>
        <w:t>84.2</w:t>
      </w:r>
      <w:r>
        <w:rPr>
          <w:sz w:val="32"/>
          <w:szCs w:val="32"/>
        </w:rPr>
        <w:t>%，偏差率</w:t>
      </w:r>
      <w:r>
        <w:rPr>
          <w:rFonts w:hint="eastAsia"/>
          <w:sz w:val="32"/>
          <w:szCs w:val="32"/>
        </w:rPr>
        <w:t>15.8%。偏差原因：按照项目实施要求，自治区供销社来函，明确可实施的任务面积22.41万亩，经调度，今年供销系统实际完成服务面积25.26万亩</w:t>
      </w:r>
      <w:r>
        <w:rPr>
          <w:rFonts w:hint="eastAsia"/>
          <w:sz w:val="32"/>
          <w:szCs w:val="32"/>
          <w:lang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k.财政部随文下达基层农技人员培训数量指标，指标值为4</w:t>
      </w:r>
      <w:r>
        <w:rPr>
          <w:rFonts w:hint="eastAsia"/>
          <w:sz w:val="32"/>
          <w:szCs w:val="32"/>
          <w:lang w:val="en-US" w:eastAsia="zh-CN"/>
        </w:rPr>
        <w:t>000</w:t>
      </w:r>
      <w:r>
        <w:rPr>
          <w:rFonts w:hint="eastAsia"/>
          <w:sz w:val="32"/>
          <w:szCs w:val="32"/>
        </w:rPr>
        <w:t>人，</w:t>
      </w:r>
      <w:r>
        <w:rPr>
          <w:sz w:val="32"/>
          <w:szCs w:val="36"/>
        </w:rPr>
        <w:t>我区</w:t>
      </w:r>
      <w:r>
        <w:rPr>
          <w:sz w:val="32"/>
          <w:szCs w:val="32"/>
        </w:rPr>
        <w:t>实际完成</w:t>
      </w:r>
      <w:r>
        <w:rPr>
          <w:rFonts w:hint="eastAsia"/>
          <w:sz w:val="32"/>
          <w:szCs w:val="32"/>
        </w:rPr>
        <w:t>4451</w:t>
      </w:r>
      <w:r>
        <w:rPr>
          <w:sz w:val="32"/>
          <w:szCs w:val="32"/>
        </w:rPr>
        <w:t>个，完成率</w:t>
      </w:r>
      <w:r>
        <w:rPr>
          <w:rFonts w:hint="eastAsia"/>
          <w:sz w:val="32"/>
          <w:szCs w:val="32"/>
        </w:rPr>
        <w:t>1</w:t>
      </w:r>
      <w:r>
        <w:rPr>
          <w:rFonts w:hint="eastAsia"/>
          <w:sz w:val="32"/>
          <w:szCs w:val="32"/>
          <w:lang w:val="en-US" w:eastAsia="zh-CN"/>
        </w:rPr>
        <w:t>1</w:t>
      </w:r>
      <w:r>
        <w:rPr>
          <w:rFonts w:hint="eastAsia"/>
          <w:sz w:val="32"/>
          <w:szCs w:val="32"/>
        </w:rPr>
        <w:t>1.</w:t>
      </w:r>
      <w:r>
        <w:rPr>
          <w:rFonts w:hint="eastAsia"/>
          <w:sz w:val="32"/>
          <w:szCs w:val="32"/>
          <w:lang w:val="en-US" w:eastAsia="zh-CN"/>
        </w:rPr>
        <w:t>28</w:t>
      </w:r>
      <w:r>
        <w:rPr>
          <w:sz w:val="32"/>
          <w:szCs w:val="32"/>
        </w:rPr>
        <w:t>%，偏差率</w:t>
      </w:r>
      <w:r>
        <w:rPr>
          <w:rFonts w:hint="eastAsia"/>
          <w:sz w:val="32"/>
          <w:szCs w:val="32"/>
          <w:lang w:val="en-US" w:eastAsia="zh-CN"/>
        </w:rPr>
        <w:t>11.28%</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2"/>
        </w:rPr>
      </w:pPr>
      <w:r>
        <w:rPr>
          <w:rFonts w:hint="eastAsia"/>
          <w:sz w:val="32"/>
          <w:szCs w:val="32"/>
        </w:rPr>
        <w:t>l.财政部随文下达农业科技示范展示基地数量指标，指标值为</w:t>
      </w:r>
      <w:r>
        <w:rPr>
          <w:rFonts w:hint="eastAsia"/>
          <w:sz w:val="32"/>
          <w:szCs w:val="32"/>
          <w:lang w:val="en-US" w:eastAsia="zh-CN"/>
        </w:rPr>
        <w:t>166</w:t>
      </w:r>
      <w:r>
        <w:rPr>
          <w:rFonts w:hint="eastAsia"/>
          <w:sz w:val="32"/>
          <w:szCs w:val="32"/>
        </w:rPr>
        <w:t>个，</w:t>
      </w:r>
      <w:r>
        <w:rPr>
          <w:sz w:val="32"/>
          <w:szCs w:val="36"/>
        </w:rPr>
        <w:t>我区</w:t>
      </w:r>
      <w:r>
        <w:rPr>
          <w:sz w:val="32"/>
          <w:szCs w:val="32"/>
        </w:rPr>
        <w:t>实际完成</w:t>
      </w:r>
      <w:r>
        <w:rPr>
          <w:rFonts w:hint="eastAsia"/>
          <w:sz w:val="32"/>
          <w:szCs w:val="32"/>
        </w:rPr>
        <w:t>188</w:t>
      </w:r>
      <w:r>
        <w:rPr>
          <w:sz w:val="32"/>
          <w:szCs w:val="32"/>
        </w:rPr>
        <w:t>个，完成率</w:t>
      </w:r>
      <w:r>
        <w:rPr>
          <w:rFonts w:hint="eastAsia"/>
          <w:sz w:val="32"/>
          <w:szCs w:val="32"/>
          <w:lang w:val="en-US" w:eastAsia="zh-CN"/>
        </w:rPr>
        <w:t>113</w:t>
      </w:r>
      <w:r>
        <w:rPr>
          <w:rFonts w:hint="eastAsia"/>
          <w:sz w:val="32"/>
          <w:szCs w:val="32"/>
        </w:rPr>
        <w:t>.</w:t>
      </w:r>
      <w:r>
        <w:rPr>
          <w:rFonts w:hint="eastAsia"/>
          <w:sz w:val="32"/>
          <w:szCs w:val="32"/>
          <w:lang w:val="en-US" w:eastAsia="zh-CN"/>
        </w:rPr>
        <w:t>25</w:t>
      </w:r>
      <w:r>
        <w:rPr>
          <w:sz w:val="32"/>
          <w:szCs w:val="32"/>
        </w:rPr>
        <w:t>%，偏差率</w:t>
      </w:r>
      <w:r>
        <w:rPr>
          <w:rFonts w:hint="eastAsia"/>
          <w:sz w:val="32"/>
          <w:szCs w:val="32"/>
          <w:lang w:val="en-US" w:eastAsia="zh-CN"/>
        </w:rPr>
        <w:t>13.25</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rPr>
      </w:pPr>
      <w:r>
        <w:rPr>
          <w:sz w:val="32"/>
        </w:rPr>
        <w:t>（2）</w:t>
      </w:r>
      <w:r>
        <w:rPr>
          <w:rFonts w:hint="eastAsia"/>
          <w:sz w:val="32"/>
        </w:rPr>
        <w:t>质量</w:t>
      </w:r>
      <w:r>
        <w:rPr>
          <w:sz w:val="32"/>
        </w:rPr>
        <w:t>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a.</w:t>
      </w:r>
      <w:r>
        <w:rPr>
          <w:rFonts w:hint="eastAsia"/>
          <w:sz w:val="32"/>
          <w:szCs w:val="32"/>
        </w:rPr>
        <w:t>财政部</w:t>
      </w:r>
      <w:r>
        <w:rPr>
          <w:sz w:val="32"/>
          <w:szCs w:val="32"/>
        </w:rPr>
        <w:t>随文</w:t>
      </w:r>
      <w:r>
        <w:rPr>
          <w:rFonts w:hint="eastAsia"/>
          <w:sz w:val="32"/>
          <w:szCs w:val="32"/>
        </w:rPr>
        <w:t>下达新型农业经营主体生产设施条件指标，指标值为改善，</w:t>
      </w:r>
      <w:r>
        <w:rPr>
          <w:sz w:val="32"/>
          <w:szCs w:val="36"/>
        </w:rPr>
        <w:t>我区</w:t>
      </w:r>
      <w:r>
        <w:rPr>
          <w:rFonts w:hint="eastAsia" w:ascii="仿宋_GB2312" w:hAnsi="仿宋_GB2312" w:cs="仿宋_GB2312"/>
          <w:sz w:val="32"/>
          <w:szCs w:val="32"/>
        </w:rPr>
        <w:t>实际完成</w:t>
      </w:r>
      <w:r>
        <w:rPr>
          <w:rFonts w:hint="eastAsia"/>
          <w:sz w:val="32"/>
          <w:szCs w:val="32"/>
          <w:lang w:val="en-US" w:eastAsia="zh-CN"/>
        </w:rPr>
        <w:t>100%</w:t>
      </w:r>
      <w:r>
        <w:rPr>
          <w:rFonts w:hint="eastAsia" w:ascii="仿宋_GB2312" w:hAnsi="仿宋_GB2312" w:cs="仿宋_GB2312"/>
          <w:sz w:val="32"/>
          <w:szCs w:val="32"/>
        </w:rPr>
        <w:t>，完成率</w:t>
      </w:r>
      <w:r>
        <w:rPr>
          <w:rFonts w:hint="eastAsia"/>
          <w:sz w:val="32"/>
          <w:szCs w:val="32"/>
          <w:lang w:val="en-US" w:eastAsia="zh-CN"/>
        </w:rPr>
        <w:t>100%</w:t>
      </w:r>
      <w:r>
        <w:rPr>
          <w:rFonts w:hint="eastAsia" w:ascii="仿宋_GB2312" w:hAnsi="仿宋_GB2312" w:cs="仿宋_GB2312"/>
          <w:sz w:val="32"/>
          <w:szCs w:val="32"/>
        </w:rPr>
        <w:t>、偏差率</w:t>
      </w:r>
      <w:r>
        <w:rPr>
          <w:rFonts w:hint="eastAsia"/>
          <w:sz w:val="32"/>
          <w:szCs w:val="32"/>
          <w:lang w:val="en-US" w:eastAsia="zh-CN"/>
        </w:rPr>
        <w:t>0%</w:t>
      </w:r>
      <w:r>
        <w:rPr>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b.财政部随文下达农业主推技术到位率指标，指标值为95%以上，我区实际完成≥96%，完成率101.05%，偏差率1.05%</w:t>
      </w:r>
      <w:r>
        <w:rPr>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（3）时效指标</w:t>
      </w:r>
    </w:p>
    <w:p>
      <w:pPr>
        <w:pBdr>
          <w:top w:val="none" w:color="000000" w:sz="0" w:space="0"/>
          <w:left w:val="none" w:color="000000" w:sz="0" w:space="0"/>
          <w:bottom w:val="none" w:color="000000" w:sz="0" w:space="21"/>
          <w:right w:val="none" w:color="000000" w:sz="0" w:space="0"/>
        </w:pBdr>
        <w:overflowPunct w:val="0"/>
        <w:spacing w:line="600" w:lineRule="auto"/>
        <w:ind w:firstLine="640" w:firstLineChars="200"/>
        <w:rPr>
          <w:rFonts w:hint="eastAsia" w:eastAsia="仿宋_GB2312"/>
          <w:sz w:val="32"/>
          <w:szCs w:val="32"/>
          <w:lang w:eastAsia="zh-CN"/>
        </w:rPr>
      </w:pPr>
      <w:r>
        <w:rPr>
          <w:rFonts w:hint="eastAsia"/>
          <w:sz w:val="32"/>
          <w:szCs w:val="32"/>
        </w:rPr>
        <w:t>财政部</w:t>
      </w:r>
      <w:r>
        <w:rPr>
          <w:rFonts w:hint="eastAsia"/>
          <w:sz w:val="32"/>
          <w:szCs w:val="32"/>
          <w:lang w:val="en-US" w:eastAsia="zh-CN"/>
        </w:rPr>
        <w:t>未随文下达时效</w:t>
      </w:r>
      <w:r>
        <w:rPr>
          <w:rFonts w:hint="eastAsia"/>
          <w:sz w:val="32"/>
          <w:szCs w:val="32"/>
        </w:rPr>
        <w:t>指标</w:t>
      </w:r>
      <w:r>
        <w:rPr>
          <w:rFonts w:hint="eastAsia"/>
          <w:sz w:val="32"/>
          <w:szCs w:val="32"/>
          <w:lang w:eastAsia="zh-CN"/>
        </w:rPr>
        <w:t>。</w:t>
      </w:r>
    </w:p>
    <w:p>
      <w:pPr>
        <w:numPr>
          <w:ilvl w:val="0"/>
          <w:numId w:val="1"/>
        </w:num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2"/>
          <w:lang w:val="en-US" w:eastAsia="zh-CN"/>
        </w:rPr>
      </w:pPr>
      <w:r>
        <w:rPr>
          <w:rFonts w:hint="eastAsia"/>
          <w:sz w:val="32"/>
          <w:szCs w:val="32"/>
          <w:lang w:val="en-US" w:eastAsia="zh-CN"/>
        </w:rPr>
        <w:t>成本指标</w:t>
      </w:r>
    </w:p>
    <w:p>
      <w:pPr>
        <w:pBdr>
          <w:top w:val="none" w:color="000000" w:sz="0" w:space="0"/>
          <w:left w:val="none" w:color="000000" w:sz="0" w:space="0"/>
          <w:bottom w:val="none" w:color="000000" w:sz="0" w:space="21"/>
          <w:right w:val="none" w:color="000000" w:sz="0" w:space="0"/>
        </w:pBdr>
        <w:overflowPunct w:val="0"/>
        <w:spacing w:line="600" w:lineRule="auto"/>
        <w:ind w:firstLine="640" w:firstLineChars="200"/>
        <w:rPr>
          <w:rFonts w:hint="default"/>
          <w:sz w:val="32"/>
          <w:szCs w:val="32"/>
          <w:lang w:val="en-US" w:eastAsia="zh-CN"/>
        </w:rPr>
      </w:pPr>
      <w:r>
        <w:rPr>
          <w:rFonts w:hint="eastAsia"/>
          <w:sz w:val="32"/>
          <w:szCs w:val="32"/>
          <w:lang w:val="en-US" w:eastAsia="zh-CN"/>
        </w:rPr>
        <w:t>财政部未随文下达成本指标。</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b/>
          <w:bCs/>
          <w:sz w:val="32"/>
          <w:szCs w:val="32"/>
        </w:rPr>
        <w:t>2.效益指标完成情况分析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（1）经济效益指标</w:t>
      </w:r>
    </w:p>
    <w:p>
      <w:pPr>
        <w:pBdr>
          <w:top w:val="none" w:color="000000" w:sz="0" w:space="0"/>
          <w:left w:val="none" w:color="000000" w:sz="0" w:space="0"/>
          <w:bottom w:val="none" w:color="000000" w:sz="0" w:space="21"/>
          <w:right w:val="none" w:color="000000" w:sz="0" w:space="0"/>
        </w:pBdr>
        <w:overflowPunct w:val="0"/>
        <w:spacing w:line="600" w:lineRule="auto"/>
        <w:ind w:firstLine="640" w:firstLineChars="200"/>
        <w:rPr>
          <w:rFonts w:hint="default"/>
          <w:sz w:val="32"/>
          <w:szCs w:val="32"/>
          <w:lang w:val="en-US" w:eastAsia="zh-CN"/>
        </w:rPr>
      </w:pPr>
      <w:r>
        <w:rPr>
          <w:rFonts w:hint="eastAsia"/>
          <w:sz w:val="32"/>
          <w:szCs w:val="32"/>
          <w:lang w:val="en-US" w:eastAsia="zh-CN"/>
        </w:rPr>
        <w:t>财政部未随文下达经济效益指标。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w:t>
      </w:r>
      <w:r>
        <w:rPr>
          <w:rFonts w:hint="eastAsia"/>
          <w:sz w:val="32"/>
          <w:szCs w:val="32"/>
        </w:rPr>
        <w:t>2</w:t>
      </w:r>
      <w:r>
        <w:rPr>
          <w:sz w:val="32"/>
          <w:szCs w:val="32"/>
        </w:rPr>
        <w:t>）社会效益指标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a.</w:t>
      </w:r>
      <w:r>
        <w:rPr>
          <w:rFonts w:hint="eastAsia"/>
          <w:sz w:val="32"/>
          <w:szCs w:val="32"/>
        </w:rPr>
        <w:t>财政部</w:t>
      </w:r>
      <w:r>
        <w:rPr>
          <w:sz w:val="32"/>
        </w:rPr>
        <w:t>随文下达</w:t>
      </w:r>
      <w:r>
        <w:rPr>
          <w:rFonts w:hint="eastAsia"/>
          <w:sz w:val="32"/>
        </w:rPr>
        <w:t>规模主体单产提升项目县作物单产水平指标，指标值为提升，</w:t>
      </w:r>
      <w:r>
        <w:rPr>
          <w:sz w:val="32"/>
          <w:szCs w:val="36"/>
        </w:rPr>
        <w:t>我区</w:t>
      </w:r>
      <w:r>
        <w:rPr>
          <w:sz w:val="32"/>
          <w:szCs w:val="32"/>
        </w:rPr>
        <w:t>实际完成</w:t>
      </w:r>
      <w:r>
        <w:rPr>
          <w:rFonts w:hint="eastAsia"/>
          <w:sz w:val="32"/>
          <w:szCs w:val="32"/>
          <w:lang w:val="en-US" w:eastAsia="zh-CN"/>
        </w:rPr>
        <w:t>100%</w:t>
      </w:r>
      <w:r>
        <w:rPr>
          <w:sz w:val="32"/>
          <w:szCs w:val="32"/>
        </w:rPr>
        <w:t>，完成率</w:t>
      </w:r>
      <w:r>
        <w:rPr>
          <w:rFonts w:hint="eastAsia"/>
          <w:sz w:val="32"/>
          <w:szCs w:val="32"/>
          <w:lang w:val="en-US" w:eastAsia="zh-CN"/>
        </w:rPr>
        <w:t>100</w:t>
      </w:r>
      <w:r>
        <w:rPr>
          <w:sz w:val="32"/>
          <w:szCs w:val="32"/>
        </w:rPr>
        <w:t>%，偏差率</w:t>
      </w:r>
      <w:r>
        <w:rPr>
          <w:rFonts w:hint="eastAsia"/>
          <w:sz w:val="32"/>
          <w:szCs w:val="32"/>
          <w:lang w:val="en-US" w:eastAsia="zh-CN"/>
        </w:rPr>
        <w:t>0%</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b.财政部</w:t>
      </w:r>
      <w:r>
        <w:rPr>
          <w:sz w:val="32"/>
        </w:rPr>
        <w:t>随文下达</w:t>
      </w:r>
      <w:r>
        <w:rPr>
          <w:rFonts w:hint="eastAsia"/>
          <w:sz w:val="32"/>
        </w:rPr>
        <w:t>农业信贷担保业务规模指标，指标值为稳健发展，</w:t>
      </w:r>
      <w:r>
        <w:rPr>
          <w:sz w:val="32"/>
          <w:szCs w:val="36"/>
        </w:rPr>
        <w:t>我区</w:t>
      </w:r>
      <w:r>
        <w:rPr>
          <w:sz w:val="32"/>
          <w:szCs w:val="32"/>
        </w:rPr>
        <w:t>实际完成</w:t>
      </w:r>
      <w:r>
        <w:rPr>
          <w:rFonts w:hint="eastAsia"/>
          <w:sz w:val="32"/>
          <w:szCs w:val="32"/>
          <w:lang w:val="en-US" w:eastAsia="zh-CN"/>
        </w:rPr>
        <w:t>100%</w:t>
      </w:r>
      <w:r>
        <w:rPr>
          <w:sz w:val="32"/>
          <w:szCs w:val="32"/>
        </w:rPr>
        <w:t>，完成率</w:t>
      </w:r>
      <w:r>
        <w:rPr>
          <w:rFonts w:hint="eastAsia"/>
          <w:sz w:val="32"/>
          <w:szCs w:val="32"/>
          <w:lang w:val="en-US" w:eastAsia="zh-CN"/>
        </w:rPr>
        <w:t>100</w:t>
      </w:r>
      <w:r>
        <w:rPr>
          <w:sz w:val="32"/>
          <w:szCs w:val="32"/>
        </w:rPr>
        <w:t>%，偏差率</w:t>
      </w:r>
      <w:r>
        <w:rPr>
          <w:rFonts w:hint="eastAsia"/>
          <w:sz w:val="32"/>
          <w:szCs w:val="32"/>
          <w:lang w:val="en-US" w:eastAsia="zh-CN"/>
        </w:rPr>
        <w:t>0%</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c.财政部随文下达资金使用重大违规违纪问题指标，指标值为无，</w:t>
      </w:r>
      <w:r>
        <w:rPr>
          <w:sz w:val="32"/>
          <w:szCs w:val="36"/>
        </w:rPr>
        <w:t>我区</w:t>
      </w:r>
      <w:r>
        <w:rPr>
          <w:sz w:val="32"/>
          <w:szCs w:val="32"/>
        </w:rPr>
        <w:t>实际完成</w:t>
      </w:r>
      <w:r>
        <w:rPr>
          <w:rFonts w:hint="eastAsia"/>
          <w:sz w:val="32"/>
          <w:szCs w:val="32"/>
          <w:lang w:val="en-US" w:eastAsia="zh-CN"/>
        </w:rPr>
        <w:t>无</w:t>
      </w:r>
      <w:r>
        <w:rPr>
          <w:sz w:val="32"/>
          <w:szCs w:val="32"/>
        </w:rPr>
        <w:t>，完成率</w:t>
      </w:r>
      <w:r>
        <w:rPr>
          <w:rFonts w:hint="eastAsia"/>
          <w:sz w:val="32"/>
          <w:szCs w:val="32"/>
          <w:lang w:val="en-US" w:eastAsia="zh-CN"/>
        </w:rPr>
        <w:t>100</w:t>
      </w:r>
      <w:r>
        <w:rPr>
          <w:sz w:val="32"/>
          <w:szCs w:val="32"/>
        </w:rPr>
        <w:t>%，偏差率</w:t>
      </w:r>
      <w:r>
        <w:rPr>
          <w:rFonts w:hint="eastAsia"/>
          <w:sz w:val="32"/>
          <w:szCs w:val="32"/>
          <w:lang w:val="en-US" w:eastAsia="zh-CN"/>
        </w:rPr>
        <w:t>0%</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d.财政部随文下达</w:t>
      </w:r>
      <w:r>
        <w:rPr>
          <w:rFonts w:hint="eastAsia"/>
          <w:sz w:val="32"/>
          <w:szCs w:val="32"/>
          <w:lang w:val="en-US" w:eastAsia="zh-CN"/>
        </w:rPr>
        <w:t>绿色种养循环发展有效机制指标</w:t>
      </w:r>
      <w:r>
        <w:rPr>
          <w:rFonts w:hint="eastAsia"/>
          <w:sz w:val="32"/>
        </w:rPr>
        <w:t>，指标值为</w:t>
      </w:r>
      <w:r>
        <w:rPr>
          <w:rFonts w:hint="eastAsia"/>
          <w:sz w:val="32"/>
          <w:lang w:val="en-US" w:eastAsia="zh-CN"/>
        </w:rPr>
        <w:t>建立健全</w:t>
      </w:r>
      <w:r>
        <w:rPr>
          <w:rFonts w:hint="eastAsia"/>
          <w:sz w:val="32"/>
        </w:rPr>
        <w:t>，我区实际完成</w:t>
      </w:r>
      <w:r>
        <w:rPr>
          <w:rFonts w:hint="eastAsia"/>
          <w:sz w:val="32"/>
          <w:lang w:val="en-US" w:eastAsia="zh-CN"/>
        </w:rPr>
        <w:t>100%，完成率</w:t>
      </w:r>
      <w:r>
        <w:rPr>
          <w:rFonts w:hint="eastAsia"/>
          <w:sz w:val="32"/>
        </w:rPr>
        <w:t>100%，偏差率0%</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（3）可持续影响指标</w:t>
      </w:r>
    </w:p>
    <w:p>
      <w:pPr>
        <w:pBdr>
          <w:top w:val="none" w:color="000000" w:sz="0" w:space="0"/>
          <w:left w:val="none" w:color="000000" w:sz="0" w:space="0"/>
          <w:bottom w:val="none" w:color="000000" w:sz="0" w:space="21"/>
          <w:right w:val="none" w:color="000000" w:sz="0" w:space="0"/>
        </w:pBdr>
        <w:overflowPunct w:val="0"/>
        <w:spacing w:line="600" w:lineRule="auto"/>
        <w:ind w:firstLine="640" w:firstLineChars="200"/>
        <w:rPr>
          <w:rFonts w:hint="default"/>
          <w:sz w:val="32"/>
          <w:szCs w:val="32"/>
          <w:lang w:val="en-US" w:eastAsia="zh-CN"/>
        </w:rPr>
      </w:pPr>
      <w:r>
        <w:rPr>
          <w:rFonts w:hint="eastAsia"/>
          <w:sz w:val="32"/>
          <w:szCs w:val="32"/>
          <w:lang w:val="en-US" w:eastAsia="zh-CN"/>
        </w:rPr>
        <w:t>财政部未随文下达可持续影响指标。</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b/>
          <w:bCs/>
          <w:sz w:val="32"/>
          <w:szCs w:val="32"/>
        </w:rPr>
        <w:t>3.满意度指标完成情况分析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2"/>
          <w:lang w:val="en-US" w:eastAsia="zh-CN"/>
        </w:rPr>
      </w:pPr>
      <w:r>
        <w:rPr>
          <w:rFonts w:hint="eastAsia"/>
          <w:sz w:val="32"/>
          <w:szCs w:val="32"/>
        </w:rPr>
        <w:t>财政部</w:t>
      </w:r>
      <w:r>
        <w:rPr>
          <w:sz w:val="32"/>
          <w:szCs w:val="32"/>
        </w:rPr>
        <w:t>随文下达高素质农民培育满意度指标，指标值为参训学员满意度评价率达到90%以上，</w:t>
      </w:r>
      <w:r>
        <w:rPr>
          <w:rFonts w:hint="eastAsia"/>
          <w:sz w:val="32"/>
          <w:szCs w:val="32"/>
          <w:lang w:val="en-US" w:eastAsia="zh-CN"/>
        </w:rPr>
        <w:t>我区</w:t>
      </w:r>
      <w:r>
        <w:rPr>
          <w:sz w:val="32"/>
          <w:szCs w:val="32"/>
        </w:rPr>
        <w:t>实际完成参训学员满意度</w:t>
      </w:r>
      <w:r>
        <w:rPr>
          <w:rFonts w:hint="eastAsia"/>
          <w:sz w:val="32"/>
          <w:szCs w:val="32"/>
          <w:lang w:val="en-US" w:eastAsia="zh-CN"/>
        </w:rPr>
        <w:t>评价率为</w:t>
      </w:r>
      <w:r>
        <w:rPr>
          <w:sz w:val="32"/>
          <w:szCs w:val="32"/>
        </w:rPr>
        <w:t>99%</w:t>
      </w:r>
      <w:r>
        <w:rPr>
          <w:rFonts w:hint="eastAsia"/>
          <w:sz w:val="32"/>
          <w:szCs w:val="32"/>
          <w:lang w:eastAsia="zh-CN"/>
        </w:rPr>
        <w:t>，</w:t>
      </w:r>
      <w:r>
        <w:rPr>
          <w:rFonts w:hint="eastAsia"/>
          <w:sz w:val="32"/>
          <w:szCs w:val="32"/>
          <w:lang w:val="en-US" w:eastAsia="zh-CN"/>
        </w:rPr>
        <w:t>完成率为110%，偏差率为10%。</w:t>
      </w:r>
    </w:p>
    <w:p>
      <w:pPr>
        <w:numPr>
          <w:ilvl w:val="0"/>
          <w:numId w:val="2"/>
        </w:num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eastAsia="黑体"/>
          <w:bCs/>
          <w:sz w:val="32"/>
          <w:szCs w:val="32"/>
        </w:rPr>
      </w:pPr>
      <w:r>
        <w:rPr>
          <w:rFonts w:eastAsia="黑体"/>
          <w:bCs/>
          <w:sz w:val="32"/>
          <w:szCs w:val="32"/>
        </w:rPr>
        <w:t>偏离绩效目标的原因和下一步改进措施</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rFonts w:hint="eastAsia"/>
          <w:b/>
          <w:bCs/>
          <w:sz w:val="32"/>
          <w:szCs w:val="32"/>
          <w:lang w:eastAsia="zh-CN"/>
        </w:rPr>
        <w:t>（</w:t>
      </w:r>
      <w:r>
        <w:rPr>
          <w:rFonts w:hint="eastAsia"/>
          <w:b/>
          <w:bCs/>
          <w:sz w:val="32"/>
          <w:szCs w:val="32"/>
          <w:lang w:val="en-US" w:eastAsia="zh-CN"/>
        </w:rPr>
        <w:t>一</w:t>
      </w:r>
      <w:r>
        <w:rPr>
          <w:rFonts w:hint="eastAsia"/>
          <w:b/>
          <w:bCs/>
          <w:sz w:val="32"/>
          <w:szCs w:val="32"/>
          <w:lang w:eastAsia="zh-CN"/>
        </w:rPr>
        <w:t>）</w:t>
      </w:r>
      <w:r>
        <w:rPr>
          <w:b/>
          <w:bCs/>
          <w:sz w:val="32"/>
          <w:szCs w:val="32"/>
        </w:rPr>
        <w:t>偏离的绩效目标</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6"/>
        </w:rPr>
      </w:pPr>
      <w:r>
        <w:rPr>
          <w:rFonts w:hint="eastAsia"/>
          <w:b/>
          <w:bCs/>
          <w:sz w:val="32"/>
          <w:szCs w:val="36"/>
          <w:lang w:val="en-US" w:eastAsia="zh-CN"/>
        </w:rPr>
        <w:t>1.</w:t>
      </w:r>
      <w:r>
        <w:rPr>
          <w:rFonts w:hint="eastAsia"/>
          <w:b/>
          <w:bCs/>
          <w:sz w:val="32"/>
          <w:szCs w:val="36"/>
        </w:rPr>
        <w:t>未完成指标：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eastAsia="仿宋_GB2312"/>
          <w:sz w:val="32"/>
          <w:szCs w:val="36"/>
          <w:lang w:eastAsia="zh-CN"/>
        </w:rPr>
      </w:pPr>
      <w:r>
        <w:rPr>
          <w:rFonts w:hint="eastAsia"/>
          <w:sz w:val="32"/>
          <w:szCs w:val="36"/>
        </w:rPr>
        <w:t>a.</w:t>
      </w:r>
      <w:r>
        <w:rPr>
          <w:rFonts w:hint="eastAsia"/>
          <w:sz w:val="32"/>
          <w:szCs w:val="32"/>
        </w:rPr>
        <w:t>数量指标。</w:t>
      </w:r>
      <w:r>
        <w:rPr>
          <w:sz w:val="32"/>
          <w:szCs w:val="32"/>
        </w:rPr>
        <w:t>支持供销</w:t>
      </w:r>
      <w:r>
        <w:rPr>
          <w:rFonts w:hint="eastAsia"/>
          <w:sz w:val="32"/>
          <w:szCs w:val="32"/>
        </w:rPr>
        <w:t>社完成农业生产全程托管服务面积指标，指标值为30万亩，实际完成25.26万亩，偏差率15.8%。偏差原因：按照项目实施要求，自治区供销社来函，明确可实施的任务面积22.41万亩，经调度，今年供销系统实际完成服务面积25.26万亩</w:t>
      </w:r>
      <w:r>
        <w:rPr>
          <w:rFonts w:hint="eastAsia"/>
          <w:sz w:val="32"/>
          <w:szCs w:val="32"/>
          <w:lang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ascii="仿宋_GB2312" w:hAnsi="仿宋" w:eastAsia="仿宋_GB2312"/>
          <w:sz w:val="32"/>
          <w:szCs w:val="32"/>
          <w:lang w:eastAsia="zh-CN"/>
        </w:rPr>
      </w:pPr>
      <w:r>
        <w:rPr>
          <w:rFonts w:hint="eastAsia"/>
          <w:sz w:val="32"/>
          <w:szCs w:val="32"/>
        </w:rPr>
        <w:t>b.数量指标。培育奶业新型经营主体数量（个）指标</w:t>
      </w:r>
      <w:r>
        <w:rPr>
          <w:rFonts w:hint="eastAsia" w:ascii="仿宋_GB2312" w:hAnsi="仿宋_GB2312" w:cs="仿宋_GB2312"/>
          <w:sz w:val="32"/>
          <w:szCs w:val="32"/>
        </w:rPr>
        <w:t>，指标值为</w:t>
      </w:r>
      <w:r>
        <w:rPr>
          <w:rFonts w:hint="eastAsia"/>
          <w:sz w:val="32"/>
          <w:szCs w:val="32"/>
        </w:rPr>
        <w:t>50个，实际完成49个，完成率98%、偏差率2%。未完成原因：</w:t>
      </w:r>
      <w:r>
        <w:rPr>
          <w:rFonts w:hint="eastAsia"/>
          <w:sz w:val="32"/>
          <w:szCs w:val="32"/>
          <w:lang w:val="en-US" w:eastAsia="zh-CN"/>
        </w:rPr>
        <w:t>巴州博湖县实施主体原计划投建奶吧，资金用于购买设施设备，但实施主体因当前奶业形势不佳等原因，未配套资金。未开工建设。巴州</w:t>
      </w:r>
      <w:r>
        <w:rPr>
          <w:rFonts w:hint="eastAsia"/>
          <w:sz w:val="32"/>
          <w:szCs w:val="32"/>
        </w:rPr>
        <w:t>2025</w:t>
      </w:r>
      <w:r>
        <w:rPr>
          <w:rFonts w:hint="eastAsia"/>
          <w:sz w:val="32"/>
          <w:szCs w:val="32"/>
          <w:lang w:eastAsia="zh-CN"/>
        </w:rPr>
        <w:t>年将督促实施主体完成项目建设。</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hint="eastAsia" w:ascii="仿宋_GB2312" w:hAnsi="仿宋"/>
          <w:b/>
          <w:bCs/>
          <w:sz w:val="32"/>
          <w:szCs w:val="32"/>
        </w:rPr>
      </w:pPr>
      <w:r>
        <w:rPr>
          <w:rFonts w:hint="eastAsia"/>
          <w:b/>
          <w:bCs/>
          <w:sz w:val="32"/>
          <w:szCs w:val="32"/>
          <w:lang w:val="en-US" w:eastAsia="zh-CN"/>
        </w:rPr>
        <w:t>2.</w:t>
      </w:r>
      <w:r>
        <w:rPr>
          <w:rFonts w:hint="eastAsia"/>
          <w:b/>
          <w:bCs/>
          <w:sz w:val="32"/>
          <w:szCs w:val="32"/>
        </w:rPr>
        <w:t>完成率超出30%及以上指标</w:t>
      </w:r>
      <w:r>
        <w:rPr>
          <w:rFonts w:hint="eastAsia" w:ascii="仿宋_GB2312" w:hAnsi="仿宋"/>
          <w:b/>
          <w:bCs/>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ascii="仿宋_GB2312" w:hAnsi="仿宋" w:eastAsia="仿宋_GB2312"/>
          <w:sz w:val="32"/>
          <w:szCs w:val="32"/>
          <w:lang w:eastAsia="zh-CN"/>
        </w:rPr>
      </w:pPr>
      <w:r>
        <w:rPr>
          <w:sz w:val="32"/>
          <w:szCs w:val="32"/>
        </w:rPr>
        <w:t>a.</w:t>
      </w:r>
      <w:r>
        <w:rPr>
          <w:rFonts w:hint="eastAsia"/>
          <w:sz w:val="32"/>
          <w:szCs w:val="32"/>
        </w:rPr>
        <w:t>财政部</w:t>
      </w:r>
      <w:r>
        <w:rPr>
          <w:sz w:val="32"/>
          <w:szCs w:val="32"/>
        </w:rPr>
        <w:t>随文下达</w:t>
      </w:r>
      <w:r>
        <w:rPr>
          <w:rFonts w:hint="eastAsia"/>
          <w:sz w:val="32"/>
          <w:szCs w:val="32"/>
        </w:rPr>
        <w:t>支持的农民合作社数量指标，指标值为</w:t>
      </w:r>
      <w:r>
        <w:rPr>
          <w:rFonts w:hint="eastAsia"/>
          <w:sz w:val="32"/>
          <w:szCs w:val="32"/>
          <w:lang w:val="en-US" w:eastAsia="zh-CN"/>
        </w:rPr>
        <w:t>120</w:t>
      </w:r>
      <w:r>
        <w:rPr>
          <w:rFonts w:hint="eastAsia"/>
          <w:sz w:val="32"/>
          <w:szCs w:val="32"/>
        </w:rPr>
        <w:t>个，</w:t>
      </w:r>
      <w:r>
        <w:rPr>
          <w:sz w:val="32"/>
          <w:szCs w:val="36"/>
        </w:rPr>
        <w:t>我区</w:t>
      </w:r>
      <w:r>
        <w:rPr>
          <w:sz w:val="32"/>
          <w:szCs w:val="32"/>
        </w:rPr>
        <w:t>实际完成</w:t>
      </w:r>
      <w:r>
        <w:rPr>
          <w:rFonts w:hint="eastAsia"/>
          <w:sz w:val="32"/>
          <w:szCs w:val="32"/>
        </w:rPr>
        <w:t>160</w:t>
      </w:r>
      <w:r>
        <w:rPr>
          <w:sz w:val="32"/>
          <w:szCs w:val="32"/>
        </w:rPr>
        <w:t>个，完成率</w:t>
      </w:r>
      <w:r>
        <w:rPr>
          <w:rFonts w:hint="eastAsia"/>
          <w:sz w:val="32"/>
          <w:szCs w:val="32"/>
        </w:rPr>
        <w:t>133.33</w:t>
      </w:r>
      <w:r>
        <w:rPr>
          <w:sz w:val="32"/>
          <w:szCs w:val="32"/>
        </w:rPr>
        <w:t>%，偏差率</w:t>
      </w:r>
      <w:r>
        <w:rPr>
          <w:rFonts w:hint="eastAsia"/>
          <w:sz w:val="32"/>
          <w:szCs w:val="32"/>
        </w:rPr>
        <w:t>33.33%</w:t>
      </w:r>
      <w:r>
        <w:rPr>
          <w:sz w:val="32"/>
          <w:szCs w:val="32"/>
        </w:rPr>
        <w:t>。</w:t>
      </w:r>
      <w:r>
        <w:rPr>
          <w:rFonts w:hint="eastAsia"/>
          <w:sz w:val="32"/>
          <w:szCs w:val="32"/>
        </w:rPr>
        <w:t>偏差原因：</w:t>
      </w:r>
      <w:r>
        <w:rPr>
          <w:rFonts w:hint="eastAsia" w:ascii="仿宋_GB2312" w:hAnsi="仿宋" w:eastAsia="仿宋_GB2312"/>
          <w:sz w:val="32"/>
          <w:szCs w:val="32"/>
          <w:highlight w:val="none"/>
          <w:lang w:val="en-US" w:eastAsia="zh-CN"/>
        </w:rPr>
        <w:t>2024年度中央财政下达新疆支持农民合作社、家庭农场培育项目资金2700万元，通过农业农村厅内部调剂最终落实资金4641万元，比计划多1941万元。其中农民合作社项目资金下达1400万元，落实3200万元，按照农业农村部农村合作经济指导司《关于做好2024年培育壮大农民合作社和家庭农场任务实施工作的通知》中“原则上对单个主体的奖补不超过20万元”规定，每个合作社补助20万元，实际扶持160个农民合作社示范社</w:t>
      </w:r>
      <w:r>
        <w:rPr>
          <w:rFonts w:hint="eastAsia" w:ascii="仿宋_GB2312" w:hAnsi="仿宋"/>
          <w:sz w:val="32"/>
          <w:szCs w:val="32"/>
          <w:highlight w:val="none"/>
          <w:lang w:val="en-US"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ascii="仿宋_GB2312" w:hAnsi="仿宋"/>
          <w:sz w:val="32"/>
          <w:szCs w:val="32"/>
        </w:rPr>
      </w:pPr>
      <w:r>
        <w:rPr>
          <w:rFonts w:hint="eastAsia"/>
          <w:sz w:val="32"/>
          <w:szCs w:val="32"/>
          <w:lang w:val="en-US" w:eastAsia="zh-CN"/>
        </w:rPr>
        <w:t>b</w:t>
      </w:r>
      <w:r>
        <w:rPr>
          <w:rFonts w:hint="eastAsia"/>
          <w:sz w:val="32"/>
          <w:szCs w:val="32"/>
        </w:rPr>
        <w:t>.数量指标。</w:t>
      </w:r>
      <w:r>
        <w:rPr>
          <w:rFonts w:hint="eastAsia" w:ascii="仿宋_GB2312" w:hAnsi="仿宋_GB2312" w:cs="仿宋_GB2312"/>
          <w:sz w:val="32"/>
          <w:szCs w:val="32"/>
        </w:rPr>
        <w:t>完成农业生产全程托管服务面积指标，指标值为</w:t>
      </w:r>
      <w:r>
        <w:rPr>
          <w:rFonts w:hint="eastAsia"/>
          <w:sz w:val="32"/>
          <w:szCs w:val="32"/>
        </w:rPr>
        <w:t>210</w:t>
      </w:r>
      <w:r>
        <w:rPr>
          <w:rFonts w:hint="eastAsia" w:ascii="仿宋_GB2312" w:hAnsi="仿宋_GB2312" w:cs="仿宋_GB2312"/>
          <w:sz w:val="32"/>
          <w:szCs w:val="32"/>
        </w:rPr>
        <w:t>万亩，</w:t>
      </w:r>
      <w:r>
        <w:rPr>
          <w:rFonts w:hint="eastAsia"/>
          <w:sz w:val="32"/>
          <w:szCs w:val="32"/>
        </w:rPr>
        <w:t>实际完成304.67万亩，完成率145.08%、偏差率45.08%</w:t>
      </w:r>
      <w:r>
        <w:rPr>
          <w:rFonts w:hint="eastAsia" w:ascii="仿宋_GB2312" w:hAnsi="仿宋_GB2312" w:cs="仿宋_GB2312"/>
          <w:sz w:val="32"/>
          <w:szCs w:val="32"/>
        </w:rPr>
        <w:t>。</w:t>
      </w:r>
      <w:r>
        <w:rPr>
          <w:rFonts w:hint="eastAsia"/>
          <w:sz w:val="32"/>
          <w:szCs w:val="32"/>
        </w:rPr>
        <w:t>偏差原因：由于自治区“按单季作物亩均补助金额不超过100元”的补助标准下达任务面积，而各项目县结合实际，根据农业生产不同领域、不同环节、不同对象和市场发育成熟度，科学确定补助环节和财政补助标准，经调度核算，</w:t>
      </w:r>
      <w:r>
        <w:rPr>
          <w:rFonts w:hint="eastAsia"/>
          <w:sz w:val="32"/>
          <w:szCs w:val="32"/>
          <w:lang w:val="en"/>
        </w:rPr>
        <w:t>亩均</w:t>
      </w:r>
      <w:r>
        <w:rPr>
          <w:rFonts w:hint="eastAsia"/>
          <w:sz w:val="32"/>
          <w:szCs w:val="32"/>
        </w:rPr>
        <w:t>补助</w:t>
      </w:r>
      <w:r>
        <w:rPr>
          <w:rFonts w:hint="eastAsia"/>
          <w:sz w:val="32"/>
          <w:szCs w:val="32"/>
          <w:lang w:val="en"/>
        </w:rPr>
        <w:t>约</w:t>
      </w:r>
      <w:r>
        <w:rPr>
          <w:rFonts w:hint="eastAsia"/>
          <w:sz w:val="32"/>
          <w:szCs w:val="32"/>
        </w:rPr>
        <w:t>68.93</w:t>
      </w:r>
      <w:r>
        <w:rPr>
          <w:rFonts w:hint="eastAsia"/>
          <w:sz w:val="32"/>
          <w:szCs w:val="32"/>
          <w:lang w:val="en"/>
        </w:rPr>
        <w:t>元，</w:t>
      </w:r>
      <w:r>
        <w:rPr>
          <w:rFonts w:hint="eastAsia"/>
          <w:sz w:val="32"/>
          <w:szCs w:val="32"/>
        </w:rPr>
        <w:t>因此实际补助服务面积大于任务面积，符合项目实施方案要求</w:t>
      </w:r>
      <w:r>
        <w:rPr>
          <w:rFonts w:hint="eastAsia" w:ascii="仿宋_GB2312" w:hAnsi="仿宋_GB2312" w:cs="仿宋_GB2312"/>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rFonts w:hint="eastAsia"/>
          <w:b/>
          <w:bCs/>
          <w:sz w:val="32"/>
          <w:szCs w:val="32"/>
          <w:lang w:eastAsia="zh-CN"/>
        </w:rPr>
        <w:t>（</w:t>
      </w:r>
      <w:r>
        <w:rPr>
          <w:rFonts w:hint="eastAsia"/>
          <w:b/>
          <w:bCs/>
          <w:sz w:val="32"/>
          <w:szCs w:val="32"/>
          <w:lang w:val="en-US" w:eastAsia="zh-CN"/>
        </w:rPr>
        <w:t>二</w:t>
      </w:r>
      <w:r>
        <w:rPr>
          <w:rFonts w:hint="eastAsia"/>
          <w:b/>
          <w:bCs/>
          <w:sz w:val="32"/>
          <w:szCs w:val="32"/>
          <w:lang w:eastAsia="zh-CN"/>
        </w:rPr>
        <w:t>）</w:t>
      </w:r>
      <w:r>
        <w:rPr>
          <w:b/>
          <w:bCs/>
          <w:sz w:val="32"/>
          <w:szCs w:val="32"/>
        </w:rPr>
        <w:t>下一步改进措施</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rFonts w:hint="eastAsia"/>
          <w:b/>
          <w:bCs/>
          <w:sz w:val="32"/>
          <w:szCs w:val="32"/>
          <w:highlight w:val="none"/>
          <w:lang w:val="en-US" w:eastAsia="zh-CN"/>
        </w:rPr>
        <w:t>1.</w:t>
      </w:r>
      <w:r>
        <w:rPr>
          <w:b/>
          <w:bCs/>
          <w:sz w:val="32"/>
          <w:szCs w:val="32"/>
          <w:highlight w:val="none"/>
        </w:rPr>
        <w:t>项目实施过程中存在不足</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2"/>
          <w:lang w:val="en-US" w:eastAsia="zh-CN"/>
        </w:rPr>
      </w:pPr>
      <w:r>
        <w:rPr>
          <w:rFonts w:hint="eastAsia"/>
          <w:sz w:val="32"/>
          <w:szCs w:val="32"/>
          <w:lang w:val="en-US" w:eastAsia="zh-CN"/>
        </w:rPr>
        <w:t>2024年农业经营主体能力提升资金项目于实施过程中存在部分不足与问题，绩效管理不完善，部分项目缺乏科学的绩效评估机制，资金使用效果难以量化。因为绩效目标设定不明确，评估指标和方法不完善。导致自治区供销社来函，明确可实施的任务面积22.41万亩，经调度，今年供销系统实际完成服务面积25.26万亩，与设定的指标值存在偏差。</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2"/>
          <w:lang w:val="en-US" w:eastAsia="zh-CN"/>
        </w:rPr>
      </w:pPr>
      <w:r>
        <w:rPr>
          <w:rFonts w:hint="eastAsia"/>
          <w:sz w:val="32"/>
          <w:szCs w:val="32"/>
          <w:lang w:val="en-US" w:eastAsia="zh-CN"/>
        </w:rPr>
        <w:t>信息公开透明度低，资金分配和使用信息不透明，公众和相关部门难以监督。信息公开机制不完善，缺乏有效的公示平台公众参与度低，而且项目实施过程中，公众参与度较低，未能充分发挥社会监督作用。因为信息公开方面的不足，缺乏公众参与的渠道和机制，以及市场波动的原因，导致</w:t>
      </w:r>
      <w:r>
        <w:rPr>
          <w:rFonts w:hint="eastAsia"/>
          <w:sz w:val="32"/>
          <w:szCs w:val="32"/>
        </w:rPr>
        <w:t>培育奶业新型经营主体</w:t>
      </w:r>
      <w:r>
        <w:rPr>
          <w:rFonts w:hint="eastAsia"/>
          <w:sz w:val="32"/>
          <w:szCs w:val="32"/>
          <w:lang w:val="en-US" w:eastAsia="zh-CN"/>
        </w:rPr>
        <w:t>全年目标为50个，实际完成49个。</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hint="eastAsia" w:eastAsia="仿宋_GB2312"/>
          <w:b/>
          <w:bCs/>
          <w:sz w:val="32"/>
          <w:szCs w:val="32"/>
          <w:highlight w:val="none"/>
          <w:lang w:eastAsia="zh-CN"/>
        </w:rPr>
      </w:pPr>
      <w:r>
        <w:rPr>
          <w:rFonts w:hint="eastAsia"/>
          <w:b/>
          <w:bCs/>
          <w:sz w:val="32"/>
          <w:szCs w:val="32"/>
          <w:highlight w:val="none"/>
        </w:rPr>
        <w:t>2.</w:t>
      </w:r>
      <w:r>
        <w:rPr>
          <w:b/>
          <w:bCs/>
          <w:sz w:val="32"/>
          <w:szCs w:val="32"/>
          <w:highlight w:val="none"/>
        </w:rPr>
        <w:t>下一步</w:t>
      </w:r>
      <w:r>
        <w:rPr>
          <w:rFonts w:hint="eastAsia"/>
          <w:b/>
          <w:bCs/>
          <w:sz w:val="32"/>
          <w:szCs w:val="32"/>
          <w:highlight w:val="none"/>
          <w:lang w:eastAsia="zh-CN"/>
        </w:rPr>
        <w:t>工作实施</w:t>
      </w:r>
      <w:r>
        <w:rPr>
          <w:b/>
          <w:bCs/>
          <w:sz w:val="32"/>
          <w:szCs w:val="32"/>
          <w:highlight w:val="none"/>
        </w:rPr>
        <w:t>改进措施</w:t>
      </w:r>
      <w:r>
        <w:rPr>
          <w:rFonts w:hint="eastAsia"/>
          <w:b/>
          <w:bCs/>
          <w:sz w:val="32"/>
          <w:szCs w:val="32"/>
          <w:highlight w:val="none"/>
          <w:lang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2"/>
        </w:rPr>
      </w:pPr>
      <w:r>
        <w:rPr>
          <w:rFonts w:hint="eastAsia"/>
          <w:sz w:val="32"/>
          <w:szCs w:val="32"/>
        </w:rPr>
        <w:t>完善绩效管理机制制定科学的绩效评估指标和方法，对项目效果进行量化评估。引入第三方评估机构，</w:t>
      </w:r>
      <w:r>
        <w:rPr>
          <w:rFonts w:hint="eastAsia"/>
          <w:sz w:val="32"/>
          <w:szCs w:val="32"/>
          <w:lang w:eastAsia="zh-CN"/>
        </w:rPr>
        <w:t>保障</w:t>
      </w:r>
      <w:r>
        <w:rPr>
          <w:rFonts w:hint="eastAsia"/>
          <w:sz w:val="32"/>
          <w:szCs w:val="32"/>
        </w:rPr>
        <w:t>评估结果的客观性和公正性。</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eastAsia="仿宋_GB2312"/>
          <w:sz w:val="32"/>
          <w:szCs w:val="32"/>
          <w:lang w:eastAsia="zh-CN"/>
        </w:rPr>
      </w:pPr>
      <w:r>
        <w:rPr>
          <w:rFonts w:hint="eastAsia"/>
          <w:sz w:val="32"/>
          <w:szCs w:val="32"/>
        </w:rPr>
        <w:t>提高信息公开透明度建立资金使用信息公开平台，定期公示资金分配、使用情况和项目进展。鼓励公众和媒体参与监督，增强资金使用的透明度和公信力。提高公众参与度</w:t>
      </w:r>
      <w:r>
        <w:rPr>
          <w:rFonts w:hint="eastAsia"/>
          <w:sz w:val="32"/>
          <w:szCs w:val="32"/>
          <w:lang w:eastAsia="zh-CN"/>
        </w:rPr>
        <w:t>，</w:t>
      </w:r>
    </w:p>
    <w:p>
      <w:pPr>
        <w:pBdr>
          <w:top w:val="none" w:color="000000" w:sz="0" w:space="0"/>
          <w:left w:val="none" w:color="000000" w:sz="0" w:space="0"/>
          <w:bottom w:val="none" w:color="000000" w:sz="0" w:space="21"/>
          <w:right w:val="none" w:color="000000" w:sz="0" w:space="0"/>
        </w:pBdr>
        <w:overflowPunct w:val="0"/>
        <w:spacing w:line="560" w:lineRule="exact"/>
        <w:rPr>
          <w:rFonts w:hint="eastAsia" w:eastAsia="仿宋_GB2312"/>
          <w:sz w:val="32"/>
          <w:szCs w:val="32"/>
          <w:lang w:eastAsia="zh-CN"/>
        </w:rPr>
      </w:pPr>
      <w:r>
        <w:rPr>
          <w:rFonts w:hint="eastAsia"/>
          <w:sz w:val="32"/>
          <w:szCs w:val="32"/>
        </w:rPr>
        <w:t>建立公众参与机制，鼓励公众和第三方机构参与项目监督。加大对农业经营主体政策的宣传力度，提高公众的认知和参与度</w:t>
      </w:r>
      <w:r>
        <w:rPr>
          <w:rFonts w:hint="eastAsia"/>
          <w:sz w:val="32"/>
          <w:szCs w:val="32"/>
          <w:lang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pPr>
      <w:r>
        <w:rPr>
          <w:sz w:val="32"/>
          <w:szCs w:val="32"/>
        </w:rPr>
        <w:t>自治区农业农村厅将</w:t>
      </w:r>
      <w:r>
        <w:rPr>
          <w:rFonts w:hint="eastAsia"/>
          <w:sz w:val="32"/>
          <w:szCs w:val="32"/>
        </w:rPr>
        <w:t>进一步</w:t>
      </w:r>
      <w:r>
        <w:rPr>
          <w:sz w:val="32"/>
          <w:szCs w:val="32"/>
        </w:rPr>
        <w:t>加强资金使用的督导、推动专项任务按时完成</w:t>
      </w:r>
      <w:bookmarkStart w:id="0" w:name="_Hlk36400345"/>
      <w:r>
        <w:rPr>
          <w:sz w:val="32"/>
          <w:szCs w:val="32"/>
        </w:rPr>
        <w:t>、强化绩效目标管理</w:t>
      </w:r>
      <w:bookmarkEnd w:id="0"/>
      <w:r>
        <w:rPr>
          <w:sz w:val="32"/>
          <w:szCs w:val="32"/>
        </w:rPr>
        <w:t>、提升沟通协调能力等方面有序开展工作，根据实际情况，</w:t>
      </w:r>
      <w:r>
        <w:rPr>
          <w:rFonts w:hint="eastAsia"/>
          <w:sz w:val="32"/>
          <w:szCs w:val="32"/>
          <w:lang w:eastAsia="zh-CN"/>
        </w:rPr>
        <w:t>保障</w:t>
      </w:r>
      <w:r>
        <w:rPr>
          <w:sz w:val="32"/>
          <w:szCs w:val="32"/>
        </w:rPr>
        <w:t>专项补助资金按相关要求执行，进一步提高中央财政相关农业转移支付资金的使用效益。</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eastAsia="黑体"/>
          <w:sz w:val="32"/>
          <w:szCs w:val="32"/>
        </w:rPr>
      </w:pPr>
      <w:r>
        <w:rPr>
          <w:rFonts w:eastAsia="黑体"/>
          <w:sz w:val="32"/>
          <w:szCs w:val="32"/>
        </w:rPr>
        <w:t>四、绩效自评结果拟应用和公开情况</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highlight w:val="yellow"/>
        </w:rPr>
      </w:pPr>
      <w:r>
        <w:rPr>
          <w:sz w:val="32"/>
          <w:szCs w:val="32"/>
        </w:rPr>
        <w:t>1.按照财政部《项目支出绩效评价管理办法》（财预〔2020〕10号）规定，单位自评标准是：预算执行</w:t>
      </w:r>
      <w:r>
        <w:rPr>
          <w:rFonts w:hint="eastAsia"/>
          <w:sz w:val="32"/>
          <w:szCs w:val="32"/>
        </w:rPr>
        <w:t>10</w:t>
      </w:r>
      <w:r>
        <w:rPr>
          <w:sz w:val="32"/>
          <w:szCs w:val="32"/>
        </w:rPr>
        <w:t>分，产出指标</w:t>
      </w:r>
      <w:r>
        <w:rPr>
          <w:rFonts w:hint="eastAsia"/>
          <w:sz w:val="32"/>
          <w:szCs w:val="32"/>
        </w:rPr>
        <w:t>50</w:t>
      </w:r>
      <w:r>
        <w:rPr>
          <w:sz w:val="32"/>
          <w:szCs w:val="32"/>
        </w:rPr>
        <w:t>分，效益指标30分，服务对象满意度指标10分。经自评，202</w:t>
      </w:r>
      <w:r>
        <w:rPr>
          <w:rFonts w:hint="eastAsia"/>
          <w:sz w:val="32"/>
          <w:szCs w:val="32"/>
        </w:rPr>
        <w:t>4</w:t>
      </w:r>
      <w:r>
        <w:rPr>
          <w:sz w:val="32"/>
          <w:szCs w:val="32"/>
        </w:rPr>
        <w:t>年度</w:t>
      </w:r>
      <w:r>
        <w:rPr>
          <w:rFonts w:hint="eastAsia"/>
          <w:sz w:val="32"/>
          <w:szCs w:val="32"/>
          <w:lang w:val="en-US" w:eastAsia="zh-CN"/>
        </w:rPr>
        <w:t>农业经营主体能力提升资金</w:t>
      </w:r>
      <w:r>
        <w:rPr>
          <w:sz w:val="32"/>
          <w:szCs w:val="32"/>
        </w:rPr>
        <w:t>项目综合评价自评得分为</w:t>
      </w:r>
      <w:r>
        <w:rPr>
          <w:rFonts w:hint="eastAsia"/>
          <w:sz w:val="32"/>
          <w:szCs w:val="32"/>
          <w:lang w:val="en-US" w:eastAsia="zh-CN"/>
        </w:rPr>
        <w:t>97.6</w:t>
      </w:r>
      <w:r>
        <w:rPr>
          <w:sz w:val="32"/>
          <w:szCs w:val="32"/>
        </w:rPr>
        <w:t>分，其中：预算执行</w:t>
      </w:r>
      <w:r>
        <w:rPr>
          <w:rFonts w:hint="eastAsia"/>
          <w:sz w:val="32"/>
          <w:szCs w:val="32"/>
        </w:rPr>
        <w:t>8.49</w:t>
      </w:r>
      <w:r>
        <w:rPr>
          <w:sz w:val="32"/>
          <w:szCs w:val="32"/>
        </w:rPr>
        <w:t>分、产出指标</w:t>
      </w:r>
      <w:r>
        <w:rPr>
          <w:rFonts w:hint="eastAsia"/>
          <w:sz w:val="32"/>
          <w:szCs w:val="32"/>
          <w:lang w:val="en-US" w:eastAsia="zh-CN"/>
        </w:rPr>
        <w:t>49.11</w:t>
      </w:r>
      <w:r>
        <w:rPr>
          <w:sz w:val="32"/>
          <w:szCs w:val="32"/>
        </w:rPr>
        <w:t>分、效益指标</w:t>
      </w:r>
      <w:r>
        <w:rPr>
          <w:rFonts w:hint="eastAsia"/>
          <w:sz w:val="32"/>
          <w:szCs w:val="32"/>
        </w:rPr>
        <w:t>30</w:t>
      </w:r>
      <w:r>
        <w:rPr>
          <w:sz w:val="32"/>
          <w:szCs w:val="32"/>
        </w:rPr>
        <w:t>分、服务对象满意度指标</w:t>
      </w:r>
      <w:r>
        <w:rPr>
          <w:rFonts w:hint="eastAsia"/>
          <w:sz w:val="32"/>
          <w:szCs w:val="32"/>
        </w:rPr>
        <w:t>10</w:t>
      </w:r>
      <w:r>
        <w:rPr>
          <w:sz w:val="32"/>
          <w:szCs w:val="32"/>
        </w:rPr>
        <w:t>分，自评结果为“</w:t>
      </w:r>
      <w:r>
        <w:rPr>
          <w:rFonts w:hint="eastAsia"/>
          <w:sz w:val="32"/>
          <w:szCs w:val="32"/>
        </w:rPr>
        <w:t>优</w:t>
      </w:r>
      <w:r>
        <w:rPr>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2.自治区农业农村厅高度重视绩效评价结果的应用工作，积极探索建立与预算管理相结合的有效机制，着力提高绩效意识和财政资金使用效益。农业产业发展转移支付资金的绩效自评价结果、执行情况等将作为下一年度安排项目资金的依据，对于绩效自评差的、执行进度慢的地</w:t>
      </w:r>
      <w:r>
        <w:rPr>
          <w:rFonts w:hint="eastAsia"/>
          <w:sz w:val="32"/>
          <w:szCs w:val="32"/>
        </w:rPr>
        <w:t>（</w:t>
      </w:r>
      <w:r>
        <w:rPr>
          <w:sz w:val="32"/>
          <w:szCs w:val="32"/>
        </w:rPr>
        <w:t>州</w:t>
      </w:r>
      <w:r>
        <w:rPr>
          <w:rFonts w:hint="eastAsia"/>
          <w:sz w:val="32"/>
          <w:szCs w:val="32"/>
        </w:rPr>
        <w:t>、市）</w:t>
      </w:r>
      <w:r>
        <w:rPr>
          <w:sz w:val="32"/>
          <w:szCs w:val="32"/>
        </w:rPr>
        <w:t>，将在分配下一年度资金时酌情扣减。同时将不断提升预算管理水平，进一步夯实业务基础，提高我单位绩效人员水平。专门设定对绩效工作人员定职、定岗、定责等相关制度措施，进一步提升我单位绩效管理工作业务水平，扎实做好绩效管理工作。</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3.评价结果将在</w:t>
      </w:r>
      <w:r>
        <w:rPr>
          <w:rFonts w:hint="eastAsia"/>
          <w:sz w:val="32"/>
          <w:szCs w:val="32"/>
        </w:rPr>
        <w:t>自治区农业农村厅、自治区财政厅</w:t>
      </w:r>
      <w:r>
        <w:rPr>
          <w:sz w:val="32"/>
          <w:szCs w:val="32"/>
        </w:rPr>
        <w:t>门户网站进行公示公开，广泛接受社会监督。</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eastAsia="黑体"/>
          <w:sz w:val="32"/>
          <w:szCs w:val="32"/>
        </w:rPr>
      </w:pPr>
      <w:r>
        <w:rPr>
          <w:rFonts w:eastAsia="黑体"/>
          <w:sz w:val="32"/>
          <w:szCs w:val="32"/>
        </w:rPr>
        <w:t>五、其他需要说明的问题</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中央巡视、各级审计和财政监督中未发现问题。</w:t>
      </w:r>
    </w:p>
    <w:p>
      <w:pPr>
        <w:numPr>
          <w:ilvl w:val="0"/>
          <w:numId w:val="0"/>
        </w:num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eastAsia="黑体"/>
          <w:b w:val="0"/>
          <w:bCs w:val="0"/>
          <w:sz w:val="32"/>
          <w:szCs w:val="32"/>
          <w:lang w:val="en-US" w:eastAsia="zh-CN"/>
        </w:rPr>
        <w:t>六、附件</w:t>
      </w:r>
    </w:p>
    <w:p>
      <w:pPr>
        <w:numPr>
          <w:ilvl w:val="0"/>
          <w:numId w:val="0"/>
        </w:num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202</w:t>
      </w:r>
      <w:r>
        <w:rPr>
          <w:rFonts w:hint="eastAsia"/>
          <w:sz w:val="32"/>
          <w:szCs w:val="32"/>
        </w:rPr>
        <w:t>4</w:t>
      </w:r>
      <w:r>
        <w:rPr>
          <w:sz w:val="32"/>
          <w:szCs w:val="32"/>
        </w:rPr>
        <w:t>年中央对地方专项转移支付绩效目标自评表（</w:t>
      </w:r>
      <w:r>
        <w:rPr>
          <w:rFonts w:hint="eastAsia"/>
          <w:sz w:val="32"/>
          <w:szCs w:val="32"/>
        </w:rPr>
        <w:t>农业经营主体能力提升资金</w:t>
      </w:r>
      <w:r>
        <w:rPr>
          <w:sz w:val="32"/>
          <w:szCs w:val="32"/>
        </w:rPr>
        <w:t>）</w:t>
      </w:r>
    </w:p>
    <w:p>
      <w:pPr>
        <w:pStyle w:val="10"/>
        <w:ind w:left="600" w:firstLine="600"/>
        <w:rPr>
          <w:rFonts w:ascii="Times New Roman" w:hAnsi="Times New Roman"/>
        </w:rPr>
        <w:sectPr>
          <w:pgSz w:w="11906" w:h="16838"/>
          <w:pgMar w:top="1440" w:right="1800" w:bottom="1440" w:left="1800" w:header="851" w:footer="992" w:gutter="0"/>
          <w:cols w:space="425" w:num="1"/>
          <w:docGrid w:type="lines" w:linePitch="312" w:charSpace="0"/>
        </w:sectPr>
      </w:pPr>
    </w:p>
    <w:p>
      <w:pPr>
        <w:pStyle w:val="9"/>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ascii="Times New Roman" w:hAnsi="Times New Roman" w:cs="Times New Roman"/>
          <w:b/>
          <w:bCs/>
          <w:kern w:val="0"/>
          <w:sz w:val="36"/>
          <w:szCs w:val="36"/>
          <w:lang w:val="en-US"/>
        </w:rPr>
      </w:pPr>
      <w:r>
        <w:rPr>
          <w:rFonts w:hint="eastAsia" w:ascii="方正黑体_GBK" w:hAnsi="方正黑体_GBK" w:eastAsia="方正黑体_GBK" w:cs="方正黑体_GBK"/>
          <w:b w:val="0"/>
          <w:bCs w:val="0"/>
          <w:kern w:val="0"/>
          <w:sz w:val="32"/>
          <w:szCs w:val="32"/>
          <w:lang w:val="en-US" w:eastAsia="zh-CN"/>
        </w:rPr>
        <w:t>附件：</w:t>
      </w:r>
    </w:p>
    <w:p>
      <w:pPr>
        <w:pStyle w:val="9"/>
        <w:spacing w:line="600" w:lineRule="exact"/>
        <w:ind w:firstLine="722" w:firstLineChars="200"/>
        <w:jc w:val="center"/>
        <w:rPr>
          <w:rFonts w:ascii="Times New Roman" w:hAnsi="Times New Roman" w:cs="Times New Roman"/>
          <w:b/>
          <w:bCs/>
          <w:kern w:val="0"/>
          <w:sz w:val="36"/>
          <w:szCs w:val="36"/>
          <w:lang w:val="en-US"/>
        </w:rPr>
      </w:pPr>
      <w:r>
        <w:rPr>
          <w:rFonts w:hint="eastAsia" w:ascii="Times New Roman" w:hAnsi="Times New Roman" w:cs="Times New Roman"/>
          <w:b/>
          <w:bCs/>
          <w:kern w:val="0"/>
          <w:sz w:val="36"/>
          <w:szCs w:val="36"/>
          <w:lang w:val="en-US"/>
        </w:rPr>
        <w:t>2024年中央对地方专项转移支付绩效目标自评表（农业经营主体能力提升资金）</w:t>
      </w:r>
    </w:p>
    <w:tbl>
      <w:tblPr>
        <w:tblStyle w:val="11"/>
        <w:tblW w:w="53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382"/>
        <w:gridCol w:w="1277"/>
        <w:gridCol w:w="1426"/>
        <w:gridCol w:w="1575"/>
        <w:gridCol w:w="882"/>
        <w:gridCol w:w="1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133" w:type="pct"/>
            <w:gridSpan w:val="2"/>
            <w:vMerge w:val="restar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转移支付（项目）名称</w:t>
            </w:r>
          </w:p>
        </w:tc>
        <w:tc>
          <w:tcPr>
            <w:tcW w:w="3866" w:type="pct"/>
            <w:gridSpan w:val="5"/>
            <w:vMerge w:val="restart"/>
            <w:noWrap/>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农业</w:t>
            </w:r>
            <w:r>
              <w:rPr>
                <w:rFonts w:hint="eastAsia" w:eastAsia="宋体"/>
                <w:color w:val="000000"/>
                <w:kern w:val="0"/>
                <w:sz w:val="16"/>
                <w:szCs w:val="16"/>
                <w:lang w:bidi="ar"/>
              </w:rPr>
              <w:t>经营主体能力提升资金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133" w:type="pct"/>
            <w:gridSpan w:val="2"/>
            <w:vMerge w:val="continue"/>
            <w:vAlign w:val="center"/>
          </w:tcPr>
          <w:p>
            <w:pPr>
              <w:spacing w:line="0" w:lineRule="atLeast"/>
              <w:jc w:val="center"/>
              <w:rPr>
                <w:rFonts w:eastAsia="宋体"/>
                <w:color w:val="000000"/>
                <w:sz w:val="16"/>
                <w:szCs w:val="16"/>
              </w:rPr>
            </w:pPr>
          </w:p>
        </w:tc>
        <w:tc>
          <w:tcPr>
            <w:tcW w:w="3866" w:type="pct"/>
            <w:gridSpan w:val="5"/>
            <w:vMerge w:val="continue"/>
            <w:noWrap/>
            <w:vAlign w:val="center"/>
          </w:tcPr>
          <w:p>
            <w:pPr>
              <w:spacing w:line="0" w:lineRule="atLeas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133" w:type="pct"/>
            <w:gridSpan w:val="2"/>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中央主管部门</w:t>
            </w:r>
          </w:p>
        </w:tc>
        <w:tc>
          <w:tcPr>
            <w:tcW w:w="3866" w:type="pct"/>
            <w:gridSpan w:val="5"/>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财政部、农业农村部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1133" w:type="pct"/>
            <w:gridSpan w:val="2"/>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地方主管部门</w:t>
            </w:r>
          </w:p>
        </w:tc>
        <w:tc>
          <w:tcPr>
            <w:tcW w:w="1490" w:type="pct"/>
            <w:gridSpan w:val="2"/>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自治区财政厅、农业农村厅</w:t>
            </w:r>
          </w:p>
        </w:tc>
        <w:tc>
          <w:tcPr>
            <w:tcW w:w="868" w:type="pct"/>
            <w:noWrap/>
            <w:vAlign w:val="center"/>
          </w:tcPr>
          <w:p>
            <w:pPr>
              <w:widowControl/>
              <w:spacing w:line="0" w:lineRule="atLeast"/>
              <w:jc w:val="left"/>
              <w:textAlignment w:val="center"/>
              <w:rPr>
                <w:rFonts w:eastAsia="宋体"/>
                <w:color w:val="000000"/>
                <w:sz w:val="16"/>
                <w:szCs w:val="16"/>
              </w:rPr>
            </w:pPr>
            <w:r>
              <w:rPr>
                <w:rFonts w:eastAsia="宋体"/>
                <w:color w:val="000000"/>
                <w:kern w:val="0"/>
                <w:sz w:val="16"/>
                <w:szCs w:val="16"/>
                <w:lang w:bidi="ar"/>
              </w:rPr>
              <w:t>资金使用单位</w:t>
            </w:r>
          </w:p>
        </w:tc>
        <w:tc>
          <w:tcPr>
            <w:tcW w:w="1508" w:type="pct"/>
            <w:gridSpan w:val="2"/>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县市农业农村局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atLeast"/>
          <w:jc w:val="center"/>
        </w:trPr>
        <w:tc>
          <w:tcPr>
            <w:tcW w:w="1133" w:type="pct"/>
            <w:gridSpan w:val="2"/>
            <w:vMerge w:val="restart"/>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资金投入情况</w:t>
            </w:r>
            <w:r>
              <w:rPr>
                <w:rFonts w:eastAsia="宋体"/>
                <w:color w:val="000000"/>
                <w:kern w:val="0"/>
                <w:sz w:val="16"/>
                <w:szCs w:val="16"/>
                <w:lang w:bidi="ar"/>
              </w:rPr>
              <w:br w:type="textWrapping"/>
            </w:r>
            <w:r>
              <w:rPr>
                <w:rFonts w:eastAsia="宋体"/>
                <w:color w:val="000000"/>
                <w:kern w:val="0"/>
                <w:sz w:val="16"/>
                <w:szCs w:val="16"/>
                <w:lang w:bidi="ar"/>
              </w:rPr>
              <w:t>（万元）</w:t>
            </w:r>
          </w:p>
        </w:tc>
        <w:tc>
          <w:tcPr>
            <w:tcW w:w="703" w:type="pct"/>
            <w:noWrap/>
            <w:vAlign w:val="center"/>
          </w:tcPr>
          <w:p>
            <w:pPr>
              <w:spacing w:line="0" w:lineRule="atLeast"/>
              <w:rPr>
                <w:rFonts w:eastAsia="宋体"/>
                <w:color w:val="000000"/>
                <w:sz w:val="16"/>
                <w:szCs w:val="16"/>
              </w:rPr>
            </w:pPr>
          </w:p>
        </w:tc>
        <w:tc>
          <w:tcPr>
            <w:tcW w:w="786"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全年预算数（A</w:t>
            </w:r>
            <w:r>
              <w:rPr>
                <w:rFonts w:hint="eastAsia" w:eastAsia="宋体"/>
                <w:color w:val="000000"/>
                <w:kern w:val="0"/>
                <w:sz w:val="16"/>
                <w:szCs w:val="16"/>
                <w:lang w:bidi="ar"/>
              </w:rPr>
              <w:t>）</w:t>
            </w:r>
          </w:p>
        </w:tc>
        <w:tc>
          <w:tcPr>
            <w:tcW w:w="868"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全年执行数（B</w:t>
            </w:r>
            <w:r>
              <w:rPr>
                <w:rFonts w:hint="eastAsia" w:eastAsia="宋体"/>
                <w:color w:val="000000"/>
                <w:kern w:val="0"/>
                <w:sz w:val="16"/>
                <w:szCs w:val="16"/>
                <w:lang w:bidi="ar"/>
              </w:rPr>
              <w:t>）</w:t>
            </w:r>
          </w:p>
        </w:tc>
        <w:tc>
          <w:tcPr>
            <w:tcW w:w="1508" w:type="pct"/>
            <w:gridSpan w:val="2"/>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预算执行率</w:t>
            </w:r>
            <w:r>
              <w:rPr>
                <w:rFonts w:eastAsia="宋体"/>
                <w:color w:val="000000"/>
                <w:kern w:val="0"/>
                <w:sz w:val="16"/>
                <w:szCs w:val="16"/>
                <w:lang w:bidi="ar"/>
              </w:rPr>
              <w:br w:type="textWrapping"/>
            </w:r>
            <w:r>
              <w:rPr>
                <w:rFonts w:eastAsia="宋体"/>
                <w:color w:val="000000"/>
                <w:kern w:val="0"/>
                <w:sz w:val="16"/>
                <w:szCs w:val="16"/>
                <w:lang w:bidi="ar"/>
              </w:rPr>
              <w:t>（B/A×100%）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133" w:type="pct"/>
            <w:gridSpan w:val="2"/>
            <w:vMerge w:val="continue"/>
            <w:vAlign w:val="center"/>
          </w:tcPr>
          <w:p>
            <w:pPr>
              <w:spacing w:line="0" w:lineRule="atLeast"/>
              <w:jc w:val="center"/>
              <w:rPr>
                <w:rFonts w:eastAsia="宋体"/>
                <w:color w:val="000000"/>
                <w:sz w:val="16"/>
                <w:szCs w:val="16"/>
              </w:rPr>
            </w:pPr>
          </w:p>
        </w:tc>
        <w:tc>
          <w:tcPr>
            <w:tcW w:w="703" w:type="pct"/>
            <w:noWrap/>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年度资金总额：</w:t>
            </w: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hint="eastAsia" w:eastAsia="宋体"/>
                <w:color w:val="000000"/>
                <w:kern w:val="0"/>
                <w:sz w:val="16"/>
                <w:szCs w:val="16"/>
                <w:lang w:bidi="ar"/>
              </w:rPr>
              <w:t>71019</w:t>
            </w:r>
          </w:p>
        </w:tc>
        <w:tc>
          <w:tcPr>
            <w:tcW w:w="868" w:type="pct"/>
            <w:vAlign w:val="center"/>
          </w:tcPr>
          <w:p>
            <w:pPr>
              <w:widowControl/>
              <w:spacing w:line="0" w:lineRule="atLeast"/>
              <w:jc w:val="center"/>
              <w:textAlignment w:val="center"/>
              <w:rPr>
                <w:rFonts w:eastAsia="宋体"/>
                <w:color w:val="000000"/>
                <w:kern w:val="0"/>
                <w:sz w:val="16"/>
                <w:szCs w:val="16"/>
                <w:lang w:bidi="ar"/>
              </w:rPr>
            </w:pPr>
            <w:r>
              <w:rPr>
                <w:rFonts w:hint="eastAsia" w:eastAsia="宋体"/>
                <w:color w:val="000000"/>
                <w:kern w:val="0"/>
                <w:sz w:val="16"/>
                <w:szCs w:val="16"/>
                <w:lang w:bidi="ar"/>
              </w:rPr>
              <w:t>60316.06</w:t>
            </w:r>
          </w:p>
        </w:tc>
        <w:tc>
          <w:tcPr>
            <w:tcW w:w="1508" w:type="pct"/>
            <w:gridSpan w:val="2"/>
            <w:noWrap/>
            <w:vAlign w:val="center"/>
          </w:tcPr>
          <w:p>
            <w:pPr>
              <w:widowControl/>
              <w:spacing w:line="0" w:lineRule="atLeast"/>
              <w:jc w:val="center"/>
              <w:textAlignment w:val="center"/>
              <w:rPr>
                <w:rFonts w:eastAsia="宋体"/>
                <w:color w:val="000000"/>
                <w:kern w:val="0"/>
                <w:sz w:val="16"/>
                <w:szCs w:val="16"/>
                <w:lang w:bidi="ar"/>
              </w:rPr>
            </w:pPr>
            <w:r>
              <w:rPr>
                <w:rFonts w:hint="eastAsia" w:eastAsia="宋体"/>
                <w:color w:val="000000"/>
                <w:kern w:val="0"/>
                <w:sz w:val="16"/>
                <w:szCs w:val="16"/>
                <w:lang w:bidi="ar"/>
              </w:rPr>
              <w:t>84.93</w:t>
            </w:r>
            <w:r>
              <w:rPr>
                <w:rFonts w:eastAsia="宋体"/>
                <w:color w:val="000000"/>
                <w:kern w:val="0"/>
                <w:sz w:val="16"/>
                <w:szCs w:val="16"/>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133" w:type="pct"/>
            <w:gridSpan w:val="2"/>
            <w:vMerge w:val="continue"/>
            <w:vAlign w:val="center"/>
          </w:tcPr>
          <w:p>
            <w:pPr>
              <w:spacing w:line="0" w:lineRule="atLeast"/>
              <w:jc w:val="center"/>
              <w:rPr>
                <w:rFonts w:eastAsia="宋体"/>
                <w:color w:val="000000"/>
                <w:sz w:val="16"/>
                <w:szCs w:val="16"/>
              </w:rPr>
            </w:pPr>
          </w:p>
        </w:tc>
        <w:tc>
          <w:tcPr>
            <w:tcW w:w="703" w:type="pct"/>
            <w:noWrap/>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其中：中央</w:t>
            </w:r>
          </w:p>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财政资金</w:t>
            </w: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hint="eastAsia" w:eastAsia="宋体"/>
                <w:color w:val="000000"/>
                <w:kern w:val="0"/>
                <w:sz w:val="16"/>
                <w:szCs w:val="16"/>
                <w:lang w:bidi="ar"/>
              </w:rPr>
              <w:t>71019</w:t>
            </w:r>
          </w:p>
        </w:tc>
        <w:tc>
          <w:tcPr>
            <w:tcW w:w="868" w:type="pct"/>
            <w:vAlign w:val="center"/>
          </w:tcPr>
          <w:p>
            <w:pPr>
              <w:widowControl/>
              <w:spacing w:line="0" w:lineRule="atLeast"/>
              <w:jc w:val="center"/>
              <w:textAlignment w:val="center"/>
              <w:rPr>
                <w:rFonts w:eastAsia="宋体"/>
                <w:color w:val="000000"/>
                <w:kern w:val="0"/>
                <w:sz w:val="16"/>
                <w:szCs w:val="16"/>
                <w:lang w:bidi="ar"/>
              </w:rPr>
            </w:pPr>
            <w:r>
              <w:rPr>
                <w:rFonts w:hint="eastAsia" w:eastAsia="宋体"/>
                <w:color w:val="000000"/>
                <w:kern w:val="0"/>
                <w:sz w:val="16"/>
                <w:szCs w:val="16"/>
                <w:lang w:bidi="ar"/>
              </w:rPr>
              <w:t>60316.06</w:t>
            </w:r>
          </w:p>
        </w:tc>
        <w:tc>
          <w:tcPr>
            <w:tcW w:w="1508" w:type="pct"/>
            <w:gridSpan w:val="2"/>
            <w:noWrap/>
            <w:vAlign w:val="center"/>
          </w:tcPr>
          <w:p>
            <w:pPr>
              <w:widowControl/>
              <w:spacing w:line="0" w:lineRule="atLeast"/>
              <w:jc w:val="center"/>
              <w:textAlignment w:val="center"/>
              <w:rPr>
                <w:rFonts w:eastAsia="宋体"/>
                <w:color w:val="000000"/>
                <w:kern w:val="0"/>
                <w:sz w:val="16"/>
                <w:szCs w:val="16"/>
                <w:lang w:bidi="ar"/>
              </w:rPr>
            </w:pPr>
            <w:r>
              <w:rPr>
                <w:rFonts w:hint="eastAsia" w:eastAsia="宋体"/>
                <w:color w:val="000000"/>
                <w:kern w:val="0"/>
                <w:sz w:val="16"/>
                <w:szCs w:val="16"/>
                <w:lang w:bidi="ar"/>
              </w:rPr>
              <w:t>84.93</w:t>
            </w:r>
            <w:r>
              <w:rPr>
                <w:rFonts w:eastAsia="宋体"/>
                <w:color w:val="000000"/>
                <w:kern w:val="0"/>
                <w:sz w:val="16"/>
                <w:szCs w:val="16"/>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133" w:type="pct"/>
            <w:gridSpan w:val="2"/>
            <w:vMerge w:val="continue"/>
            <w:vAlign w:val="center"/>
          </w:tcPr>
          <w:p>
            <w:pPr>
              <w:spacing w:line="0" w:lineRule="atLeast"/>
              <w:jc w:val="center"/>
              <w:rPr>
                <w:rFonts w:eastAsia="宋体"/>
                <w:color w:val="000000"/>
                <w:sz w:val="16"/>
                <w:szCs w:val="16"/>
              </w:rPr>
            </w:pPr>
          </w:p>
        </w:tc>
        <w:tc>
          <w:tcPr>
            <w:tcW w:w="703"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地方资金</w:t>
            </w:r>
          </w:p>
        </w:tc>
        <w:tc>
          <w:tcPr>
            <w:tcW w:w="786" w:type="pct"/>
            <w:vAlign w:val="center"/>
          </w:tcPr>
          <w:p>
            <w:pPr>
              <w:widowControl/>
              <w:spacing w:line="0" w:lineRule="atLeast"/>
              <w:jc w:val="center"/>
              <w:textAlignment w:val="center"/>
              <w:rPr>
                <w:rFonts w:eastAsia="宋体"/>
                <w:color w:val="000000"/>
                <w:sz w:val="16"/>
                <w:szCs w:val="16"/>
              </w:rPr>
            </w:pPr>
          </w:p>
        </w:tc>
        <w:tc>
          <w:tcPr>
            <w:tcW w:w="868" w:type="pct"/>
            <w:vAlign w:val="center"/>
          </w:tcPr>
          <w:p>
            <w:pPr>
              <w:widowControl/>
              <w:spacing w:line="0" w:lineRule="atLeast"/>
              <w:jc w:val="center"/>
              <w:textAlignment w:val="center"/>
              <w:rPr>
                <w:rFonts w:eastAsia="宋体"/>
                <w:color w:val="000000"/>
                <w:sz w:val="16"/>
                <w:szCs w:val="16"/>
              </w:rPr>
            </w:pPr>
          </w:p>
        </w:tc>
        <w:tc>
          <w:tcPr>
            <w:tcW w:w="1508" w:type="pct"/>
            <w:gridSpan w:val="2"/>
            <w:noWrap/>
            <w:vAlign w:val="center"/>
          </w:tcPr>
          <w:p>
            <w:pPr>
              <w:widowControl/>
              <w:spacing w:line="0" w:lineRule="atLeast"/>
              <w:jc w:val="center"/>
              <w:textAlignment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133" w:type="pct"/>
            <w:gridSpan w:val="2"/>
            <w:vMerge w:val="continue"/>
            <w:vAlign w:val="center"/>
          </w:tcPr>
          <w:p>
            <w:pPr>
              <w:spacing w:line="0" w:lineRule="atLeast"/>
              <w:jc w:val="center"/>
              <w:rPr>
                <w:rFonts w:eastAsia="宋体"/>
                <w:color w:val="000000"/>
                <w:sz w:val="16"/>
                <w:szCs w:val="16"/>
              </w:rPr>
            </w:pPr>
          </w:p>
        </w:tc>
        <w:tc>
          <w:tcPr>
            <w:tcW w:w="703"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其他资金</w:t>
            </w:r>
          </w:p>
        </w:tc>
        <w:tc>
          <w:tcPr>
            <w:tcW w:w="786" w:type="pct"/>
            <w:noWrap/>
            <w:vAlign w:val="center"/>
          </w:tcPr>
          <w:p>
            <w:pPr>
              <w:spacing w:line="0" w:lineRule="atLeast"/>
              <w:jc w:val="center"/>
              <w:rPr>
                <w:rFonts w:eastAsia="宋体"/>
                <w:color w:val="000000"/>
                <w:sz w:val="16"/>
                <w:szCs w:val="16"/>
              </w:rPr>
            </w:pPr>
          </w:p>
        </w:tc>
        <w:tc>
          <w:tcPr>
            <w:tcW w:w="868" w:type="pct"/>
            <w:noWrap/>
            <w:vAlign w:val="center"/>
          </w:tcPr>
          <w:p>
            <w:pPr>
              <w:spacing w:line="0" w:lineRule="atLeast"/>
              <w:jc w:val="center"/>
              <w:rPr>
                <w:rFonts w:eastAsia="宋体"/>
                <w:color w:val="000000"/>
                <w:sz w:val="16"/>
                <w:szCs w:val="16"/>
              </w:rPr>
            </w:pPr>
          </w:p>
        </w:tc>
        <w:tc>
          <w:tcPr>
            <w:tcW w:w="1508" w:type="pct"/>
            <w:gridSpan w:val="2"/>
            <w:noWrap/>
            <w:vAlign w:val="center"/>
          </w:tcPr>
          <w:p>
            <w:pPr>
              <w:spacing w:line="0" w:lineRule="atLeas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133" w:type="pct"/>
            <w:gridSpan w:val="2"/>
            <w:vMerge w:val="restar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资金管理情况</w:t>
            </w:r>
          </w:p>
        </w:tc>
        <w:tc>
          <w:tcPr>
            <w:tcW w:w="703" w:type="pct"/>
            <w:noWrap/>
            <w:vAlign w:val="center"/>
          </w:tcPr>
          <w:p>
            <w:pPr>
              <w:spacing w:line="0" w:lineRule="atLeast"/>
              <w:rPr>
                <w:rFonts w:eastAsia="宋体"/>
                <w:color w:val="000000"/>
                <w:sz w:val="16"/>
                <w:szCs w:val="16"/>
              </w:rPr>
            </w:pPr>
          </w:p>
        </w:tc>
        <w:tc>
          <w:tcPr>
            <w:tcW w:w="1654" w:type="pct"/>
            <w:gridSpan w:val="2"/>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情况说明</w:t>
            </w:r>
          </w:p>
        </w:tc>
        <w:tc>
          <w:tcPr>
            <w:tcW w:w="1508" w:type="pct"/>
            <w:gridSpan w:val="2"/>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存在问题和改进措施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1133" w:type="pct"/>
            <w:gridSpan w:val="2"/>
            <w:vMerge w:val="continue"/>
            <w:noWrap/>
            <w:vAlign w:val="center"/>
          </w:tcPr>
          <w:p>
            <w:pPr>
              <w:spacing w:line="0" w:lineRule="atLeast"/>
              <w:jc w:val="center"/>
              <w:rPr>
                <w:rFonts w:eastAsia="宋体"/>
                <w:color w:val="000000"/>
                <w:sz w:val="16"/>
                <w:szCs w:val="16"/>
              </w:rPr>
            </w:pPr>
          </w:p>
        </w:tc>
        <w:tc>
          <w:tcPr>
            <w:tcW w:w="703" w:type="pct"/>
            <w:noWrap/>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分配科学性</w:t>
            </w:r>
          </w:p>
        </w:tc>
        <w:tc>
          <w:tcPr>
            <w:tcW w:w="1654" w:type="pct"/>
            <w:gridSpan w:val="2"/>
          </w:tcPr>
          <w:p>
            <w:pPr>
              <w:widowControl/>
              <w:spacing w:line="0" w:lineRule="atLeast"/>
              <w:textAlignment w:val="center"/>
              <w:rPr>
                <w:rFonts w:eastAsia="宋体"/>
                <w:color w:val="000000"/>
                <w:kern w:val="0"/>
                <w:sz w:val="16"/>
                <w:szCs w:val="16"/>
                <w:lang w:bidi="ar"/>
              </w:rPr>
            </w:pPr>
            <w:r>
              <w:rPr>
                <w:rFonts w:eastAsia="宋体"/>
                <w:color w:val="000000"/>
                <w:kern w:val="0"/>
                <w:sz w:val="16"/>
                <w:szCs w:val="16"/>
                <w:lang w:bidi="ar"/>
              </w:rPr>
              <w:t>按照任务量与资金相匹配的原则，合理测算各地州任务完成能力，分解我区整体绩效任务。</w:t>
            </w:r>
            <w:r>
              <w:rPr>
                <w:rFonts w:hint="eastAsia" w:eastAsia="宋体"/>
                <w:color w:val="000000"/>
                <w:kern w:val="0"/>
                <w:sz w:val="16"/>
                <w:szCs w:val="16"/>
                <w:lang w:bidi="ar"/>
              </w:rPr>
              <w:t>新疆</w:t>
            </w:r>
            <w:r>
              <w:rPr>
                <w:rFonts w:hint="eastAsia" w:eastAsia="宋体"/>
                <w:color w:val="000000"/>
                <w:kern w:val="0"/>
                <w:sz w:val="16"/>
                <w:szCs w:val="16"/>
                <w:lang w:eastAsia="zh-CN" w:bidi="ar"/>
              </w:rPr>
              <w:t>农业经营主体能力提升</w:t>
            </w:r>
            <w:r>
              <w:rPr>
                <w:rFonts w:eastAsia="宋体"/>
                <w:color w:val="000000"/>
                <w:kern w:val="0"/>
                <w:sz w:val="16"/>
                <w:szCs w:val="16"/>
                <w:lang w:bidi="ar"/>
              </w:rPr>
              <w:t>资金</w:t>
            </w:r>
            <w:r>
              <w:rPr>
                <w:rFonts w:hint="eastAsia" w:eastAsia="宋体"/>
                <w:color w:val="000000"/>
                <w:kern w:val="0"/>
                <w:sz w:val="16"/>
                <w:szCs w:val="16"/>
                <w:lang w:bidi="ar"/>
              </w:rPr>
              <w:t>分配额度合理，资金分配依据充分。</w:t>
            </w:r>
          </w:p>
        </w:tc>
        <w:tc>
          <w:tcPr>
            <w:tcW w:w="1508" w:type="pct"/>
            <w:gridSpan w:val="2"/>
            <w:noWrap/>
            <w:vAlign w:val="center"/>
          </w:tcPr>
          <w:p>
            <w:pPr>
              <w:spacing w:line="0" w:lineRule="atLeast"/>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33" w:type="pct"/>
            <w:gridSpan w:val="2"/>
            <w:vMerge w:val="continue"/>
            <w:noWrap/>
            <w:vAlign w:val="center"/>
          </w:tcPr>
          <w:p>
            <w:pPr>
              <w:spacing w:line="0" w:lineRule="atLeast"/>
              <w:jc w:val="center"/>
              <w:rPr>
                <w:rFonts w:eastAsia="宋体"/>
                <w:color w:val="000000"/>
                <w:sz w:val="16"/>
                <w:szCs w:val="16"/>
              </w:rPr>
            </w:pPr>
          </w:p>
        </w:tc>
        <w:tc>
          <w:tcPr>
            <w:tcW w:w="703" w:type="pct"/>
            <w:noWrap/>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下达及时性</w:t>
            </w:r>
          </w:p>
        </w:tc>
        <w:tc>
          <w:tcPr>
            <w:tcW w:w="1654" w:type="pct"/>
            <w:gridSpan w:val="2"/>
          </w:tcPr>
          <w:p>
            <w:pPr>
              <w:widowControl/>
              <w:spacing w:line="0" w:lineRule="atLeast"/>
              <w:textAlignment w:val="center"/>
              <w:rPr>
                <w:rFonts w:eastAsia="宋体"/>
                <w:color w:val="000000"/>
                <w:kern w:val="0"/>
                <w:sz w:val="16"/>
                <w:szCs w:val="16"/>
                <w:lang w:bidi="ar"/>
              </w:rPr>
            </w:pPr>
            <w:r>
              <w:rPr>
                <w:rFonts w:eastAsia="宋体"/>
                <w:color w:val="000000"/>
                <w:kern w:val="0"/>
                <w:sz w:val="16"/>
                <w:szCs w:val="16"/>
                <w:lang w:bidi="ar"/>
              </w:rPr>
              <w:t>根据财政部、农业部有关要求，农业农村厅收到资金文件后，在规定时限内（30日内），按管理办法规定提出具体资金分配方案，经厅党组审议同意后，正式行文报财政厅申请下达资金，综上专项资金及时拨付至各地县市，资金分解下达及时。</w:t>
            </w:r>
          </w:p>
        </w:tc>
        <w:tc>
          <w:tcPr>
            <w:tcW w:w="1508" w:type="pct"/>
            <w:gridSpan w:val="2"/>
            <w:noWrap/>
            <w:vAlign w:val="center"/>
          </w:tcPr>
          <w:p>
            <w:pPr>
              <w:spacing w:line="0" w:lineRule="atLeast"/>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jc w:val="center"/>
        </w:trPr>
        <w:tc>
          <w:tcPr>
            <w:tcW w:w="1133" w:type="pct"/>
            <w:gridSpan w:val="2"/>
            <w:vMerge w:val="continue"/>
            <w:noWrap/>
            <w:vAlign w:val="center"/>
          </w:tcPr>
          <w:p>
            <w:pPr>
              <w:spacing w:line="0" w:lineRule="atLeast"/>
              <w:jc w:val="center"/>
              <w:rPr>
                <w:rFonts w:eastAsia="宋体"/>
                <w:color w:val="000000"/>
                <w:sz w:val="16"/>
                <w:szCs w:val="16"/>
              </w:rPr>
            </w:pPr>
          </w:p>
        </w:tc>
        <w:tc>
          <w:tcPr>
            <w:tcW w:w="703" w:type="pct"/>
            <w:noWrap/>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拨付合规性</w:t>
            </w:r>
          </w:p>
        </w:tc>
        <w:tc>
          <w:tcPr>
            <w:tcW w:w="1654" w:type="pct"/>
            <w:gridSpan w:val="2"/>
          </w:tcPr>
          <w:p>
            <w:pPr>
              <w:widowControl/>
              <w:spacing w:line="0" w:lineRule="atLeast"/>
              <w:textAlignment w:val="center"/>
              <w:rPr>
                <w:rFonts w:eastAsia="宋体"/>
                <w:color w:val="000000"/>
                <w:kern w:val="0"/>
                <w:sz w:val="16"/>
                <w:szCs w:val="16"/>
                <w:lang w:bidi="ar"/>
              </w:rPr>
            </w:pPr>
            <w:r>
              <w:rPr>
                <w:rFonts w:eastAsia="宋体"/>
                <w:color w:val="000000"/>
                <w:kern w:val="0"/>
                <w:sz w:val="16"/>
                <w:szCs w:val="16"/>
                <w:lang w:bidi="ar"/>
              </w:rPr>
              <w:t>按照《财政部 农业农村部关于修订农业相关转移支付资金管理办法的通知》</w:t>
            </w:r>
            <w:r>
              <w:rPr>
                <w:rFonts w:hint="eastAsia" w:eastAsia="宋体"/>
                <w:color w:val="000000"/>
                <w:kern w:val="0"/>
                <w:sz w:val="16"/>
                <w:szCs w:val="16"/>
                <w:lang w:bidi="ar"/>
              </w:rPr>
              <w:t>（</w:t>
            </w:r>
            <w:r>
              <w:rPr>
                <w:rFonts w:eastAsia="宋体"/>
                <w:color w:val="000000"/>
                <w:kern w:val="0"/>
                <w:sz w:val="16"/>
                <w:szCs w:val="16"/>
                <w:lang w:bidi="ar"/>
              </w:rPr>
              <w:t>财农〔2022〕25号）文件的“第三章 资金分配和预算下达”要求，严格按照国库集中支付制度有关规定支付资金，未出现违规资金</w:t>
            </w:r>
            <w:r>
              <w:rPr>
                <w:rFonts w:hint="eastAsia" w:eastAsia="宋体"/>
                <w:color w:val="000000"/>
                <w:kern w:val="0"/>
                <w:sz w:val="16"/>
                <w:szCs w:val="16"/>
                <w:lang w:eastAsia="zh-CN" w:bidi="ar"/>
              </w:rPr>
              <w:t>、</w:t>
            </w:r>
            <w:r>
              <w:rPr>
                <w:rFonts w:eastAsia="宋体"/>
                <w:color w:val="000000"/>
                <w:kern w:val="0"/>
                <w:sz w:val="16"/>
                <w:szCs w:val="16"/>
                <w:lang w:bidi="ar"/>
              </w:rPr>
              <w:t>资金账户等问题。</w:t>
            </w:r>
          </w:p>
        </w:tc>
        <w:tc>
          <w:tcPr>
            <w:tcW w:w="1508" w:type="pct"/>
            <w:gridSpan w:val="2"/>
            <w:noWrap/>
            <w:vAlign w:val="center"/>
          </w:tcPr>
          <w:p>
            <w:pPr>
              <w:spacing w:line="0" w:lineRule="atLeast"/>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1133" w:type="pct"/>
            <w:gridSpan w:val="2"/>
            <w:vMerge w:val="continue"/>
            <w:noWrap/>
            <w:vAlign w:val="center"/>
          </w:tcPr>
          <w:p>
            <w:pPr>
              <w:spacing w:line="0" w:lineRule="atLeast"/>
              <w:jc w:val="center"/>
              <w:rPr>
                <w:rFonts w:eastAsia="宋体"/>
                <w:color w:val="000000"/>
                <w:sz w:val="16"/>
                <w:szCs w:val="16"/>
              </w:rPr>
            </w:pPr>
          </w:p>
        </w:tc>
        <w:tc>
          <w:tcPr>
            <w:tcW w:w="703" w:type="pct"/>
            <w:noWrap/>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使用规范性</w:t>
            </w:r>
          </w:p>
        </w:tc>
        <w:tc>
          <w:tcPr>
            <w:tcW w:w="1654" w:type="pct"/>
            <w:gridSpan w:val="2"/>
          </w:tcPr>
          <w:p>
            <w:pPr>
              <w:widowControl/>
              <w:spacing w:line="0" w:lineRule="atLeast"/>
              <w:textAlignment w:val="center"/>
              <w:rPr>
                <w:rFonts w:hint="eastAsia" w:eastAsia="宋体"/>
                <w:color w:val="000000"/>
                <w:kern w:val="0"/>
                <w:sz w:val="16"/>
                <w:szCs w:val="16"/>
                <w:lang w:bidi="ar"/>
              </w:rPr>
            </w:pPr>
            <w:r>
              <w:rPr>
                <w:rFonts w:hint="eastAsia" w:eastAsia="宋体"/>
                <w:color w:val="000000"/>
                <w:kern w:val="0"/>
                <w:sz w:val="16"/>
                <w:szCs w:val="16"/>
                <w:lang w:bidi="ar"/>
              </w:rPr>
              <w:t>坚持实事求是的原则，严格执行财务制度，做到原始凭证齐全，财务手续健全，账目核算规范。做到项目资金专款专储专用，杜绝任何形式的资金占用。</w:t>
            </w:r>
          </w:p>
          <w:p>
            <w:pPr>
              <w:widowControl/>
              <w:spacing w:line="0" w:lineRule="atLeast"/>
              <w:textAlignment w:val="center"/>
              <w:rPr>
                <w:rFonts w:eastAsia="宋体"/>
                <w:color w:val="000000"/>
                <w:kern w:val="0"/>
                <w:sz w:val="16"/>
                <w:szCs w:val="16"/>
                <w:lang w:bidi="ar"/>
              </w:rPr>
            </w:pPr>
          </w:p>
        </w:tc>
        <w:tc>
          <w:tcPr>
            <w:tcW w:w="1508" w:type="pct"/>
            <w:gridSpan w:val="2"/>
            <w:noWrap/>
            <w:vAlign w:val="center"/>
          </w:tcPr>
          <w:p>
            <w:pPr>
              <w:spacing w:line="0" w:lineRule="atLeast"/>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1133" w:type="pct"/>
            <w:gridSpan w:val="2"/>
            <w:vMerge w:val="continue"/>
            <w:noWrap/>
            <w:vAlign w:val="center"/>
          </w:tcPr>
          <w:p>
            <w:pPr>
              <w:spacing w:line="0" w:lineRule="atLeast"/>
              <w:jc w:val="center"/>
              <w:rPr>
                <w:rFonts w:eastAsia="宋体"/>
                <w:color w:val="000000"/>
                <w:sz w:val="16"/>
                <w:szCs w:val="16"/>
              </w:rPr>
            </w:pPr>
          </w:p>
        </w:tc>
        <w:tc>
          <w:tcPr>
            <w:tcW w:w="703"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执行准确性</w:t>
            </w:r>
          </w:p>
        </w:tc>
        <w:tc>
          <w:tcPr>
            <w:tcW w:w="1654" w:type="pct"/>
            <w:gridSpan w:val="2"/>
          </w:tcPr>
          <w:p>
            <w:pPr>
              <w:widowControl/>
              <w:spacing w:line="0" w:lineRule="atLeast"/>
              <w:textAlignment w:val="center"/>
              <w:rPr>
                <w:rFonts w:hint="eastAsia" w:eastAsia="宋体"/>
                <w:color w:val="000000"/>
                <w:kern w:val="0"/>
                <w:sz w:val="16"/>
                <w:szCs w:val="16"/>
                <w:lang w:eastAsia="zh-CN" w:bidi="ar"/>
              </w:rPr>
            </w:pPr>
            <w:r>
              <w:rPr>
                <w:rFonts w:hint="eastAsia" w:eastAsia="宋体"/>
                <w:color w:val="000000"/>
                <w:kern w:val="0"/>
                <w:sz w:val="16"/>
                <w:szCs w:val="16"/>
                <w:lang w:bidi="ar"/>
              </w:rPr>
              <w:t>严格执行向下到十四个地州及自治区本级的资金，明确资金使用范围严格按照政策文件规定的范围执行资金，</w:t>
            </w:r>
            <w:r>
              <w:rPr>
                <w:rFonts w:hint="eastAsia" w:eastAsia="宋体"/>
                <w:color w:val="000000"/>
                <w:kern w:val="0"/>
                <w:sz w:val="16"/>
                <w:szCs w:val="16"/>
                <w:lang w:eastAsia="zh-CN" w:bidi="ar"/>
              </w:rPr>
              <w:t>保障</w:t>
            </w:r>
            <w:r>
              <w:rPr>
                <w:rFonts w:hint="eastAsia" w:eastAsia="宋体"/>
                <w:color w:val="000000"/>
                <w:kern w:val="0"/>
                <w:sz w:val="16"/>
                <w:szCs w:val="16"/>
                <w:lang w:bidi="ar"/>
              </w:rPr>
              <w:t>资金精准用于农业经营主体提升项目。对资金使用范围进行细化，避免模糊地带导致的资金执行偏离目标</w:t>
            </w:r>
            <w:r>
              <w:rPr>
                <w:rFonts w:hint="eastAsia" w:eastAsia="宋体"/>
                <w:color w:val="000000"/>
                <w:kern w:val="0"/>
                <w:sz w:val="16"/>
                <w:szCs w:val="16"/>
                <w:lang w:eastAsia="zh-CN" w:bidi="ar"/>
              </w:rPr>
              <w:t>。</w:t>
            </w:r>
          </w:p>
        </w:tc>
        <w:tc>
          <w:tcPr>
            <w:tcW w:w="1508" w:type="pct"/>
            <w:gridSpan w:val="2"/>
            <w:noWrap/>
            <w:vAlign w:val="center"/>
          </w:tcPr>
          <w:p>
            <w:pPr>
              <w:spacing w:line="0" w:lineRule="atLeast"/>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1133" w:type="pct"/>
            <w:gridSpan w:val="2"/>
            <w:vMerge w:val="continue"/>
            <w:noWrap/>
            <w:vAlign w:val="center"/>
          </w:tcPr>
          <w:p>
            <w:pPr>
              <w:spacing w:line="0" w:lineRule="atLeast"/>
              <w:jc w:val="center"/>
              <w:rPr>
                <w:rFonts w:eastAsia="宋体"/>
                <w:color w:val="000000"/>
                <w:sz w:val="16"/>
                <w:szCs w:val="16"/>
              </w:rPr>
            </w:pPr>
          </w:p>
        </w:tc>
        <w:tc>
          <w:tcPr>
            <w:tcW w:w="703"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预算绩效管理情况</w:t>
            </w:r>
          </w:p>
        </w:tc>
        <w:tc>
          <w:tcPr>
            <w:tcW w:w="1654" w:type="pct"/>
            <w:gridSpan w:val="2"/>
          </w:tcPr>
          <w:p>
            <w:pPr>
              <w:widowControl/>
              <w:spacing w:line="0" w:lineRule="atLeast"/>
              <w:textAlignment w:val="center"/>
              <w:rPr>
                <w:rFonts w:eastAsia="宋体"/>
                <w:color w:val="000000"/>
                <w:kern w:val="0"/>
                <w:sz w:val="16"/>
                <w:szCs w:val="16"/>
                <w:lang w:bidi="ar"/>
              </w:rPr>
            </w:pPr>
            <w:r>
              <w:rPr>
                <w:rFonts w:hint="eastAsia" w:eastAsia="宋体"/>
                <w:color w:val="000000"/>
                <w:kern w:val="0"/>
                <w:sz w:val="16"/>
                <w:szCs w:val="16"/>
                <w:lang w:eastAsia="zh-CN" w:bidi="ar"/>
              </w:rPr>
              <w:t>保障</w:t>
            </w:r>
            <w:r>
              <w:rPr>
                <w:rFonts w:hint="eastAsia" w:eastAsia="宋体"/>
                <w:color w:val="000000"/>
                <w:kern w:val="0"/>
                <w:sz w:val="16"/>
                <w:szCs w:val="16"/>
                <w:lang w:bidi="ar"/>
              </w:rPr>
              <w:t>资金使用效益。部分地区建立了绩效监控机制，定期对项目进展和资金使用情况进行跟踪。制定具体、可量化的绩效目标，</w:t>
            </w:r>
            <w:r>
              <w:rPr>
                <w:rFonts w:hint="eastAsia" w:eastAsia="宋体"/>
                <w:color w:val="000000"/>
                <w:kern w:val="0"/>
                <w:sz w:val="16"/>
                <w:szCs w:val="16"/>
                <w:lang w:eastAsia="zh-CN" w:bidi="ar"/>
              </w:rPr>
              <w:t>保障</w:t>
            </w:r>
            <w:r>
              <w:rPr>
                <w:rFonts w:hint="eastAsia" w:eastAsia="宋体"/>
                <w:color w:val="000000"/>
                <w:kern w:val="0"/>
                <w:sz w:val="16"/>
                <w:szCs w:val="16"/>
                <w:lang w:bidi="ar"/>
              </w:rPr>
              <w:t>目标具有可操作性和可评估性。将绩效目标与资金分配挂钩，</w:t>
            </w:r>
            <w:r>
              <w:rPr>
                <w:rFonts w:hint="eastAsia" w:eastAsia="宋体"/>
                <w:color w:val="000000"/>
                <w:kern w:val="0"/>
                <w:sz w:val="16"/>
                <w:szCs w:val="16"/>
                <w:lang w:eastAsia="zh-CN" w:bidi="ar"/>
              </w:rPr>
              <w:t>保障</w:t>
            </w:r>
            <w:r>
              <w:rPr>
                <w:rFonts w:hint="eastAsia" w:eastAsia="宋体"/>
                <w:color w:val="000000"/>
                <w:kern w:val="0"/>
                <w:sz w:val="16"/>
                <w:szCs w:val="16"/>
                <w:lang w:bidi="ar"/>
              </w:rPr>
              <w:t>资金使用与目标实现紧密结合。推行全过程绩效管理，将资金使用效率与项目目标实现情况挂钩。</w:t>
            </w:r>
          </w:p>
        </w:tc>
        <w:tc>
          <w:tcPr>
            <w:tcW w:w="1508" w:type="pct"/>
            <w:gridSpan w:val="2"/>
            <w:noWrap/>
            <w:vAlign w:val="center"/>
          </w:tcPr>
          <w:p>
            <w:pPr>
              <w:spacing w:line="0" w:lineRule="atLeast"/>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jc w:val="center"/>
        </w:trPr>
        <w:tc>
          <w:tcPr>
            <w:tcW w:w="1133" w:type="pct"/>
            <w:gridSpan w:val="2"/>
            <w:vMerge w:val="continue"/>
            <w:noWrap/>
            <w:vAlign w:val="center"/>
          </w:tcPr>
          <w:p>
            <w:pPr>
              <w:spacing w:line="0" w:lineRule="atLeast"/>
              <w:jc w:val="center"/>
              <w:rPr>
                <w:rFonts w:eastAsia="宋体"/>
                <w:color w:val="000000"/>
                <w:sz w:val="16"/>
                <w:szCs w:val="16"/>
              </w:rPr>
            </w:pPr>
          </w:p>
        </w:tc>
        <w:tc>
          <w:tcPr>
            <w:tcW w:w="703"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支出责任履行情况</w:t>
            </w:r>
          </w:p>
        </w:tc>
        <w:tc>
          <w:tcPr>
            <w:tcW w:w="1654" w:type="pct"/>
            <w:gridSpan w:val="2"/>
          </w:tcPr>
          <w:p>
            <w:pPr>
              <w:widowControl/>
              <w:spacing w:line="0" w:lineRule="atLeast"/>
              <w:textAlignment w:val="center"/>
              <w:rPr>
                <w:rFonts w:eastAsia="宋体"/>
                <w:color w:val="000000"/>
                <w:kern w:val="0"/>
                <w:sz w:val="16"/>
                <w:szCs w:val="16"/>
                <w:lang w:bidi="ar"/>
              </w:rPr>
            </w:pPr>
            <w:r>
              <w:rPr>
                <w:rFonts w:eastAsia="宋体"/>
                <w:color w:val="000000"/>
                <w:kern w:val="0"/>
                <w:sz w:val="16"/>
                <w:szCs w:val="16"/>
                <w:lang w:bidi="ar"/>
              </w:rPr>
              <w:t>自治区农业农村厅</w:t>
            </w:r>
            <w:r>
              <w:rPr>
                <w:rFonts w:eastAsia="宋体"/>
                <w:color w:val="000000"/>
                <w:kern w:val="0"/>
                <w:sz w:val="16"/>
                <w:szCs w:val="16"/>
                <w:lang w:eastAsia="zh-Hans" w:bidi="ar"/>
              </w:rPr>
              <w:t>建立项目执行定期调度督导机制，及时掌握项目执行和资金使用情况，</w:t>
            </w:r>
            <w:r>
              <w:rPr>
                <w:rFonts w:eastAsia="宋体"/>
                <w:color w:val="000000"/>
                <w:kern w:val="0"/>
                <w:sz w:val="16"/>
                <w:szCs w:val="16"/>
                <w:lang w:bidi="ar"/>
              </w:rPr>
              <w:t>不断总结经验和问题，</w:t>
            </w:r>
            <w:r>
              <w:rPr>
                <w:rFonts w:hint="eastAsia" w:eastAsia="宋体"/>
                <w:color w:val="000000"/>
                <w:kern w:val="0"/>
                <w:sz w:val="16"/>
                <w:szCs w:val="16"/>
                <w:lang w:eastAsia="zh-CN" w:bidi="ar"/>
              </w:rPr>
              <w:t>保障</w:t>
            </w:r>
            <w:r>
              <w:rPr>
                <w:rFonts w:eastAsia="宋体"/>
                <w:color w:val="000000"/>
                <w:kern w:val="0"/>
                <w:sz w:val="16"/>
                <w:szCs w:val="16"/>
                <w:lang w:eastAsia="zh-Hans" w:bidi="ar"/>
              </w:rPr>
              <w:t>项目执行到位、资金使用规范。</w:t>
            </w:r>
          </w:p>
        </w:tc>
        <w:tc>
          <w:tcPr>
            <w:tcW w:w="1508" w:type="pct"/>
            <w:gridSpan w:val="2"/>
            <w:noWrap/>
            <w:vAlign w:val="center"/>
          </w:tcPr>
          <w:p>
            <w:pPr>
              <w:spacing w:line="0" w:lineRule="atLeast"/>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371" w:type="pct"/>
            <w:vMerge w:val="restart"/>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总体目标完成情况</w:t>
            </w:r>
          </w:p>
        </w:tc>
        <w:tc>
          <w:tcPr>
            <w:tcW w:w="2251" w:type="pct"/>
            <w:gridSpan w:val="3"/>
            <w:noWrap/>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总体目标</w:t>
            </w:r>
          </w:p>
        </w:tc>
        <w:tc>
          <w:tcPr>
            <w:tcW w:w="2376" w:type="pct"/>
            <w:gridSpan w:val="3"/>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全年实际完成情况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371" w:type="pct"/>
            <w:vMerge w:val="continue"/>
            <w:vAlign w:val="center"/>
          </w:tcPr>
          <w:p>
            <w:pPr>
              <w:spacing w:line="0" w:lineRule="atLeast"/>
              <w:jc w:val="center"/>
              <w:rPr>
                <w:rFonts w:eastAsia="宋体"/>
                <w:color w:val="000000"/>
                <w:sz w:val="16"/>
                <w:szCs w:val="16"/>
              </w:rPr>
            </w:pPr>
          </w:p>
        </w:tc>
        <w:tc>
          <w:tcPr>
            <w:tcW w:w="2251" w:type="pct"/>
            <w:gridSpan w:val="3"/>
            <w:vMerge w:val="restar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按照相关规划或实施方案，结合地方实际开展农业生态资源保护。</w:t>
            </w:r>
          </w:p>
        </w:tc>
        <w:tc>
          <w:tcPr>
            <w:tcW w:w="2376" w:type="pct"/>
            <w:gridSpan w:val="3"/>
            <w:vMerge w:val="restart"/>
          </w:tcPr>
          <w:p>
            <w:pPr>
              <w:widowControl/>
              <w:spacing w:line="0" w:lineRule="atLeast"/>
              <w:textAlignment w:val="center"/>
              <w:rPr>
                <w:rFonts w:hint="eastAsia" w:eastAsia="宋体"/>
                <w:color w:val="000000"/>
                <w:kern w:val="0"/>
                <w:sz w:val="16"/>
                <w:szCs w:val="16"/>
                <w:lang w:bidi="ar"/>
              </w:rPr>
            </w:pPr>
            <w:r>
              <w:rPr>
                <w:rFonts w:hint="eastAsia" w:eastAsia="宋体"/>
                <w:color w:val="000000"/>
                <w:kern w:val="0"/>
                <w:sz w:val="16"/>
                <w:szCs w:val="16"/>
                <w:lang w:bidi="ar"/>
              </w:rPr>
              <w:t>2024全年完成支持的农民合作社数量160个、持的家庭农场数量240个、培育奶业新型经营主体数量49个、落实单产提升关键技术面积、高素质农民培育数量12791人、学用贯通培育数量200人、农村实用人才带头人示范培训数量900人、乡村产业振兴带头人“头雁”培育数量600人、X、基层农技人员培训数量4451人、农业科技示范展示基地数量188人。新型农业经营主体生产设施条件改善，农业主推技术到位率达到96%，农业生产社会化服务对象单产水平提高，实现提高了粮油新型经营主体单产水平，提升了高素质农民培育实行信息化管理和服务。农业信贷担保业务规模稳定发展，无资金使用重大违规违纪问题，提高了农民合作社示范社和示范家庭农场发展水平和带动能力，明显增强了高素质农民生产经营能力和带动能力，高素质农民培育对象满意度与接受社会化服务的小农户满意度均达到100%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371" w:type="pct"/>
            <w:vMerge w:val="continue"/>
            <w:vAlign w:val="center"/>
          </w:tcPr>
          <w:p>
            <w:pPr>
              <w:spacing w:line="0" w:lineRule="atLeast"/>
              <w:jc w:val="center"/>
              <w:rPr>
                <w:rFonts w:eastAsia="宋体"/>
                <w:color w:val="000000"/>
                <w:sz w:val="16"/>
                <w:szCs w:val="16"/>
              </w:rPr>
            </w:pPr>
          </w:p>
        </w:tc>
        <w:tc>
          <w:tcPr>
            <w:tcW w:w="2251" w:type="pct"/>
            <w:gridSpan w:val="3"/>
            <w:vMerge w:val="continue"/>
            <w:vAlign w:val="center"/>
          </w:tcPr>
          <w:p>
            <w:pPr>
              <w:spacing w:line="0" w:lineRule="atLeast"/>
              <w:jc w:val="left"/>
              <w:rPr>
                <w:rFonts w:eastAsia="宋体"/>
                <w:color w:val="000000"/>
                <w:sz w:val="16"/>
                <w:szCs w:val="16"/>
              </w:rPr>
            </w:pPr>
          </w:p>
        </w:tc>
        <w:tc>
          <w:tcPr>
            <w:tcW w:w="2376" w:type="pct"/>
            <w:gridSpan w:val="3"/>
            <w:vMerge w:val="continue"/>
            <w:vAlign w:val="center"/>
          </w:tcPr>
          <w:p>
            <w:pPr>
              <w:spacing w:line="0" w:lineRule="atLeast"/>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1" w:type="pct"/>
            <w:vMerge w:val="continue"/>
            <w:vAlign w:val="center"/>
          </w:tcPr>
          <w:p>
            <w:pPr>
              <w:spacing w:line="0" w:lineRule="atLeast"/>
              <w:jc w:val="center"/>
              <w:rPr>
                <w:rFonts w:eastAsia="宋体"/>
                <w:color w:val="000000"/>
                <w:sz w:val="16"/>
                <w:szCs w:val="16"/>
              </w:rPr>
            </w:pPr>
          </w:p>
        </w:tc>
        <w:tc>
          <w:tcPr>
            <w:tcW w:w="2251" w:type="pct"/>
            <w:gridSpan w:val="3"/>
            <w:vMerge w:val="continue"/>
            <w:vAlign w:val="center"/>
          </w:tcPr>
          <w:p>
            <w:pPr>
              <w:spacing w:line="0" w:lineRule="atLeast"/>
              <w:jc w:val="left"/>
              <w:rPr>
                <w:rFonts w:eastAsia="宋体"/>
                <w:color w:val="000000"/>
                <w:sz w:val="16"/>
                <w:szCs w:val="16"/>
              </w:rPr>
            </w:pPr>
          </w:p>
        </w:tc>
        <w:tc>
          <w:tcPr>
            <w:tcW w:w="2376" w:type="pct"/>
            <w:gridSpan w:val="3"/>
            <w:vMerge w:val="continue"/>
            <w:vAlign w:val="center"/>
          </w:tcPr>
          <w:p>
            <w:pPr>
              <w:spacing w:line="0" w:lineRule="atLeast"/>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371" w:type="pct"/>
            <w:vMerge w:val="restart"/>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绩</w:t>
            </w:r>
            <w:r>
              <w:rPr>
                <w:rFonts w:eastAsia="宋体"/>
                <w:color w:val="000000"/>
                <w:kern w:val="0"/>
                <w:sz w:val="16"/>
                <w:szCs w:val="16"/>
                <w:lang w:bidi="ar"/>
              </w:rPr>
              <w:br w:type="textWrapping"/>
            </w:r>
            <w:r>
              <w:rPr>
                <w:rFonts w:eastAsia="宋体"/>
                <w:color w:val="000000"/>
                <w:kern w:val="0"/>
                <w:sz w:val="16"/>
                <w:szCs w:val="16"/>
                <w:lang w:bidi="ar"/>
              </w:rPr>
              <w:t>效</w:t>
            </w:r>
            <w:r>
              <w:rPr>
                <w:rFonts w:eastAsia="宋体"/>
                <w:color w:val="000000"/>
                <w:kern w:val="0"/>
                <w:sz w:val="16"/>
                <w:szCs w:val="16"/>
                <w:lang w:bidi="ar"/>
              </w:rPr>
              <w:br w:type="textWrapping"/>
            </w:r>
            <w:r>
              <w:rPr>
                <w:rFonts w:eastAsia="宋体"/>
                <w:color w:val="000000"/>
                <w:kern w:val="0"/>
                <w:sz w:val="16"/>
                <w:szCs w:val="16"/>
                <w:lang w:bidi="ar"/>
              </w:rPr>
              <w:t>指</w:t>
            </w:r>
            <w:r>
              <w:rPr>
                <w:rFonts w:eastAsia="宋体"/>
                <w:color w:val="000000"/>
                <w:kern w:val="0"/>
                <w:sz w:val="16"/>
                <w:szCs w:val="16"/>
                <w:lang w:bidi="ar"/>
              </w:rPr>
              <w:br w:type="textWrapping"/>
            </w:r>
            <w:r>
              <w:rPr>
                <w:rFonts w:eastAsia="宋体"/>
                <w:color w:val="000000"/>
                <w:kern w:val="0"/>
                <w:sz w:val="16"/>
                <w:szCs w:val="16"/>
                <w:lang w:bidi="ar"/>
              </w:rPr>
              <w:t>标</w:t>
            </w:r>
          </w:p>
        </w:tc>
        <w:tc>
          <w:tcPr>
            <w:tcW w:w="761"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一级指标</w:t>
            </w:r>
          </w:p>
        </w:tc>
        <w:tc>
          <w:tcPr>
            <w:tcW w:w="703"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二级指标</w:t>
            </w:r>
          </w:p>
        </w:tc>
        <w:tc>
          <w:tcPr>
            <w:tcW w:w="786"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三级指标</w:t>
            </w:r>
          </w:p>
        </w:tc>
        <w:tc>
          <w:tcPr>
            <w:tcW w:w="868"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指标值</w:t>
            </w:r>
          </w:p>
        </w:tc>
        <w:tc>
          <w:tcPr>
            <w:tcW w:w="486" w:type="pct"/>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全年实际完成值</w:t>
            </w:r>
          </w:p>
        </w:tc>
        <w:tc>
          <w:tcPr>
            <w:tcW w:w="1022"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未完成原因和改进措施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371" w:type="pct"/>
            <w:vMerge w:val="continue"/>
            <w:vAlign w:val="center"/>
          </w:tcPr>
          <w:p>
            <w:pPr>
              <w:spacing w:line="0" w:lineRule="atLeast"/>
              <w:jc w:val="center"/>
              <w:rPr>
                <w:rFonts w:eastAsia="宋体"/>
                <w:color w:val="000000"/>
                <w:sz w:val="16"/>
                <w:szCs w:val="16"/>
              </w:rPr>
            </w:pPr>
          </w:p>
        </w:tc>
        <w:tc>
          <w:tcPr>
            <w:tcW w:w="761" w:type="pct"/>
            <w:vMerge w:val="restar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产出指标</w:t>
            </w:r>
          </w:p>
        </w:tc>
        <w:tc>
          <w:tcPr>
            <w:tcW w:w="703" w:type="pct"/>
            <w:vMerge w:val="restar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数量指标</w:t>
            </w: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支持的农民合作社数量（个）</w:t>
            </w:r>
          </w:p>
        </w:tc>
        <w:tc>
          <w:tcPr>
            <w:tcW w:w="868" w:type="pct"/>
            <w:vAlign w:val="center"/>
          </w:tcPr>
          <w:p>
            <w:pPr>
              <w:widowControl/>
              <w:jc w:val="center"/>
              <w:textAlignment w:val="center"/>
              <w:rPr>
                <w:rFonts w:hint="default" w:eastAsia="仿宋_GB2312"/>
                <w:spacing w:val="-2"/>
                <w:lang w:val="en-US" w:eastAsia="zh-CN"/>
              </w:rPr>
            </w:pPr>
            <w:r>
              <w:rPr>
                <w:rFonts w:hint="eastAsia" w:eastAsia="宋体"/>
                <w:color w:val="000000"/>
                <w:kern w:val="0"/>
                <w:sz w:val="16"/>
                <w:szCs w:val="16"/>
                <w:lang w:val="en-US" w:eastAsia="zh-CN" w:bidi="ar"/>
              </w:rPr>
              <w:t>120</w:t>
            </w:r>
          </w:p>
        </w:tc>
        <w:tc>
          <w:tcPr>
            <w:tcW w:w="486" w:type="pct"/>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160</w:t>
            </w:r>
          </w:p>
        </w:tc>
        <w:tc>
          <w:tcPr>
            <w:tcW w:w="1022" w:type="pct"/>
            <w:noWrap/>
            <w:vAlign w:val="center"/>
          </w:tcPr>
          <w:p>
            <w:pPr>
              <w:pStyle w:val="13"/>
              <w:rPr>
                <w:rFonts w:hint="eastAsia"/>
                <w:sz w:val="16"/>
                <w:szCs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371" w:type="pct"/>
            <w:vMerge w:val="continue"/>
            <w:vAlign w:val="center"/>
          </w:tcPr>
          <w:p>
            <w:pPr>
              <w:pStyle w:val="13"/>
              <w:rPr>
                <w:rFonts w:hint="eastAsia"/>
              </w:rPr>
            </w:pPr>
          </w:p>
        </w:tc>
        <w:tc>
          <w:tcPr>
            <w:tcW w:w="761" w:type="pct"/>
            <w:vMerge w:val="continue"/>
            <w:noWrap/>
            <w:vAlign w:val="center"/>
          </w:tcPr>
          <w:p>
            <w:pPr>
              <w:pStyle w:val="13"/>
              <w:rPr>
                <w:rFonts w:hint="eastAsia"/>
              </w:rPr>
            </w:pPr>
          </w:p>
        </w:tc>
        <w:tc>
          <w:tcPr>
            <w:tcW w:w="703" w:type="pct"/>
            <w:vMerge w:val="continue"/>
            <w:noWrap/>
            <w:vAlign w:val="center"/>
          </w:tcPr>
          <w:p>
            <w:pPr>
              <w:pStyle w:val="13"/>
              <w:rPr>
                <w:rFonts w:hint="eastAsia"/>
              </w:rPr>
            </w:pP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支持的家庭农场数量（个）</w:t>
            </w:r>
          </w:p>
        </w:tc>
        <w:tc>
          <w:tcPr>
            <w:tcW w:w="868" w:type="pct"/>
            <w:vAlign w:val="center"/>
          </w:tcPr>
          <w:p>
            <w:pPr>
              <w:widowControl/>
              <w:jc w:val="center"/>
              <w:textAlignment w:val="center"/>
              <w:rPr>
                <w:spacing w:val="1"/>
              </w:rPr>
            </w:pPr>
            <w:r>
              <w:rPr>
                <w:rFonts w:eastAsia="宋体"/>
                <w:color w:val="000000"/>
                <w:kern w:val="0"/>
                <w:sz w:val="16"/>
                <w:szCs w:val="16"/>
                <w:lang w:bidi="ar"/>
              </w:rPr>
              <w:t>240</w:t>
            </w:r>
          </w:p>
        </w:tc>
        <w:tc>
          <w:tcPr>
            <w:tcW w:w="486" w:type="pct"/>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240</w:t>
            </w:r>
          </w:p>
        </w:tc>
        <w:tc>
          <w:tcPr>
            <w:tcW w:w="1022" w:type="pct"/>
            <w:noWrap/>
            <w:vAlign w:val="center"/>
          </w:tcPr>
          <w:p>
            <w:pPr>
              <w:pStyle w:val="13"/>
              <w:rPr>
                <w:rFonts w:hint="eastAsia"/>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6" w:hRule="atLeast"/>
          <w:jc w:val="center"/>
        </w:trPr>
        <w:tc>
          <w:tcPr>
            <w:tcW w:w="371" w:type="pct"/>
            <w:vMerge w:val="continue"/>
            <w:vAlign w:val="center"/>
          </w:tcPr>
          <w:p>
            <w:pPr>
              <w:pStyle w:val="13"/>
              <w:rPr>
                <w:rFonts w:hint="eastAsia"/>
              </w:rPr>
            </w:pPr>
          </w:p>
        </w:tc>
        <w:tc>
          <w:tcPr>
            <w:tcW w:w="761" w:type="pct"/>
            <w:vMerge w:val="continue"/>
            <w:noWrap/>
            <w:vAlign w:val="center"/>
          </w:tcPr>
          <w:p>
            <w:pPr>
              <w:pStyle w:val="13"/>
              <w:rPr>
                <w:rFonts w:hint="eastAsia"/>
              </w:rPr>
            </w:pPr>
          </w:p>
        </w:tc>
        <w:tc>
          <w:tcPr>
            <w:tcW w:w="703" w:type="pct"/>
            <w:vMerge w:val="continue"/>
            <w:noWrap/>
            <w:vAlign w:val="center"/>
          </w:tcPr>
          <w:p>
            <w:pPr>
              <w:pStyle w:val="13"/>
              <w:rPr>
                <w:rFonts w:hint="eastAsia"/>
              </w:rPr>
            </w:pP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培育奶业新型经营主体数量（个）</w:t>
            </w:r>
          </w:p>
        </w:tc>
        <w:tc>
          <w:tcPr>
            <w:tcW w:w="868" w:type="pct"/>
            <w:vAlign w:val="center"/>
          </w:tcPr>
          <w:p>
            <w:pPr>
              <w:widowControl/>
              <w:jc w:val="center"/>
              <w:textAlignment w:val="center"/>
              <w:rPr>
                <w:spacing w:val="1"/>
              </w:rPr>
            </w:pPr>
            <w:r>
              <w:rPr>
                <w:rFonts w:eastAsia="宋体"/>
                <w:color w:val="000000"/>
                <w:kern w:val="0"/>
                <w:sz w:val="16"/>
                <w:szCs w:val="16"/>
                <w:lang w:bidi="ar"/>
              </w:rPr>
              <w:t>50</w:t>
            </w:r>
          </w:p>
        </w:tc>
        <w:tc>
          <w:tcPr>
            <w:tcW w:w="486" w:type="pct"/>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49</w:t>
            </w:r>
          </w:p>
        </w:tc>
        <w:tc>
          <w:tcPr>
            <w:tcW w:w="1022" w:type="pct"/>
            <w:noWrap/>
            <w:vAlign w:val="center"/>
          </w:tcPr>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line="240" w:lineRule="auto"/>
              <w:ind w:firstLine="320" w:firstLineChars="200"/>
              <w:textAlignment w:val="auto"/>
              <w:rPr>
                <w:rFonts w:hint="eastAsia"/>
                <w:spacing w:val="1"/>
                <w:lang w:eastAsia="zh-CN"/>
              </w:rPr>
            </w:pPr>
            <w:r>
              <w:rPr>
                <w:rFonts w:hint="eastAsia" w:eastAsia="宋体"/>
                <w:color w:val="000000"/>
                <w:kern w:val="0"/>
                <w:sz w:val="16"/>
                <w:szCs w:val="16"/>
                <w:lang w:val="en-US" w:eastAsia="zh-CN" w:bidi="ar"/>
              </w:rPr>
              <w:t>巴州博湖县实施主体原计划投建奶吧，资金用于购买设施设备，但实施主体因当前奶业形势不佳等原因，未配套资金。未开工建设。巴州</w:t>
            </w:r>
            <w:r>
              <w:rPr>
                <w:rFonts w:hint="eastAsia" w:eastAsia="宋体"/>
                <w:color w:val="000000"/>
                <w:kern w:val="0"/>
                <w:sz w:val="16"/>
                <w:szCs w:val="16"/>
                <w:lang w:bidi="ar"/>
              </w:rPr>
              <w:t>2025</w:t>
            </w:r>
            <w:r>
              <w:rPr>
                <w:rFonts w:hint="eastAsia" w:eastAsia="宋体"/>
                <w:color w:val="000000"/>
                <w:kern w:val="0"/>
                <w:sz w:val="16"/>
                <w:szCs w:val="16"/>
                <w:lang w:eastAsia="zh-CN" w:bidi="ar"/>
              </w:rPr>
              <w:t>年将督促实施主体完</w:t>
            </w:r>
            <w:r>
              <w:rPr>
                <w:rFonts w:hint="eastAsia" w:eastAsia="宋体"/>
                <w:color w:val="000000"/>
                <w:kern w:val="0"/>
                <w:sz w:val="16"/>
                <w:szCs w:val="16"/>
                <w:lang w:val="en-US" w:eastAsia="zh-CN" w:bidi="ar"/>
              </w:rPr>
              <w:t>成项目建设。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371" w:type="pct"/>
            <w:vMerge w:val="continue"/>
            <w:vAlign w:val="center"/>
          </w:tcPr>
          <w:p>
            <w:pPr>
              <w:pStyle w:val="13"/>
              <w:rPr>
                <w:rFonts w:hint="eastAsia"/>
                <w:lang w:eastAsia="zh-CN"/>
              </w:rPr>
            </w:pPr>
          </w:p>
        </w:tc>
        <w:tc>
          <w:tcPr>
            <w:tcW w:w="761" w:type="pct"/>
            <w:vMerge w:val="continue"/>
            <w:noWrap/>
            <w:vAlign w:val="center"/>
          </w:tcPr>
          <w:p>
            <w:pPr>
              <w:pStyle w:val="13"/>
              <w:rPr>
                <w:rFonts w:hint="eastAsia"/>
                <w:lang w:eastAsia="zh-CN"/>
              </w:rPr>
            </w:pPr>
          </w:p>
        </w:tc>
        <w:tc>
          <w:tcPr>
            <w:tcW w:w="703" w:type="pct"/>
            <w:vMerge w:val="continue"/>
            <w:noWrap/>
            <w:vAlign w:val="center"/>
          </w:tcPr>
          <w:p>
            <w:pPr>
              <w:pStyle w:val="13"/>
              <w:rPr>
                <w:rFonts w:hint="eastAsia"/>
                <w:lang w:eastAsia="zh-CN"/>
              </w:rPr>
            </w:pP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落实单产提升关键技术面积（万亩次）</w:t>
            </w:r>
          </w:p>
        </w:tc>
        <w:tc>
          <w:tcPr>
            <w:tcW w:w="868" w:type="pct"/>
            <w:vAlign w:val="center"/>
          </w:tcPr>
          <w:p>
            <w:pPr>
              <w:widowControl/>
              <w:jc w:val="center"/>
              <w:textAlignment w:val="center"/>
              <w:rPr>
                <w:spacing w:val="1"/>
              </w:rPr>
            </w:pPr>
            <w:r>
              <w:rPr>
                <w:rFonts w:eastAsia="宋体"/>
                <w:color w:val="000000"/>
                <w:kern w:val="0"/>
                <w:sz w:val="16"/>
                <w:szCs w:val="16"/>
                <w:lang w:bidi="ar"/>
              </w:rPr>
              <w:t>252.5</w:t>
            </w:r>
          </w:p>
        </w:tc>
        <w:tc>
          <w:tcPr>
            <w:tcW w:w="486" w:type="pct"/>
            <w:vAlign w:val="center"/>
          </w:tcPr>
          <w:p>
            <w:pPr>
              <w:widowControl/>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266.65</w:t>
            </w:r>
          </w:p>
        </w:tc>
        <w:tc>
          <w:tcPr>
            <w:tcW w:w="1022" w:type="pct"/>
            <w:noWrap/>
            <w:vAlign w:val="center"/>
          </w:tcPr>
          <w:p>
            <w:pPr>
              <w:pStyle w:val="13"/>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371" w:type="pct"/>
            <w:vMerge w:val="continue"/>
            <w:vAlign w:val="center"/>
          </w:tcPr>
          <w:p>
            <w:pPr>
              <w:pStyle w:val="13"/>
              <w:rPr>
                <w:rFonts w:hint="eastAsia"/>
              </w:rPr>
            </w:pPr>
          </w:p>
        </w:tc>
        <w:tc>
          <w:tcPr>
            <w:tcW w:w="761" w:type="pct"/>
            <w:vMerge w:val="continue"/>
            <w:noWrap/>
            <w:vAlign w:val="center"/>
          </w:tcPr>
          <w:p>
            <w:pPr>
              <w:pStyle w:val="13"/>
              <w:rPr>
                <w:rFonts w:hint="eastAsia"/>
              </w:rPr>
            </w:pPr>
          </w:p>
        </w:tc>
        <w:tc>
          <w:tcPr>
            <w:tcW w:w="703" w:type="pct"/>
            <w:vMerge w:val="continue"/>
            <w:noWrap/>
            <w:vAlign w:val="center"/>
          </w:tcPr>
          <w:p>
            <w:pPr>
              <w:pStyle w:val="13"/>
              <w:rPr>
                <w:rFonts w:hint="eastAsia"/>
              </w:rPr>
            </w:pP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高素质农民培育数量（人）</w:t>
            </w:r>
          </w:p>
        </w:tc>
        <w:tc>
          <w:tcPr>
            <w:tcW w:w="868" w:type="pct"/>
            <w:vAlign w:val="center"/>
          </w:tcPr>
          <w:p>
            <w:pPr>
              <w:widowControl/>
              <w:jc w:val="center"/>
              <w:textAlignment w:val="center"/>
              <w:rPr>
                <w:rFonts w:hint="default" w:eastAsia="仿宋_GB2312"/>
                <w:spacing w:val="1"/>
                <w:lang w:val="en-US" w:eastAsia="zh-CN"/>
              </w:rPr>
            </w:pPr>
            <w:r>
              <w:rPr>
                <w:rFonts w:hint="eastAsia" w:eastAsia="宋体"/>
                <w:color w:val="000000"/>
                <w:kern w:val="0"/>
                <w:sz w:val="16"/>
                <w:szCs w:val="16"/>
                <w:lang w:val="en-US" w:eastAsia="zh-CN" w:bidi="ar"/>
              </w:rPr>
              <w:t>12458</w:t>
            </w:r>
          </w:p>
        </w:tc>
        <w:tc>
          <w:tcPr>
            <w:tcW w:w="486" w:type="pct"/>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12791</w:t>
            </w:r>
          </w:p>
        </w:tc>
        <w:tc>
          <w:tcPr>
            <w:tcW w:w="1022" w:type="pct"/>
            <w:noWrap/>
            <w:vAlign w:val="center"/>
          </w:tcPr>
          <w:p>
            <w:pPr>
              <w:pStyle w:val="13"/>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371" w:type="pct"/>
            <w:vMerge w:val="continue"/>
            <w:vAlign w:val="center"/>
          </w:tcPr>
          <w:p>
            <w:pPr>
              <w:pStyle w:val="13"/>
              <w:rPr>
                <w:rFonts w:hint="eastAsia"/>
              </w:rPr>
            </w:pPr>
          </w:p>
        </w:tc>
        <w:tc>
          <w:tcPr>
            <w:tcW w:w="761" w:type="pct"/>
            <w:vMerge w:val="continue"/>
            <w:noWrap/>
            <w:vAlign w:val="center"/>
          </w:tcPr>
          <w:p>
            <w:pPr>
              <w:pStyle w:val="13"/>
              <w:rPr>
                <w:rFonts w:hint="eastAsia"/>
              </w:rPr>
            </w:pPr>
          </w:p>
        </w:tc>
        <w:tc>
          <w:tcPr>
            <w:tcW w:w="703" w:type="pct"/>
            <w:vMerge w:val="continue"/>
            <w:noWrap/>
            <w:vAlign w:val="center"/>
          </w:tcPr>
          <w:p>
            <w:pPr>
              <w:pStyle w:val="13"/>
              <w:rPr>
                <w:rFonts w:hint="eastAsia"/>
              </w:rPr>
            </w:pP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学用贯通培育数量（人）</w:t>
            </w:r>
          </w:p>
        </w:tc>
        <w:tc>
          <w:tcPr>
            <w:tcW w:w="868" w:type="pct"/>
            <w:vAlign w:val="center"/>
          </w:tcPr>
          <w:p>
            <w:pPr>
              <w:widowControl/>
              <w:jc w:val="center"/>
              <w:textAlignment w:val="center"/>
              <w:rPr>
                <w:spacing w:val="1"/>
              </w:rPr>
            </w:pPr>
            <w:r>
              <w:rPr>
                <w:rFonts w:eastAsia="宋体"/>
                <w:color w:val="000000"/>
                <w:kern w:val="0"/>
                <w:sz w:val="16"/>
                <w:szCs w:val="16"/>
                <w:lang w:bidi="ar"/>
              </w:rPr>
              <w:t>200</w:t>
            </w:r>
          </w:p>
        </w:tc>
        <w:tc>
          <w:tcPr>
            <w:tcW w:w="486" w:type="pct"/>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200</w:t>
            </w:r>
          </w:p>
        </w:tc>
        <w:tc>
          <w:tcPr>
            <w:tcW w:w="1022" w:type="pct"/>
            <w:noWrap/>
            <w:vAlign w:val="center"/>
          </w:tcPr>
          <w:p>
            <w:pPr>
              <w:pStyle w:val="13"/>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371" w:type="pct"/>
            <w:vMerge w:val="continue"/>
            <w:vAlign w:val="center"/>
          </w:tcPr>
          <w:p>
            <w:pPr>
              <w:pStyle w:val="13"/>
              <w:rPr>
                <w:rFonts w:hint="eastAsia"/>
              </w:rPr>
            </w:pPr>
          </w:p>
        </w:tc>
        <w:tc>
          <w:tcPr>
            <w:tcW w:w="761" w:type="pct"/>
            <w:vMerge w:val="continue"/>
            <w:noWrap/>
            <w:vAlign w:val="center"/>
          </w:tcPr>
          <w:p>
            <w:pPr>
              <w:pStyle w:val="13"/>
              <w:rPr>
                <w:rFonts w:hint="eastAsia"/>
              </w:rPr>
            </w:pPr>
          </w:p>
        </w:tc>
        <w:tc>
          <w:tcPr>
            <w:tcW w:w="703" w:type="pct"/>
            <w:vMerge w:val="continue"/>
            <w:noWrap/>
            <w:vAlign w:val="center"/>
          </w:tcPr>
          <w:p>
            <w:pPr>
              <w:pStyle w:val="13"/>
              <w:rPr>
                <w:rFonts w:hint="eastAsia"/>
              </w:rPr>
            </w:pP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农村实用人才带头人示范培训数量（人）</w:t>
            </w:r>
          </w:p>
        </w:tc>
        <w:tc>
          <w:tcPr>
            <w:tcW w:w="868" w:type="pct"/>
            <w:vAlign w:val="center"/>
          </w:tcPr>
          <w:p>
            <w:pPr>
              <w:widowControl/>
              <w:jc w:val="center"/>
              <w:textAlignment w:val="center"/>
              <w:rPr>
                <w:spacing w:val="1"/>
              </w:rPr>
            </w:pPr>
            <w:r>
              <w:rPr>
                <w:rFonts w:eastAsia="宋体"/>
                <w:color w:val="000000"/>
                <w:kern w:val="0"/>
                <w:sz w:val="16"/>
                <w:szCs w:val="16"/>
                <w:lang w:bidi="ar"/>
              </w:rPr>
              <w:t>900</w:t>
            </w:r>
          </w:p>
        </w:tc>
        <w:tc>
          <w:tcPr>
            <w:tcW w:w="486" w:type="pct"/>
            <w:vAlign w:val="center"/>
          </w:tcPr>
          <w:p>
            <w:pPr>
              <w:widowControl/>
              <w:jc w:val="center"/>
              <w:textAlignment w:val="center"/>
              <w:rPr>
                <w:rFonts w:eastAsia="宋体"/>
                <w:color w:val="000000"/>
                <w:kern w:val="0"/>
                <w:sz w:val="16"/>
                <w:szCs w:val="16"/>
                <w:lang w:bidi="ar"/>
              </w:rPr>
            </w:pPr>
            <w:r>
              <w:rPr>
                <w:rFonts w:eastAsia="宋体"/>
                <w:color w:val="000000"/>
                <w:kern w:val="0"/>
                <w:sz w:val="16"/>
                <w:szCs w:val="16"/>
                <w:lang w:bidi="ar"/>
              </w:rPr>
              <w:t>900</w:t>
            </w:r>
          </w:p>
        </w:tc>
        <w:tc>
          <w:tcPr>
            <w:tcW w:w="1022" w:type="pct"/>
            <w:noWrap/>
            <w:vAlign w:val="center"/>
          </w:tcPr>
          <w:p>
            <w:pPr>
              <w:pStyle w:val="13"/>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371" w:type="pct"/>
            <w:vMerge w:val="continue"/>
            <w:vAlign w:val="center"/>
          </w:tcPr>
          <w:p>
            <w:pPr>
              <w:pStyle w:val="13"/>
              <w:rPr>
                <w:rFonts w:hint="eastAsia"/>
              </w:rPr>
            </w:pPr>
          </w:p>
        </w:tc>
        <w:tc>
          <w:tcPr>
            <w:tcW w:w="761" w:type="pct"/>
            <w:vMerge w:val="continue"/>
            <w:noWrap/>
            <w:vAlign w:val="center"/>
          </w:tcPr>
          <w:p>
            <w:pPr>
              <w:pStyle w:val="13"/>
              <w:rPr>
                <w:rFonts w:hint="eastAsia"/>
              </w:rPr>
            </w:pPr>
          </w:p>
        </w:tc>
        <w:tc>
          <w:tcPr>
            <w:tcW w:w="703" w:type="pct"/>
            <w:vMerge w:val="continue"/>
            <w:noWrap/>
            <w:vAlign w:val="center"/>
          </w:tcPr>
          <w:p>
            <w:pPr>
              <w:pStyle w:val="13"/>
              <w:rPr>
                <w:rFonts w:hint="eastAsia"/>
              </w:rPr>
            </w:pP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乡村产业振兴带头人“头雁”培育数量（人）</w:t>
            </w:r>
          </w:p>
        </w:tc>
        <w:tc>
          <w:tcPr>
            <w:tcW w:w="868" w:type="pct"/>
            <w:vAlign w:val="center"/>
          </w:tcPr>
          <w:p>
            <w:pPr>
              <w:widowControl/>
              <w:jc w:val="center"/>
              <w:textAlignment w:val="center"/>
              <w:rPr>
                <w:spacing w:val="1"/>
              </w:rPr>
            </w:pPr>
            <w:r>
              <w:rPr>
                <w:rFonts w:eastAsia="宋体"/>
                <w:color w:val="000000"/>
                <w:kern w:val="0"/>
                <w:sz w:val="16"/>
                <w:szCs w:val="16"/>
                <w:lang w:bidi="ar"/>
              </w:rPr>
              <w:t>600</w:t>
            </w:r>
          </w:p>
        </w:tc>
        <w:tc>
          <w:tcPr>
            <w:tcW w:w="486" w:type="pct"/>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600</w:t>
            </w:r>
          </w:p>
        </w:tc>
        <w:tc>
          <w:tcPr>
            <w:tcW w:w="1022" w:type="pct"/>
            <w:noWrap/>
            <w:vAlign w:val="center"/>
          </w:tcPr>
          <w:p>
            <w:pPr>
              <w:pStyle w:val="13"/>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371" w:type="pct"/>
            <w:vMerge w:val="continue"/>
            <w:vAlign w:val="center"/>
          </w:tcPr>
          <w:p>
            <w:pPr>
              <w:pStyle w:val="13"/>
              <w:rPr>
                <w:rFonts w:hint="eastAsia"/>
              </w:rPr>
            </w:pPr>
          </w:p>
        </w:tc>
        <w:tc>
          <w:tcPr>
            <w:tcW w:w="761" w:type="pct"/>
            <w:vMerge w:val="continue"/>
            <w:noWrap/>
            <w:vAlign w:val="center"/>
          </w:tcPr>
          <w:p>
            <w:pPr>
              <w:pStyle w:val="13"/>
              <w:rPr>
                <w:rFonts w:hint="eastAsia"/>
              </w:rPr>
            </w:pPr>
          </w:p>
        </w:tc>
        <w:tc>
          <w:tcPr>
            <w:tcW w:w="703" w:type="pct"/>
            <w:vMerge w:val="continue"/>
            <w:noWrap/>
            <w:vAlign w:val="center"/>
          </w:tcPr>
          <w:p>
            <w:pPr>
              <w:pStyle w:val="13"/>
              <w:rPr>
                <w:rFonts w:hint="eastAsia"/>
              </w:rPr>
            </w:pP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农业生产全程托管服务面积（万亩）</w:t>
            </w:r>
          </w:p>
        </w:tc>
        <w:tc>
          <w:tcPr>
            <w:tcW w:w="868" w:type="pct"/>
            <w:vAlign w:val="center"/>
          </w:tcPr>
          <w:p>
            <w:pPr>
              <w:widowControl/>
              <w:jc w:val="center"/>
              <w:textAlignment w:val="center"/>
              <w:rPr>
                <w:spacing w:val="1"/>
              </w:rPr>
            </w:pPr>
            <w:r>
              <w:rPr>
                <w:rFonts w:eastAsia="宋体"/>
                <w:color w:val="000000"/>
                <w:kern w:val="0"/>
                <w:sz w:val="16"/>
                <w:szCs w:val="16"/>
                <w:lang w:bidi="ar"/>
              </w:rPr>
              <w:t>210</w:t>
            </w:r>
          </w:p>
        </w:tc>
        <w:tc>
          <w:tcPr>
            <w:tcW w:w="486" w:type="pct"/>
            <w:vAlign w:val="center"/>
          </w:tcPr>
          <w:p>
            <w:pPr>
              <w:widowControl/>
              <w:jc w:val="center"/>
              <w:textAlignment w:val="center"/>
              <w:rPr>
                <w:rFonts w:eastAsia="宋体"/>
              </w:rPr>
            </w:pPr>
            <w:r>
              <w:rPr>
                <w:rFonts w:hint="eastAsia" w:eastAsia="宋体"/>
                <w:color w:val="000000"/>
                <w:kern w:val="0"/>
                <w:sz w:val="16"/>
                <w:szCs w:val="16"/>
                <w:lang w:bidi="ar"/>
              </w:rPr>
              <w:t>304.67</w:t>
            </w:r>
          </w:p>
        </w:tc>
        <w:tc>
          <w:tcPr>
            <w:tcW w:w="1022" w:type="pct"/>
            <w:noWrap/>
            <w:vAlign w:val="center"/>
          </w:tcPr>
          <w:p>
            <w:pPr>
              <w:pStyle w:val="13"/>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371" w:type="pct"/>
            <w:vMerge w:val="continue"/>
            <w:vAlign w:val="center"/>
          </w:tcPr>
          <w:p>
            <w:pPr>
              <w:pStyle w:val="13"/>
              <w:rPr>
                <w:rFonts w:hint="eastAsia"/>
                <w:lang w:eastAsia="zh-CN"/>
              </w:rPr>
            </w:pPr>
          </w:p>
        </w:tc>
        <w:tc>
          <w:tcPr>
            <w:tcW w:w="761" w:type="pct"/>
            <w:vMerge w:val="continue"/>
            <w:noWrap/>
            <w:vAlign w:val="center"/>
          </w:tcPr>
          <w:p>
            <w:pPr>
              <w:pStyle w:val="13"/>
              <w:rPr>
                <w:rFonts w:hint="eastAsia"/>
                <w:lang w:eastAsia="zh-CN"/>
              </w:rPr>
            </w:pPr>
          </w:p>
        </w:tc>
        <w:tc>
          <w:tcPr>
            <w:tcW w:w="703" w:type="pct"/>
            <w:vMerge w:val="continue"/>
            <w:noWrap/>
            <w:vAlign w:val="center"/>
          </w:tcPr>
          <w:p>
            <w:pPr>
              <w:pStyle w:val="13"/>
              <w:rPr>
                <w:rFonts w:hint="eastAsia"/>
                <w:lang w:eastAsia="zh-CN"/>
              </w:rPr>
            </w:pP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其中：供销社承担的农业生产全程托管任务面积（万亩）</w:t>
            </w:r>
          </w:p>
        </w:tc>
        <w:tc>
          <w:tcPr>
            <w:tcW w:w="868" w:type="pct"/>
            <w:vAlign w:val="center"/>
          </w:tcPr>
          <w:p>
            <w:pPr>
              <w:widowControl/>
              <w:jc w:val="center"/>
              <w:textAlignment w:val="center"/>
              <w:rPr>
                <w:rFonts w:hint="default" w:eastAsia="仿宋_GB2312"/>
                <w:spacing w:val="1"/>
                <w:lang w:val="en-US" w:eastAsia="zh-CN"/>
              </w:rPr>
            </w:pPr>
            <w:r>
              <w:rPr>
                <w:rFonts w:hint="eastAsia" w:eastAsia="宋体"/>
                <w:color w:val="000000"/>
                <w:kern w:val="0"/>
                <w:sz w:val="16"/>
                <w:szCs w:val="16"/>
                <w:lang w:val="en-US" w:eastAsia="zh-CN" w:bidi="ar"/>
              </w:rPr>
              <w:t>30</w:t>
            </w:r>
          </w:p>
        </w:tc>
        <w:tc>
          <w:tcPr>
            <w:tcW w:w="486" w:type="pct"/>
            <w:vAlign w:val="center"/>
          </w:tcPr>
          <w:p>
            <w:pPr>
              <w:widowControl/>
              <w:jc w:val="center"/>
              <w:textAlignment w:val="center"/>
              <w:rPr>
                <w:rFonts w:eastAsia="宋体"/>
              </w:rPr>
            </w:pPr>
            <w:r>
              <w:rPr>
                <w:rFonts w:hint="eastAsia" w:eastAsia="宋体"/>
                <w:color w:val="000000"/>
                <w:kern w:val="0"/>
                <w:sz w:val="16"/>
                <w:szCs w:val="16"/>
                <w:lang w:bidi="ar"/>
              </w:rPr>
              <w:t>25.26</w:t>
            </w:r>
          </w:p>
        </w:tc>
        <w:tc>
          <w:tcPr>
            <w:tcW w:w="1022" w:type="pct"/>
            <w:noWrap/>
            <w:vAlign w:val="center"/>
          </w:tcPr>
          <w:p>
            <w:pPr>
              <w:pStyle w:val="13"/>
              <w:rPr>
                <w:rFonts w:hint="eastAsia"/>
                <w:lang w:eastAsia="zh-CN"/>
              </w:rPr>
            </w:pPr>
            <w:r>
              <w:rPr>
                <w:rFonts w:hint="eastAsia"/>
                <w:sz w:val="16"/>
                <w:szCs w:val="16"/>
                <w:lang w:eastAsia="zh-CN"/>
              </w:rPr>
              <w:t>按照项目实施要求，自治区供销社来函，明确可实施的任务面积22.41万亩，经调度，今年供销系统实际完成服务面积25.26万亩。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371" w:type="pct"/>
            <w:vMerge w:val="continue"/>
            <w:vAlign w:val="center"/>
          </w:tcPr>
          <w:p>
            <w:pPr>
              <w:pStyle w:val="13"/>
              <w:rPr>
                <w:rFonts w:hint="eastAsia"/>
                <w:lang w:eastAsia="zh-CN"/>
              </w:rPr>
            </w:pPr>
          </w:p>
        </w:tc>
        <w:tc>
          <w:tcPr>
            <w:tcW w:w="761" w:type="pct"/>
            <w:vMerge w:val="continue"/>
            <w:noWrap/>
            <w:vAlign w:val="center"/>
          </w:tcPr>
          <w:p>
            <w:pPr>
              <w:pStyle w:val="13"/>
              <w:rPr>
                <w:rFonts w:hint="eastAsia"/>
                <w:lang w:eastAsia="zh-CN"/>
              </w:rPr>
            </w:pPr>
          </w:p>
        </w:tc>
        <w:tc>
          <w:tcPr>
            <w:tcW w:w="703" w:type="pct"/>
            <w:vMerge w:val="continue"/>
            <w:noWrap/>
            <w:vAlign w:val="center"/>
          </w:tcPr>
          <w:p>
            <w:pPr>
              <w:pStyle w:val="13"/>
              <w:rPr>
                <w:rFonts w:hint="eastAsia"/>
                <w:lang w:eastAsia="zh-CN"/>
              </w:rPr>
            </w:pP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基层农技人员培训数量（人）</w:t>
            </w:r>
          </w:p>
        </w:tc>
        <w:tc>
          <w:tcPr>
            <w:tcW w:w="868" w:type="pct"/>
            <w:vAlign w:val="center"/>
          </w:tcPr>
          <w:p>
            <w:pPr>
              <w:widowControl/>
              <w:jc w:val="center"/>
              <w:textAlignment w:val="center"/>
              <w:rPr>
                <w:rFonts w:hint="default" w:eastAsia="仿宋_GB2312"/>
                <w:spacing w:val="1"/>
                <w:lang w:val="en-US" w:eastAsia="zh-CN"/>
              </w:rPr>
            </w:pPr>
            <w:r>
              <w:rPr>
                <w:rFonts w:hint="eastAsia" w:eastAsia="宋体"/>
                <w:color w:val="000000"/>
                <w:kern w:val="0"/>
                <w:sz w:val="16"/>
                <w:szCs w:val="16"/>
                <w:lang w:val="en-US" w:eastAsia="zh-CN" w:bidi="ar"/>
              </w:rPr>
              <w:t>4000</w:t>
            </w:r>
          </w:p>
        </w:tc>
        <w:tc>
          <w:tcPr>
            <w:tcW w:w="486" w:type="pct"/>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4451</w:t>
            </w:r>
          </w:p>
        </w:tc>
        <w:tc>
          <w:tcPr>
            <w:tcW w:w="1022" w:type="pct"/>
            <w:noWrap/>
            <w:vAlign w:val="center"/>
          </w:tcPr>
          <w:p>
            <w:pPr>
              <w:pStyle w:val="13"/>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371" w:type="pct"/>
            <w:vMerge w:val="continue"/>
            <w:vAlign w:val="center"/>
          </w:tcPr>
          <w:p>
            <w:pPr>
              <w:pStyle w:val="13"/>
              <w:rPr>
                <w:rFonts w:hint="eastAsia"/>
              </w:rPr>
            </w:pPr>
          </w:p>
        </w:tc>
        <w:tc>
          <w:tcPr>
            <w:tcW w:w="761" w:type="pct"/>
            <w:vMerge w:val="continue"/>
            <w:noWrap/>
            <w:vAlign w:val="center"/>
          </w:tcPr>
          <w:p>
            <w:pPr>
              <w:pStyle w:val="13"/>
              <w:rPr>
                <w:rFonts w:hint="eastAsia"/>
              </w:rPr>
            </w:pPr>
          </w:p>
        </w:tc>
        <w:tc>
          <w:tcPr>
            <w:tcW w:w="703" w:type="pct"/>
            <w:vMerge w:val="continue"/>
            <w:noWrap/>
            <w:vAlign w:val="center"/>
          </w:tcPr>
          <w:p>
            <w:pPr>
              <w:pStyle w:val="13"/>
              <w:rPr>
                <w:rFonts w:hint="eastAsia"/>
              </w:rPr>
            </w:pP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农业科技示范展示基地数量（个）</w:t>
            </w:r>
          </w:p>
        </w:tc>
        <w:tc>
          <w:tcPr>
            <w:tcW w:w="868" w:type="pct"/>
            <w:vAlign w:val="center"/>
          </w:tcPr>
          <w:p>
            <w:pPr>
              <w:widowControl/>
              <w:jc w:val="center"/>
              <w:textAlignment w:val="center"/>
              <w:rPr>
                <w:rFonts w:hint="default" w:eastAsia="仿宋_GB2312"/>
                <w:spacing w:val="1"/>
                <w:lang w:val="en-US" w:eastAsia="zh-CN"/>
              </w:rPr>
            </w:pPr>
            <w:r>
              <w:rPr>
                <w:rFonts w:hint="eastAsia" w:eastAsia="宋体"/>
                <w:color w:val="000000"/>
                <w:kern w:val="0"/>
                <w:sz w:val="16"/>
                <w:szCs w:val="16"/>
                <w:lang w:val="en-US" w:eastAsia="zh-CN" w:bidi="ar"/>
              </w:rPr>
              <w:t>166</w:t>
            </w:r>
          </w:p>
        </w:tc>
        <w:tc>
          <w:tcPr>
            <w:tcW w:w="486" w:type="pct"/>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188</w:t>
            </w:r>
          </w:p>
        </w:tc>
        <w:tc>
          <w:tcPr>
            <w:tcW w:w="1022" w:type="pct"/>
            <w:noWrap/>
            <w:vAlign w:val="center"/>
          </w:tcPr>
          <w:p>
            <w:pPr>
              <w:pStyle w:val="13"/>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 w:hRule="atLeast"/>
          <w:jc w:val="center"/>
        </w:trPr>
        <w:tc>
          <w:tcPr>
            <w:tcW w:w="371" w:type="pct"/>
            <w:vMerge w:val="continue"/>
            <w:vAlign w:val="center"/>
          </w:tcPr>
          <w:p>
            <w:pPr>
              <w:spacing w:line="0" w:lineRule="atLeast"/>
              <w:jc w:val="center"/>
              <w:rPr>
                <w:rFonts w:eastAsia="宋体"/>
                <w:color w:val="000000"/>
                <w:sz w:val="16"/>
                <w:szCs w:val="16"/>
              </w:rPr>
            </w:pPr>
          </w:p>
        </w:tc>
        <w:tc>
          <w:tcPr>
            <w:tcW w:w="761" w:type="pct"/>
            <w:vMerge w:val="continue"/>
            <w:noWrap/>
            <w:vAlign w:val="center"/>
          </w:tcPr>
          <w:p>
            <w:pPr>
              <w:widowControl/>
              <w:spacing w:line="0" w:lineRule="atLeast"/>
              <w:jc w:val="center"/>
              <w:textAlignment w:val="center"/>
              <w:rPr>
                <w:rFonts w:eastAsia="宋体"/>
                <w:color w:val="000000"/>
                <w:kern w:val="0"/>
                <w:sz w:val="16"/>
                <w:szCs w:val="16"/>
                <w:lang w:bidi="ar"/>
              </w:rPr>
            </w:pPr>
          </w:p>
        </w:tc>
        <w:tc>
          <w:tcPr>
            <w:tcW w:w="703" w:type="pct"/>
            <w:vMerge w:val="continue"/>
            <w:noWrap/>
            <w:vAlign w:val="center"/>
          </w:tcPr>
          <w:p>
            <w:pPr>
              <w:widowControl/>
              <w:spacing w:line="0" w:lineRule="atLeast"/>
              <w:jc w:val="center"/>
              <w:textAlignment w:val="center"/>
              <w:rPr>
                <w:rFonts w:eastAsia="宋体"/>
                <w:color w:val="000000"/>
                <w:kern w:val="0"/>
                <w:sz w:val="16"/>
                <w:szCs w:val="16"/>
                <w:lang w:bidi="ar"/>
              </w:rPr>
            </w:pPr>
          </w:p>
        </w:tc>
        <w:tc>
          <w:tcPr>
            <w:tcW w:w="786" w:type="pct"/>
            <w:vAlign w:val="center"/>
          </w:tcPr>
          <w:p>
            <w:pPr>
              <w:widowControl/>
              <w:spacing w:line="0" w:lineRule="atLeast"/>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农药速测技术推广试点（个）</w:t>
            </w:r>
          </w:p>
        </w:tc>
        <w:tc>
          <w:tcPr>
            <w:tcW w:w="868" w:type="pct"/>
            <w:vAlign w:val="center"/>
          </w:tcPr>
          <w:p>
            <w:pPr>
              <w:widowControl/>
              <w:jc w:val="center"/>
              <w:textAlignment w:val="center"/>
              <w:rPr>
                <w:rFonts w:hint="eastAsia" w:eastAsia="仿宋_GB2312"/>
                <w:spacing w:val="-4"/>
                <w:lang w:eastAsia="zh-CN"/>
              </w:rPr>
            </w:pPr>
            <w:r>
              <w:rPr>
                <w:rFonts w:hint="eastAsia" w:eastAsia="宋体"/>
                <w:color w:val="000000"/>
                <w:kern w:val="0"/>
                <w:sz w:val="16"/>
                <w:szCs w:val="16"/>
                <w:lang w:eastAsia="zh-CN" w:bidi="ar"/>
              </w:rPr>
              <w:t>——</w:t>
            </w:r>
          </w:p>
        </w:tc>
        <w:tc>
          <w:tcPr>
            <w:tcW w:w="486" w:type="pct"/>
            <w:vAlign w:val="center"/>
          </w:tcPr>
          <w:p>
            <w:pPr>
              <w:widowControl/>
              <w:jc w:val="center"/>
              <w:textAlignment w:val="center"/>
              <w:rPr>
                <w:rFonts w:hint="eastAsia"/>
                <w:lang w:eastAsia="zh-CN"/>
              </w:rPr>
            </w:pPr>
            <w:r>
              <w:rPr>
                <w:rFonts w:hint="eastAsia" w:eastAsia="宋体"/>
                <w:color w:val="000000"/>
                <w:kern w:val="0"/>
                <w:sz w:val="16"/>
                <w:szCs w:val="16"/>
                <w:lang w:eastAsia="zh-CN" w:bidi="ar"/>
              </w:rPr>
              <w:t>——</w:t>
            </w:r>
          </w:p>
        </w:tc>
        <w:tc>
          <w:tcPr>
            <w:tcW w:w="1022" w:type="pct"/>
            <w:noWrap/>
            <w:vAlign w:val="center"/>
          </w:tcPr>
          <w:p>
            <w:pPr>
              <w:spacing w:line="0" w:lineRule="atLeast"/>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371" w:type="pct"/>
            <w:vMerge w:val="continue"/>
            <w:vAlign w:val="center"/>
          </w:tcPr>
          <w:p>
            <w:pPr>
              <w:spacing w:line="0" w:lineRule="atLeast"/>
              <w:jc w:val="center"/>
              <w:rPr>
                <w:rFonts w:eastAsia="宋体"/>
                <w:color w:val="000000"/>
                <w:sz w:val="16"/>
                <w:szCs w:val="16"/>
              </w:rPr>
            </w:pPr>
          </w:p>
        </w:tc>
        <w:tc>
          <w:tcPr>
            <w:tcW w:w="761" w:type="pct"/>
            <w:vMerge w:val="continue"/>
            <w:noWrap/>
            <w:vAlign w:val="center"/>
          </w:tcPr>
          <w:p>
            <w:pPr>
              <w:spacing w:line="0" w:lineRule="atLeast"/>
              <w:jc w:val="center"/>
              <w:rPr>
                <w:rFonts w:eastAsia="宋体"/>
                <w:color w:val="000000"/>
                <w:sz w:val="16"/>
                <w:szCs w:val="16"/>
              </w:rPr>
            </w:pPr>
          </w:p>
        </w:tc>
        <w:tc>
          <w:tcPr>
            <w:tcW w:w="703" w:type="pct"/>
            <w:vMerge w:val="restar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质量指标</w:t>
            </w: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新型农业经营主体生产设施条件</w:t>
            </w:r>
          </w:p>
        </w:tc>
        <w:tc>
          <w:tcPr>
            <w:tcW w:w="868" w:type="pct"/>
            <w:vAlign w:val="center"/>
          </w:tcPr>
          <w:p>
            <w:pPr>
              <w:widowControl/>
              <w:jc w:val="center"/>
              <w:textAlignment w:val="center"/>
              <w:rPr>
                <w:rFonts w:eastAsia="宋体"/>
                <w:color w:val="000000"/>
                <w:kern w:val="0"/>
                <w:sz w:val="16"/>
                <w:szCs w:val="16"/>
                <w:lang w:bidi="ar"/>
              </w:rPr>
            </w:pPr>
            <w:r>
              <w:rPr>
                <w:rFonts w:eastAsia="宋体"/>
                <w:color w:val="000000"/>
                <w:kern w:val="0"/>
                <w:sz w:val="16"/>
                <w:szCs w:val="16"/>
                <w:lang w:bidi="ar"/>
              </w:rPr>
              <w:t>改善</w:t>
            </w:r>
          </w:p>
        </w:tc>
        <w:tc>
          <w:tcPr>
            <w:tcW w:w="486" w:type="pct"/>
            <w:vAlign w:val="center"/>
          </w:tcPr>
          <w:p>
            <w:pPr>
              <w:widowControl/>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100%</w:t>
            </w:r>
          </w:p>
        </w:tc>
        <w:tc>
          <w:tcPr>
            <w:tcW w:w="1022" w:type="pct"/>
            <w:noWrap/>
            <w:vAlign w:val="center"/>
          </w:tcPr>
          <w:p>
            <w:pPr>
              <w:pStyle w:val="13"/>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371" w:type="pct"/>
            <w:vMerge w:val="continue"/>
            <w:vAlign w:val="center"/>
          </w:tcPr>
          <w:p>
            <w:pPr>
              <w:pStyle w:val="13"/>
              <w:rPr>
                <w:rFonts w:hint="eastAsia"/>
              </w:rPr>
            </w:pPr>
          </w:p>
        </w:tc>
        <w:tc>
          <w:tcPr>
            <w:tcW w:w="761" w:type="pct"/>
            <w:vMerge w:val="continue"/>
            <w:noWrap/>
            <w:vAlign w:val="center"/>
          </w:tcPr>
          <w:p>
            <w:pPr>
              <w:pStyle w:val="13"/>
              <w:rPr>
                <w:rFonts w:hint="eastAsia"/>
              </w:rPr>
            </w:pPr>
          </w:p>
        </w:tc>
        <w:tc>
          <w:tcPr>
            <w:tcW w:w="703" w:type="pct"/>
            <w:vMerge w:val="continue"/>
            <w:noWrap/>
            <w:vAlign w:val="center"/>
          </w:tcPr>
          <w:p>
            <w:pPr>
              <w:pStyle w:val="13"/>
              <w:rPr>
                <w:rFonts w:hint="eastAsia"/>
              </w:rPr>
            </w:pP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农业主推技术到位率（%）</w:t>
            </w:r>
          </w:p>
        </w:tc>
        <w:tc>
          <w:tcPr>
            <w:tcW w:w="868" w:type="pct"/>
            <w:vAlign w:val="center"/>
          </w:tcPr>
          <w:p>
            <w:pPr>
              <w:widowControl/>
              <w:jc w:val="center"/>
              <w:textAlignment w:val="center"/>
              <w:rPr>
                <w:rFonts w:eastAsia="宋体"/>
                <w:color w:val="000000"/>
                <w:kern w:val="0"/>
                <w:sz w:val="16"/>
                <w:szCs w:val="16"/>
                <w:lang w:bidi="ar"/>
              </w:rPr>
            </w:pPr>
            <w:r>
              <w:rPr>
                <w:rFonts w:eastAsia="宋体"/>
                <w:color w:val="000000"/>
                <w:kern w:val="0"/>
                <w:sz w:val="16"/>
                <w:szCs w:val="16"/>
                <w:lang w:bidi="ar"/>
              </w:rPr>
              <w:t>95%以上</w:t>
            </w:r>
          </w:p>
        </w:tc>
        <w:tc>
          <w:tcPr>
            <w:tcW w:w="486" w:type="pct"/>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≥96%</w:t>
            </w:r>
          </w:p>
        </w:tc>
        <w:tc>
          <w:tcPr>
            <w:tcW w:w="1022" w:type="pct"/>
            <w:noWrap/>
            <w:vAlign w:val="center"/>
          </w:tcPr>
          <w:p>
            <w:pPr>
              <w:pStyle w:val="13"/>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 w:hRule="atLeast"/>
          <w:jc w:val="center"/>
        </w:trPr>
        <w:tc>
          <w:tcPr>
            <w:tcW w:w="371" w:type="pct"/>
            <w:vMerge w:val="continue"/>
            <w:vAlign w:val="center"/>
          </w:tcPr>
          <w:p>
            <w:pPr>
              <w:spacing w:line="0" w:lineRule="atLeast"/>
              <w:jc w:val="center"/>
              <w:rPr>
                <w:rFonts w:eastAsia="宋体"/>
                <w:color w:val="000000"/>
                <w:sz w:val="16"/>
                <w:szCs w:val="16"/>
              </w:rPr>
            </w:pPr>
          </w:p>
        </w:tc>
        <w:tc>
          <w:tcPr>
            <w:tcW w:w="761" w:type="pct"/>
            <w:vMerge w:val="restar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效益指标</w:t>
            </w:r>
          </w:p>
        </w:tc>
        <w:tc>
          <w:tcPr>
            <w:tcW w:w="703" w:type="pct"/>
            <w:noWrap/>
            <w:vAlign w:val="center"/>
          </w:tcPr>
          <w:p>
            <w:pPr>
              <w:widowControl/>
              <w:spacing w:line="0" w:lineRule="atLeast"/>
              <w:jc w:val="center"/>
              <w:textAlignment w:val="center"/>
              <w:rPr>
                <w:rFonts w:eastAsia="宋体"/>
                <w:color w:val="000000"/>
                <w:sz w:val="16"/>
                <w:szCs w:val="16"/>
              </w:rPr>
            </w:pPr>
            <w:r>
              <w:rPr>
                <w:rFonts w:hint="eastAsia" w:eastAsia="宋体"/>
                <w:color w:val="000000"/>
                <w:kern w:val="0"/>
                <w:sz w:val="16"/>
                <w:szCs w:val="16"/>
                <w:lang w:bidi="ar"/>
              </w:rPr>
              <w:t>经济</w:t>
            </w:r>
            <w:r>
              <w:rPr>
                <w:rFonts w:eastAsia="宋体"/>
                <w:color w:val="000000"/>
                <w:kern w:val="0"/>
                <w:sz w:val="16"/>
                <w:szCs w:val="16"/>
                <w:lang w:bidi="ar"/>
              </w:rPr>
              <w:t>效益指标</w:t>
            </w:r>
          </w:p>
        </w:tc>
        <w:tc>
          <w:tcPr>
            <w:tcW w:w="786" w:type="pct"/>
            <w:vAlign w:val="center"/>
          </w:tcPr>
          <w:p>
            <w:pPr>
              <w:widowControl/>
              <w:spacing w:line="0" w:lineRule="atLeast"/>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项目区大豆迎茬对产量的影响</w:t>
            </w:r>
          </w:p>
        </w:tc>
        <w:tc>
          <w:tcPr>
            <w:tcW w:w="868" w:type="pct"/>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eastAsia="zh-CN" w:bidi="ar"/>
              </w:rPr>
              <w:t>——</w:t>
            </w:r>
          </w:p>
        </w:tc>
        <w:tc>
          <w:tcPr>
            <w:tcW w:w="486" w:type="pct"/>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eastAsia="zh-CN" w:bidi="ar"/>
              </w:rPr>
              <w:t>——</w:t>
            </w:r>
          </w:p>
        </w:tc>
        <w:tc>
          <w:tcPr>
            <w:tcW w:w="1022" w:type="pct"/>
            <w:noWrap/>
            <w:vAlign w:val="center"/>
          </w:tcPr>
          <w:p>
            <w:pPr>
              <w:spacing w:line="0" w:lineRule="atLeast"/>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 w:hRule="atLeast"/>
          <w:jc w:val="center"/>
        </w:trPr>
        <w:tc>
          <w:tcPr>
            <w:tcW w:w="371" w:type="pct"/>
            <w:vMerge w:val="continue"/>
            <w:vAlign w:val="center"/>
          </w:tcPr>
          <w:p>
            <w:pPr>
              <w:spacing w:line="0" w:lineRule="atLeast"/>
              <w:jc w:val="center"/>
              <w:rPr>
                <w:rFonts w:eastAsia="宋体"/>
                <w:color w:val="000000"/>
                <w:sz w:val="16"/>
                <w:szCs w:val="16"/>
              </w:rPr>
            </w:pPr>
          </w:p>
        </w:tc>
        <w:tc>
          <w:tcPr>
            <w:tcW w:w="761" w:type="pct"/>
            <w:vMerge w:val="continue"/>
            <w:noWrap/>
            <w:vAlign w:val="center"/>
          </w:tcPr>
          <w:p>
            <w:pPr>
              <w:widowControl/>
              <w:spacing w:line="0" w:lineRule="atLeast"/>
              <w:jc w:val="center"/>
              <w:textAlignment w:val="center"/>
              <w:rPr>
                <w:rFonts w:eastAsia="宋体"/>
                <w:color w:val="000000"/>
                <w:kern w:val="0"/>
                <w:sz w:val="16"/>
                <w:szCs w:val="16"/>
                <w:lang w:bidi="ar"/>
              </w:rPr>
            </w:pPr>
          </w:p>
        </w:tc>
        <w:tc>
          <w:tcPr>
            <w:tcW w:w="703" w:type="pct"/>
            <w:vMerge w:val="restart"/>
            <w:noWrap/>
            <w:vAlign w:val="center"/>
          </w:tcPr>
          <w:p>
            <w:pPr>
              <w:widowControl/>
              <w:spacing w:line="0" w:lineRule="atLeast"/>
              <w:jc w:val="center"/>
              <w:textAlignment w:val="center"/>
              <w:rPr>
                <w:rFonts w:eastAsia="宋体"/>
                <w:color w:val="000000"/>
                <w:kern w:val="0"/>
                <w:sz w:val="16"/>
                <w:szCs w:val="16"/>
                <w:lang w:bidi="ar"/>
              </w:rPr>
            </w:pPr>
            <w:r>
              <w:rPr>
                <w:rFonts w:hint="eastAsia" w:eastAsia="宋体"/>
                <w:color w:val="000000"/>
                <w:kern w:val="0"/>
                <w:sz w:val="16"/>
                <w:szCs w:val="16"/>
                <w:lang w:bidi="ar"/>
              </w:rPr>
              <w:t>社会效益指标</w:t>
            </w: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规模主体单产提升项目县作物单产水平</w:t>
            </w:r>
          </w:p>
        </w:tc>
        <w:tc>
          <w:tcPr>
            <w:tcW w:w="868" w:type="pct"/>
            <w:vAlign w:val="center"/>
          </w:tcPr>
          <w:p>
            <w:pPr>
              <w:widowControl/>
              <w:jc w:val="center"/>
              <w:textAlignment w:val="center"/>
              <w:rPr>
                <w:rFonts w:eastAsia="宋体"/>
                <w:color w:val="000000"/>
                <w:kern w:val="0"/>
                <w:sz w:val="16"/>
                <w:szCs w:val="16"/>
                <w:lang w:bidi="ar"/>
              </w:rPr>
            </w:pPr>
            <w:r>
              <w:rPr>
                <w:rFonts w:eastAsia="宋体"/>
                <w:color w:val="000000"/>
                <w:kern w:val="0"/>
                <w:sz w:val="16"/>
                <w:szCs w:val="16"/>
                <w:lang w:bidi="ar"/>
              </w:rPr>
              <w:t>提升</w:t>
            </w:r>
          </w:p>
        </w:tc>
        <w:tc>
          <w:tcPr>
            <w:tcW w:w="486" w:type="pct"/>
            <w:vAlign w:val="center"/>
          </w:tcPr>
          <w:p>
            <w:pPr>
              <w:widowControl/>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100%</w:t>
            </w:r>
          </w:p>
        </w:tc>
        <w:tc>
          <w:tcPr>
            <w:tcW w:w="1022" w:type="pct"/>
            <w:noWrap/>
            <w:vAlign w:val="center"/>
          </w:tcPr>
          <w:p>
            <w:pPr>
              <w:spacing w:line="0" w:lineRule="atLeas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 w:hRule="atLeast"/>
          <w:jc w:val="center"/>
        </w:trPr>
        <w:tc>
          <w:tcPr>
            <w:tcW w:w="371" w:type="pct"/>
            <w:vMerge w:val="continue"/>
            <w:vAlign w:val="center"/>
          </w:tcPr>
          <w:p>
            <w:pPr>
              <w:pStyle w:val="13"/>
              <w:rPr>
                <w:rFonts w:hint="eastAsia"/>
              </w:rPr>
            </w:pPr>
          </w:p>
        </w:tc>
        <w:tc>
          <w:tcPr>
            <w:tcW w:w="761" w:type="pct"/>
            <w:vMerge w:val="continue"/>
            <w:noWrap/>
            <w:vAlign w:val="center"/>
          </w:tcPr>
          <w:p>
            <w:pPr>
              <w:pStyle w:val="13"/>
              <w:rPr>
                <w:rFonts w:hint="eastAsia"/>
              </w:rPr>
            </w:pPr>
          </w:p>
        </w:tc>
        <w:tc>
          <w:tcPr>
            <w:tcW w:w="703" w:type="pct"/>
            <w:vMerge w:val="continue"/>
            <w:noWrap/>
            <w:vAlign w:val="center"/>
          </w:tcPr>
          <w:p>
            <w:pPr>
              <w:pStyle w:val="13"/>
              <w:rPr>
                <w:rFonts w:hint="eastAsia"/>
              </w:rPr>
            </w:pP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农业信贷担保业务规模</w:t>
            </w:r>
          </w:p>
        </w:tc>
        <w:tc>
          <w:tcPr>
            <w:tcW w:w="868" w:type="pct"/>
            <w:vAlign w:val="center"/>
          </w:tcPr>
          <w:p>
            <w:pPr>
              <w:widowControl/>
              <w:jc w:val="center"/>
              <w:textAlignment w:val="center"/>
              <w:rPr>
                <w:rFonts w:eastAsia="宋体"/>
                <w:color w:val="000000"/>
                <w:kern w:val="0"/>
                <w:sz w:val="16"/>
                <w:szCs w:val="16"/>
                <w:lang w:bidi="ar"/>
              </w:rPr>
            </w:pPr>
            <w:r>
              <w:rPr>
                <w:rFonts w:eastAsia="宋体"/>
                <w:color w:val="000000"/>
                <w:kern w:val="0"/>
                <w:sz w:val="16"/>
                <w:szCs w:val="16"/>
                <w:lang w:bidi="ar"/>
              </w:rPr>
              <w:t>稳健发展</w:t>
            </w:r>
          </w:p>
        </w:tc>
        <w:tc>
          <w:tcPr>
            <w:tcW w:w="486" w:type="pct"/>
            <w:vAlign w:val="center"/>
          </w:tcPr>
          <w:p>
            <w:pPr>
              <w:widowControl/>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100%</w:t>
            </w:r>
          </w:p>
        </w:tc>
        <w:tc>
          <w:tcPr>
            <w:tcW w:w="1022" w:type="pct"/>
            <w:noWrap/>
            <w:vAlign w:val="center"/>
          </w:tcPr>
          <w:p>
            <w:pPr>
              <w:pStyle w:val="13"/>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 w:hRule="atLeast"/>
          <w:jc w:val="center"/>
        </w:trPr>
        <w:tc>
          <w:tcPr>
            <w:tcW w:w="371" w:type="pct"/>
            <w:vMerge w:val="continue"/>
            <w:vAlign w:val="center"/>
          </w:tcPr>
          <w:p>
            <w:pPr>
              <w:pStyle w:val="13"/>
              <w:rPr>
                <w:rFonts w:hint="eastAsia"/>
              </w:rPr>
            </w:pPr>
          </w:p>
        </w:tc>
        <w:tc>
          <w:tcPr>
            <w:tcW w:w="761" w:type="pct"/>
            <w:vMerge w:val="continue"/>
            <w:noWrap/>
            <w:vAlign w:val="center"/>
          </w:tcPr>
          <w:p>
            <w:pPr>
              <w:pStyle w:val="13"/>
              <w:rPr>
                <w:rFonts w:hint="eastAsia"/>
              </w:rPr>
            </w:pPr>
          </w:p>
        </w:tc>
        <w:tc>
          <w:tcPr>
            <w:tcW w:w="703" w:type="pct"/>
            <w:vMerge w:val="continue"/>
            <w:noWrap/>
            <w:vAlign w:val="center"/>
          </w:tcPr>
          <w:p>
            <w:pPr>
              <w:pStyle w:val="13"/>
              <w:rPr>
                <w:rFonts w:hint="eastAsia"/>
              </w:rPr>
            </w:pP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资金使用重大违规违纪问题</w:t>
            </w:r>
          </w:p>
        </w:tc>
        <w:tc>
          <w:tcPr>
            <w:tcW w:w="868" w:type="pct"/>
            <w:vAlign w:val="center"/>
          </w:tcPr>
          <w:p>
            <w:pPr>
              <w:widowControl/>
              <w:jc w:val="center"/>
              <w:textAlignment w:val="center"/>
              <w:rPr>
                <w:rFonts w:eastAsia="宋体"/>
                <w:color w:val="000000"/>
                <w:kern w:val="0"/>
                <w:sz w:val="16"/>
                <w:szCs w:val="16"/>
                <w:lang w:bidi="ar"/>
              </w:rPr>
            </w:pPr>
            <w:r>
              <w:rPr>
                <w:rFonts w:eastAsia="宋体"/>
                <w:color w:val="000000"/>
                <w:kern w:val="0"/>
                <w:sz w:val="16"/>
                <w:szCs w:val="16"/>
                <w:lang w:bidi="ar"/>
              </w:rPr>
              <w:t>无</w:t>
            </w:r>
          </w:p>
        </w:tc>
        <w:tc>
          <w:tcPr>
            <w:tcW w:w="486" w:type="pct"/>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无</w:t>
            </w:r>
          </w:p>
        </w:tc>
        <w:tc>
          <w:tcPr>
            <w:tcW w:w="1022" w:type="pct"/>
            <w:noWrap/>
            <w:vAlign w:val="center"/>
          </w:tcPr>
          <w:p>
            <w:pPr>
              <w:pStyle w:val="13"/>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 w:hRule="atLeast"/>
          <w:jc w:val="center"/>
        </w:trPr>
        <w:tc>
          <w:tcPr>
            <w:tcW w:w="371" w:type="pct"/>
            <w:vMerge w:val="continue"/>
            <w:vAlign w:val="center"/>
          </w:tcPr>
          <w:p>
            <w:pPr>
              <w:pStyle w:val="13"/>
              <w:rPr>
                <w:rFonts w:hint="eastAsia"/>
              </w:rPr>
            </w:pPr>
          </w:p>
        </w:tc>
        <w:tc>
          <w:tcPr>
            <w:tcW w:w="761" w:type="pct"/>
            <w:vMerge w:val="continue"/>
            <w:noWrap/>
            <w:vAlign w:val="center"/>
          </w:tcPr>
          <w:p>
            <w:pPr>
              <w:pStyle w:val="13"/>
              <w:rPr>
                <w:rFonts w:hint="eastAsia"/>
              </w:rPr>
            </w:pPr>
          </w:p>
        </w:tc>
        <w:tc>
          <w:tcPr>
            <w:tcW w:w="703" w:type="pct"/>
            <w:vMerge w:val="continue"/>
            <w:noWrap/>
            <w:vAlign w:val="center"/>
          </w:tcPr>
          <w:p>
            <w:pPr>
              <w:pStyle w:val="13"/>
              <w:rPr>
                <w:rFonts w:hint="eastAsia"/>
              </w:rPr>
            </w:pPr>
          </w:p>
        </w:tc>
        <w:tc>
          <w:tcPr>
            <w:tcW w:w="786" w:type="pct"/>
            <w:vAlign w:val="center"/>
          </w:tcPr>
          <w:p>
            <w:pPr>
              <w:widowControl/>
              <w:spacing w:line="0" w:lineRule="atLeast"/>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绿色种养循环发展有效机制</w:t>
            </w:r>
          </w:p>
        </w:tc>
        <w:tc>
          <w:tcPr>
            <w:tcW w:w="868" w:type="pct"/>
            <w:vAlign w:val="center"/>
          </w:tcPr>
          <w:p>
            <w:pPr>
              <w:widowControl/>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建立健全</w:t>
            </w:r>
          </w:p>
        </w:tc>
        <w:tc>
          <w:tcPr>
            <w:tcW w:w="486" w:type="pct"/>
            <w:vAlign w:val="center"/>
          </w:tcPr>
          <w:p>
            <w:pPr>
              <w:widowControl/>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100%</w:t>
            </w:r>
          </w:p>
        </w:tc>
        <w:tc>
          <w:tcPr>
            <w:tcW w:w="1022" w:type="pct"/>
            <w:noWrap/>
            <w:vAlign w:val="center"/>
          </w:tcPr>
          <w:p>
            <w:pPr>
              <w:pStyle w:val="13"/>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2" w:hRule="atLeast"/>
          <w:jc w:val="center"/>
        </w:trPr>
        <w:tc>
          <w:tcPr>
            <w:tcW w:w="371" w:type="pct"/>
            <w:vMerge w:val="continue"/>
            <w:vAlign w:val="center"/>
          </w:tcPr>
          <w:p>
            <w:pPr>
              <w:spacing w:line="0" w:lineRule="atLeast"/>
              <w:jc w:val="center"/>
              <w:rPr>
                <w:rFonts w:eastAsia="宋体"/>
                <w:color w:val="000000"/>
                <w:sz w:val="16"/>
                <w:szCs w:val="16"/>
              </w:rPr>
            </w:pPr>
          </w:p>
        </w:tc>
        <w:tc>
          <w:tcPr>
            <w:tcW w:w="761" w:type="pct"/>
            <w:vMerge w:val="continue"/>
            <w:noWrap/>
            <w:vAlign w:val="center"/>
          </w:tcPr>
          <w:p>
            <w:pPr>
              <w:spacing w:line="0" w:lineRule="atLeast"/>
              <w:jc w:val="center"/>
              <w:rPr>
                <w:rFonts w:eastAsia="宋体"/>
                <w:color w:val="000000"/>
                <w:sz w:val="16"/>
                <w:szCs w:val="16"/>
              </w:rPr>
            </w:pPr>
          </w:p>
        </w:tc>
        <w:tc>
          <w:tcPr>
            <w:tcW w:w="703" w:type="pct"/>
            <w:noWrap/>
            <w:vAlign w:val="center"/>
          </w:tcPr>
          <w:p>
            <w:pPr>
              <w:widowControl/>
              <w:spacing w:line="0" w:lineRule="atLeast"/>
              <w:jc w:val="center"/>
              <w:textAlignment w:val="center"/>
              <w:rPr>
                <w:rFonts w:eastAsia="宋体"/>
                <w:color w:val="000000"/>
                <w:sz w:val="16"/>
                <w:szCs w:val="16"/>
              </w:rPr>
            </w:pPr>
            <w:r>
              <w:rPr>
                <w:rFonts w:hint="eastAsia" w:eastAsia="宋体"/>
                <w:color w:val="000000"/>
                <w:kern w:val="0"/>
                <w:sz w:val="16"/>
                <w:szCs w:val="16"/>
                <w:lang w:bidi="ar"/>
              </w:rPr>
              <w:t>可持续影响指标</w:t>
            </w:r>
          </w:p>
        </w:tc>
        <w:tc>
          <w:tcPr>
            <w:tcW w:w="786" w:type="pct"/>
            <w:vAlign w:val="center"/>
          </w:tcPr>
          <w:p>
            <w:pPr>
              <w:widowControl/>
              <w:spacing w:line="0" w:lineRule="atLeast"/>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建立高效协同重大技术推广机制模式（套）</w:t>
            </w:r>
          </w:p>
        </w:tc>
        <w:tc>
          <w:tcPr>
            <w:tcW w:w="868" w:type="pct"/>
            <w:vAlign w:val="center"/>
          </w:tcPr>
          <w:p>
            <w:pPr>
              <w:widowControl/>
              <w:jc w:val="center"/>
              <w:textAlignment w:val="center"/>
              <w:rPr>
                <w:rFonts w:hint="eastAsia" w:eastAsia="宋体"/>
                <w:color w:val="000000"/>
                <w:kern w:val="0"/>
                <w:sz w:val="16"/>
                <w:szCs w:val="16"/>
                <w:lang w:eastAsia="zh-CN" w:bidi="ar"/>
              </w:rPr>
            </w:pPr>
            <w:r>
              <w:rPr>
                <w:rFonts w:hint="eastAsia" w:eastAsia="宋体"/>
                <w:color w:val="000000"/>
                <w:kern w:val="0"/>
                <w:sz w:val="16"/>
                <w:szCs w:val="16"/>
                <w:lang w:eastAsia="zh-CN" w:bidi="ar"/>
              </w:rPr>
              <w:t>——</w:t>
            </w:r>
          </w:p>
        </w:tc>
        <w:tc>
          <w:tcPr>
            <w:tcW w:w="486" w:type="pct"/>
            <w:vAlign w:val="center"/>
          </w:tcPr>
          <w:p>
            <w:pPr>
              <w:widowControl/>
              <w:jc w:val="center"/>
              <w:textAlignment w:val="center"/>
              <w:rPr>
                <w:rFonts w:hint="eastAsia" w:eastAsia="宋体"/>
                <w:color w:val="000000"/>
                <w:kern w:val="0"/>
                <w:sz w:val="16"/>
                <w:szCs w:val="16"/>
                <w:lang w:eastAsia="zh-CN" w:bidi="ar"/>
              </w:rPr>
            </w:pPr>
            <w:r>
              <w:rPr>
                <w:rFonts w:hint="eastAsia" w:eastAsia="宋体"/>
                <w:color w:val="000000"/>
                <w:kern w:val="0"/>
                <w:sz w:val="16"/>
                <w:szCs w:val="16"/>
                <w:lang w:eastAsia="zh-CN" w:bidi="ar"/>
              </w:rPr>
              <w:t>——</w:t>
            </w:r>
          </w:p>
        </w:tc>
        <w:tc>
          <w:tcPr>
            <w:tcW w:w="1022" w:type="pct"/>
            <w:noWrap/>
            <w:vAlign w:val="center"/>
          </w:tcPr>
          <w:p>
            <w:pPr>
              <w:ind w:firstLine="320" w:firstLineChars="200"/>
              <w:rPr>
                <w:rFonts w:eastAsia="宋体"/>
                <w:color w:val="000000"/>
                <w:sz w:val="16"/>
                <w:szCs w:val="16"/>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371" w:type="pct"/>
            <w:vMerge w:val="continue"/>
            <w:vAlign w:val="center"/>
          </w:tcPr>
          <w:p>
            <w:pPr>
              <w:spacing w:line="0" w:lineRule="atLeast"/>
              <w:jc w:val="center"/>
              <w:rPr>
                <w:rFonts w:eastAsia="宋体"/>
                <w:color w:val="000000"/>
                <w:sz w:val="16"/>
                <w:szCs w:val="16"/>
              </w:rPr>
            </w:pPr>
          </w:p>
        </w:tc>
        <w:tc>
          <w:tcPr>
            <w:tcW w:w="761"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满意度指标</w:t>
            </w:r>
          </w:p>
        </w:tc>
        <w:tc>
          <w:tcPr>
            <w:tcW w:w="703"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服务对象满意度指标</w:t>
            </w:r>
          </w:p>
        </w:tc>
        <w:tc>
          <w:tcPr>
            <w:tcW w:w="786" w:type="pct"/>
            <w:vAlign w:val="center"/>
          </w:tcPr>
          <w:p>
            <w:pPr>
              <w:widowControl/>
              <w:spacing w:line="0" w:lineRule="atLeast"/>
              <w:jc w:val="center"/>
              <w:textAlignment w:val="center"/>
              <w:rPr>
                <w:rFonts w:eastAsia="宋体"/>
                <w:color w:val="000000"/>
                <w:kern w:val="0"/>
                <w:sz w:val="16"/>
                <w:szCs w:val="16"/>
                <w:lang w:bidi="ar"/>
              </w:rPr>
            </w:pPr>
            <w:r>
              <w:rPr>
                <w:rFonts w:eastAsia="宋体"/>
                <w:color w:val="000000"/>
                <w:kern w:val="0"/>
                <w:sz w:val="16"/>
                <w:szCs w:val="16"/>
                <w:lang w:bidi="ar"/>
              </w:rPr>
              <w:t>高素质农民培育对象满意度（%）</w:t>
            </w:r>
          </w:p>
        </w:tc>
        <w:tc>
          <w:tcPr>
            <w:tcW w:w="868" w:type="pct"/>
            <w:vAlign w:val="center"/>
          </w:tcPr>
          <w:p>
            <w:pPr>
              <w:widowControl/>
              <w:jc w:val="center"/>
              <w:textAlignment w:val="center"/>
              <w:rPr>
                <w:rFonts w:eastAsia="宋体"/>
                <w:color w:val="000000"/>
                <w:sz w:val="16"/>
                <w:szCs w:val="16"/>
              </w:rPr>
            </w:pPr>
            <w:r>
              <w:rPr>
                <w:rFonts w:eastAsia="宋体"/>
                <w:color w:val="000000"/>
                <w:kern w:val="0"/>
                <w:sz w:val="16"/>
                <w:szCs w:val="16"/>
                <w:lang w:bidi="ar"/>
              </w:rPr>
              <w:t>≥90%</w:t>
            </w:r>
          </w:p>
        </w:tc>
        <w:tc>
          <w:tcPr>
            <w:tcW w:w="486" w:type="pct"/>
            <w:vAlign w:val="center"/>
          </w:tcPr>
          <w:p>
            <w:pPr>
              <w:widowControl/>
              <w:jc w:val="center"/>
              <w:textAlignment w:val="center"/>
            </w:pPr>
            <w:r>
              <w:rPr>
                <w:rFonts w:hint="eastAsia" w:eastAsia="宋体"/>
                <w:color w:val="000000"/>
                <w:kern w:val="0"/>
                <w:sz w:val="16"/>
                <w:szCs w:val="16"/>
                <w:lang w:bidi="ar"/>
              </w:rPr>
              <w:t>99%</w:t>
            </w:r>
          </w:p>
        </w:tc>
        <w:tc>
          <w:tcPr>
            <w:tcW w:w="1022" w:type="pct"/>
            <w:noWrap/>
            <w:vAlign w:val="center"/>
          </w:tcPr>
          <w:p>
            <w:pPr>
              <w:spacing w:line="0" w:lineRule="atLeas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371" w:type="pct"/>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说明</w:t>
            </w:r>
          </w:p>
        </w:tc>
        <w:tc>
          <w:tcPr>
            <w:tcW w:w="4628" w:type="pct"/>
            <w:gridSpan w:val="6"/>
            <w:noWrap/>
            <w:vAlign w:val="center"/>
          </w:tcPr>
          <w:p>
            <w:pPr>
              <w:widowControl/>
              <w:spacing w:line="0" w:lineRule="atLeast"/>
              <w:jc w:val="center"/>
              <w:textAlignment w:val="center"/>
              <w:rPr>
                <w:rFonts w:eastAsia="宋体"/>
                <w:color w:val="000000"/>
                <w:sz w:val="16"/>
                <w:szCs w:val="16"/>
              </w:rPr>
            </w:pPr>
            <w:r>
              <w:rPr>
                <w:rFonts w:eastAsia="宋体"/>
                <w:color w:val="000000"/>
                <w:kern w:val="0"/>
                <w:sz w:val="16"/>
                <w:szCs w:val="16"/>
                <w:lang w:bidi="ar"/>
              </w:rPr>
              <w:t>无</w:t>
            </w:r>
          </w:p>
        </w:tc>
      </w:tr>
    </w:tbl>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A1"/>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npu/GgIAACc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Uq7IcujLpK0uoycrdtuuX3Vr&#10;6xM29fYileD4qsEoaxbiI/PQBsaH3uMDDqksWtreomRv/ae/3ad8UIYoJS20VlGDx0CJemtAZZLl&#10;YPjB2A6GOeg7C/GCHsySTfzgoxpM6a3+iEewTD0kUwGFmeHoBqIG8y7C64N4TFwsl1cfQnQsrs3G&#10;8Z7ahFZwy0MEuhn0hNEFGJCVHKgx09a/nCT3X/2c9fS+F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B6em78aAgAAJwQAAA4AAAAAAAAAAQAgAAAANQEAAGRycy9lMm9Eb2MueG1sUEsFBgAA&#10;AAAGAAYAWQEAAMEFA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AE5BB5"/>
    <w:multiLevelType w:val="singleLevel"/>
    <w:tmpl w:val="9BAE5BB5"/>
    <w:lvl w:ilvl="0" w:tentative="0">
      <w:start w:val="4"/>
      <w:numFmt w:val="decimal"/>
      <w:suff w:val="nothing"/>
      <w:lvlText w:val="（%1）"/>
      <w:lvlJc w:val="left"/>
    </w:lvl>
  </w:abstractNum>
  <w:abstractNum w:abstractNumId="1">
    <w:nsid w:val="4F8A60BA"/>
    <w:multiLevelType w:val="singleLevel"/>
    <w:tmpl w:val="4F8A60BA"/>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xY2FlYmQ5ZDk2ODhhNjA1MDNkMTg2OGE1NTVkYmYifQ=="/>
  </w:docVars>
  <w:rsids>
    <w:rsidRoot w:val="690A7624"/>
    <w:rsid w:val="000C3461"/>
    <w:rsid w:val="000D43EE"/>
    <w:rsid w:val="001429C5"/>
    <w:rsid w:val="003D2529"/>
    <w:rsid w:val="003F1D2C"/>
    <w:rsid w:val="00493AED"/>
    <w:rsid w:val="00511971"/>
    <w:rsid w:val="005702F8"/>
    <w:rsid w:val="00710E12"/>
    <w:rsid w:val="007347EA"/>
    <w:rsid w:val="007526F5"/>
    <w:rsid w:val="00963491"/>
    <w:rsid w:val="0096711F"/>
    <w:rsid w:val="00A9646D"/>
    <w:rsid w:val="00AD12DD"/>
    <w:rsid w:val="00B6228C"/>
    <w:rsid w:val="00DB3A4C"/>
    <w:rsid w:val="00E20655"/>
    <w:rsid w:val="00E55823"/>
    <w:rsid w:val="00EF2FA7"/>
    <w:rsid w:val="02F2197A"/>
    <w:rsid w:val="07434552"/>
    <w:rsid w:val="07B94814"/>
    <w:rsid w:val="080B17EA"/>
    <w:rsid w:val="0902043D"/>
    <w:rsid w:val="095F4EF1"/>
    <w:rsid w:val="097F21A0"/>
    <w:rsid w:val="09EB0ED1"/>
    <w:rsid w:val="0B1464A6"/>
    <w:rsid w:val="0BFC73C5"/>
    <w:rsid w:val="0C6A432F"/>
    <w:rsid w:val="0CA21D12"/>
    <w:rsid w:val="0D5C5C58"/>
    <w:rsid w:val="0EC3241C"/>
    <w:rsid w:val="0F39623B"/>
    <w:rsid w:val="0FCD53EB"/>
    <w:rsid w:val="103510F8"/>
    <w:rsid w:val="132C67E2"/>
    <w:rsid w:val="140040F4"/>
    <w:rsid w:val="15C076B6"/>
    <w:rsid w:val="169C4ED1"/>
    <w:rsid w:val="18F629B6"/>
    <w:rsid w:val="1A2F66C5"/>
    <w:rsid w:val="1B304996"/>
    <w:rsid w:val="1C9A4858"/>
    <w:rsid w:val="1CBD66FD"/>
    <w:rsid w:val="1E95630F"/>
    <w:rsid w:val="1F8B663F"/>
    <w:rsid w:val="20511636"/>
    <w:rsid w:val="214B412D"/>
    <w:rsid w:val="215018EE"/>
    <w:rsid w:val="22A13307"/>
    <w:rsid w:val="22D64075"/>
    <w:rsid w:val="22DD4225"/>
    <w:rsid w:val="24422247"/>
    <w:rsid w:val="259326F1"/>
    <w:rsid w:val="262F241A"/>
    <w:rsid w:val="27CE7AC5"/>
    <w:rsid w:val="28ED3EC6"/>
    <w:rsid w:val="29D54A25"/>
    <w:rsid w:val="2B5621F6"/>
    <w:rsid w:val="2BAC0068"/>
    <w:rsid w:val="2C815051"/>
    <w:rsid w:val="2CE33F5E"/>
    <w:rsid w:val="2D714760"/>
    <w:rsid w:val="2F3960B7"/>
    <w:rsid w:val="304A1EE9"/>
    <w:rsid w:val="30A5555E"/>
    <w:rsid w:val="31A71BB0"/>
    <w:rsid w:val="328947D0"/>
    <w:rsid w:val="35960D13"/>
    <w:rsid w:val="35BE67CE"/>
    <w:rsid w:val="36F11025"/>
    <w:rsid w:val="374C09A7"/>
    <w:rsid w:val="388D46D6"/>
    <w:rsid w:val="39725EB7"/>
    <w:rsid w:val="3CFC3141"/>
    <w:rsid w:val="3E060C40"/>
    <w:rsid w:val="3E932215"/>
    <w:rsid w:val="3ECA05D1"/>
    <w:rsid w:val="3FB35DA1"/>
    <w:rsid w:val="406E4377"/>
    <w:rsid w:val="40F260C6"/>
    <w:rsid w:val="415B68E3"/>
    <w:rsid w:val="41E33C60"/>
    <w:rsid w:val="428471F1"/>
    <w:rsid w:val="42CE66BF"/>
    <w:rsid w:val="42E27550"/>
    <w:rsid w:val="43AF4EC2"/>
    <w:rsid w:val="44473C12"/>
    <w:rsid w:val="44476729"/>
    <w:rsid w:val="48D10692"/>
    <w:rsid w:val="49637FD0"/>
    <w:rsid w:val="4AA523FB"/>
    <w:rsid w:val="4DED25B9"/>
    <w:rsid w:val="4DEF484E"/>
    <w:rsid w:val="4F7911BC"/>
    <w:rsid w:val="4FC96B8B"/>
    <w:rsid w:val="52D62C91"/>
    <w:rsid w:val="52E71802"/>
    <w:rsid w:val="55EE10FA"/>
    <w:rsid w:val="57D91936"/>
    <w:rsid w:val="58EB1921"/>
    <w:rsid w:val="59E43CD1"/>
    <w:rsid w:val="5A957D96"/>
    <w:rsid w:val="5AF12EDB"/>
    <w:rsid w:val="5CA442C0"/>
    <w:rsid w:val="5CF14F04"/>
    <w:rsid w:val="5E582664"/>
    <w:rsid w:val="5F946EBF"/>
    <w:rsid w:val="5FBB029F"/>
    <w:rsid w:val="60015C3D"/>
    <w:rsid w:val="6065020A"/>
    <w:rsid w:val="607275F9"/>
    <w:rsid w:val="65B84C59"/>
    <w:rsid w:val="66AF3F8D"/>
    <w:rsid w:val="68E25D18"/>
    <w:rsid w:val="690A7624"/>
    <w:rsid w:val="6A1707C7"/>
    <w:rsid w:val="6BDEC125"/>
    <w:rsid w:val="6C1D408F"/>
    <w:rsid w:val="6CB26586"/>
    <w:rsid w:val="6CE23A73"/>
    <w:rsid w:val="6E62032D"/>
    <w:rsid w:val="6EE91E80"/>
    <w:rsid w:val="6F086775"/>
    <w:rsid w:val="6F41613A"/>
    <w:rsid w:val="7477035D"/>
    <w:rsid w:val="757C5983"/>
    <w:rsid w:val="75F419BD"/>
    <w:rsid w:val="76163117"/>
    <w:rsid w:val="7720419D"/>
    <w:rsid w:val="77CF67BA"/>
    <w:rsid w:val="78372035"/>
    <w:rsid w:val="79102FB2"/>
    <w:rsid w:val="796450AB"/>
    <w:rsid w:val="7A61783D"/>
    <w:rsid w:val="7C607F1C"/>
    <w:rsid w:val="7D2A2F5A"/>
    <w:rsid w:val="7D7FA802"/>
    <w:rsid w:val="7DD8701C"/>
    <w:rsid w:val="7E1846B6"/>
    <w:rsid w:val="7E5FFCE1"/>
    <w:rsid w:val="7F5FF409"/>
    <w:rsid w:val="7F803FA7"/>
    <w:rsid w:val="7FC74E42"/>
    <w:rsid w:val="7FE720BD"/>
    <w:rsid w:val="7FF955DF"/>
    <w:rsid w:val="7FFF124B"/>
    <w:rsid w:val="E6A451E9"/>
    <w:rsid w:val="F52F44C0"/>
    <w:rsid w:val="FBFD0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unhideWhenUsed/>
    <w:qFormat/>
    <w:uiPriority w:val="0"/>
    <w:pPr>
      <w:keepNext/>
      <w:keepLines/>
      <w:outlineLvl w:val="1"/>
    </w:pPr>
    <w:rPr>
      <w:rFonts w:ascii="仿宋_GB2312" w:hAnsi="仿宋_GB231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rFonts w:eastAsia="仿宋"/>
      <w:sz w:val="32"/>
    </w:rPr>
  </w:style>
  <w:style w:type="paragraph" w:styleId="4">
    <w:name w:val="Body Text"/>
    <w:basedOn w:val="1"/>
    <w:qFormat/>
    <w:uiPriority w:val="0"/>
    <w:rPr>
      <w:rFonts w:ascii="宋体" w:hAnsi="宋体" w:eastAsia="宋体" w:cs="宋体"/>
      <w:szCs w:val="32"/>
      <w:lang w:val="zh-CN" w:bidi="zh-CN"/>
    </w:rPr>
  </w:style>
  <w:style w:type="paragraph" w:styleId="5">
    <w:name w:val="Body Text Indent"/>
    <w:basedOn w:val="1"/>
    <w:next w:val="3"/>
    <w:semiHidden/>
    <w:qFormat/>
    <w:uiPriority w:val="99"/>
    <w:pPr>
      <w:spacing w:after="120"/>
      <w:ind w:left="420" w:leftChars="200"/>
    </w:pPr>
  </w:style>
  <w:style w:type="paragraph" w:styleId="6">
    <w:name w:val="Plain Text"/>
    <w:basedOn w:val="1"/>
    <w:qFormat/>
    <w:uiPriority w:val="0"/>
    <w:rPr>
      <w:rFonts w:ascii="宋体" w:hAnsi="Courier New" w:eastAsia="宋体"/>
      <w:kern w:val="0"/>
      <w:sz w:val="20"/>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29"/>
    <w:qFormat/>
    <w:uiPriority w:val="0"/>
    <w:pPr>
      <w:tabs>
        <w:tab w:val="center" w:pos="4153"/>
        <w:tab w:val="right" w:pos="8306"/>
      </w:tabs>
      <w:snapToGrid w:val="0"/>
      <w:jc w:val="center"/>
    </w:pPr>
    <w:rPr>
      <w:sz w:val="18"/>
      <w:szCs w:val="18"/>
    </w:rPr>
  </w:style>
  <w:style w:type="paragraph" w:styleId="9">
    <w:name w:val="Body Text First Indent"/>
    <w:basedOn w:val="4"/>
    <w:qFormat/>
    <w:uiPriority w:val="0"/>
    <w:pPr>
      <w:ind w:firstLine="420" w:firstLineChars="100"/>
    </w:pPr>
  </w:style>
  <w:style w:type="paragraph" w:styleId="10">
    <w:name w:val="Body Text First Indent 2"/>
    <w:basedOn w:val="5"/>
    <w:next w:val="9"/>
    <w:qFormat/>
    <w:uiPriority w:val="99"/>
    <w:pPr>
      <w:ind w:firstLine="420" w:firstLineChars="200"/>
    </w:pPr>
    <w:rPr>
      <w:rFonts w:ascii="Calibri" w:hAnsi="Calibri"/>
    </w:rPr>
  </w:style>
  <w:style w:type="paragraph" w:customStyle="1" w:styleId="13">
    <w:name w:val="Table Text"/>
    <w:basedOn w:val="1"/>
    <w:semiHidden/>
    <w:qFormat/>
    <w:uiPriority w:val="0"/>
    <w:pPr>
      <w:spacing w:before="183" w:line="0" w:lineRule="atLeast"/>
      <w:jc w:val="center"/>
    </w:pPr>
    <w:rPr>
      <w:rFonts w:ascii="宋体" w:hAnsi="宋体" w:eastAsia="宋体" w:cs="宋体"/>
      <w:sz w:val="19"/>
      <w:szCs w:val="19"/>
      <w:lang w:eastAsia="en-US"/>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_Style 1"/>
    <w:qFormat/>
    <w:uiPriority w:val="0"/>
    <w:pPr>
      <w:widowControl w:val="0"/>
      <w:jc w:val="both"/>
    </w:pPr>
    <w:rPr>
      <w:rFonts w:ascii="Calibri" w:hAnsi="Calibri" w:eastAsia="宋体" w:cs="Times New Roman"/>
      <w:kern w:val="2"/>
      <w:sz w:val="21"/>
      <w:szCs w:val="22"/>
      <w:lang w:val="en-US" w:eastAsia="zh-CN" w:bidi="ar-SA"/>
    </w:rPr>
  </w:style>
  <w:style w:type="character" w:customStyle="1" w:styleId="16">
    <w:name w:val="font11"/>
    <w:basedOn w:val="12"/>
    <w:qFormat/>
    <w:uiPriority w:val="0"/>
    <w:rPr>
      <w:rFonts w:hint="eastAsia" w:ascii="黑体" w:hAnsi="宋体" w:eastAsia="黑体" w:cs="黑体"/>
      <w:b/>
      <w:bCs/>
      <w:color w:val="000000"/>
      <w:sz w:val="20"/>
      <w:szCs w:val="20"/>
      <w:u w:val="none"/>
    </w:rPr>
  </w:style>
  <w:style w:type="character" w:customStyle="1" w:styleId="17">
    <w:name w:val="font41"/>
    <w:basedOn w:val="12"/>
    <w:qFormat/>
    <w:uiPriority w:val="0"/>
    <w:rPr>
      <w:rFonts w:ascii="楷体_GB2312" w:eastAsia="楷体_GB2312" w:cs="楷体_GB2312"/>
      <w:b/>
      <w:bCs/>
      <w:color w:val="000000"/>
      <w:sz w:val="20"/>
      <w:szCs w:val="20"/>
      <w:u w:val="none"/>
    </w:rPr>
  </w:style>
  <w:style w:type="character" w:customStyle="1" w:styleId="18">
    <w:name w:val="font21"/>
    <w:basedOn w:val="12"/>
    <w:qFormat/>
    <w:uiPriority w:val="0"/>
    <w:rPr>
      <w:rFonts w:hint="eastAsia" w:ascii="宋体" w:hAnsi="宋体" w:eastAsia="宋体" w:cs="宋体"/>
      <w:color w:val="000000"/>
      <w:sz w:val="18"/>
      <w:szCs w:val="18"/>
      <w:u w:val="none"/>
    </w:rPr>
  </w:style>
  <w:style w:type="character" w:customStyle="1" w:styleId="19">
    <w:name w:val="font91"/>
    <w:basedOn w:val="12"/>
    <w:qFormat/>
    <w:uiPriority w:val="0"/>
    <w:rPr>
      <w:rFonts w:hint="eastAsia" w:ascii="仿宋_GB2312" w:eastAsia="仿宋_GB2312" w:cs="仿宋_GB2312"/>
      <w:color w:val="000000"/>
      <w:sz w:val="16"/>
      <w:szCs w:val="16"/>
      <w:u w:val="none"/>
    </w:rPr>
  </w:style>
  <w:style w:type="character" w:customStyle="1" w:styleId="20">
    <w:name w:val="font121"/>
    <w:basedOn w:val="12"/>
    <w:qFormat/>
    <w:uiPriority w:val="0"/>
    <w:rPr>
      <w:rFonts w:hint="default" w:ascii="Times New Roman" w:hAnsi="Times New Roman" w:cs="Times New Roman"/>
      <w:color w:val="000000"/>
      <w:sz w:val="16"/>
      <w:szCs w:val="16"/>
      <w:u w:val="none"/>
    </w:rPr>
  </w:style>
  <w:style w:type="character" w:customStyle="1" w:styleId="21">
    <w:name w:val="NormalCharacter"/>
    <w:basedOn w:val="12"/>
    <w:semiHidden/>
    <w:qFormat/>
    <w:uiPriority w:val="0"/>
    <w:rPr>
      <w:rFonts w:ascii="Calibri" w:hAnsi="Calibri"/>
      <w:kern w:val="2"/>
      <w:sz w:val="21"/>
      <w:szCs w:val="24"/>
      <w:lang w:val="en-US" w:eastAsia="zh-CN" w:bidi="ar-SA"/>
    </w:rPr>
  </w:style>
  <w:style w:type="character" w:customStyle="1" w:styleId="22">
    <w:name w:val="font31"/>
    <w:basedOn w:val="12"/>
    <w:qFormat/>
    <w:uiPriority w:val="0"/>
    <w:rPr>
      <w:rFonts w:hint="eastAsia" w:ascii="宋体" w:hAnsi="宋体" w:eastAsia="宋体" w:cs="宋体"/>
      <w:color w:val="000000"/>
      <w:sz w:val="18"/>
      <w:szCs w:val="18"/>
      <w:u w:val="none"/>
    </w:rPr>
  </w:style>
  <w:style w:type="character" w:customStyle="1" w:styleId="23">
    <w:name w:val="font51"/>
    <w:basedOn w:val="12"/>
    <w:qFormat/>
    <w:uiPriority w:val="0"/>
    <w:rPr>
      <w:rFonts w:hint="eastAsia" w:ascii="宋体" w:hAnsi="宋体" w:eastAsia="宋体" w:cs="宋体"/>
      <w:b/>
      <w:bCs/>
      <w:color w:val="000000"/>
      <w:sz w:val="18"/>
      <w:szCs w:val="18"/>
      <w:u w:val="none"/>
    </w:rPr>
  </w:style>
  <w:style w:type="character" w:customStyle="1" w:styleId="24">
    <w:name w:val="font61"/>
    <w:basedOn w:val="12"/>
    <w:qFormat/>
    <w:uiPriority w:val="0"/>
    <w:rPr>
      <w:rFonts w:hint="eastAsia" w:ascii="宋体" w:hAnsi="宋体" w:eastAsia="宋体" w:cs="宋体"/>
      <w:color w:val="000000"/>
      <w:sz w:val="18"/>
      <w:szCs w:val="18"/>
      <w:u w:val="none"/>
    </w:rPr>
  </w:style>
  <w:style w:type="character" w:customStyle="1" w:styleId="25">
    <w:name w:val="font71"/>
    <w:basedOn w:val="12"/>
    <w:qFormat/>
    <w:uiPriority w:val="0"/>
    <w:rPr>
      <w:rFonts w:hint="default" w:ascii="Times New Roman" w:hAnsi="Times New Roman" w:cs="Times New Roman"/>
      <w:color w:val="000000"/>
      <w:sz w:val="16"/>
      <w:szCs w:val="16"/>
      <w:u w:val="none"/>
    </w:rPr>
  </w:style>
  <w:style w:type="character" w:customStyle="1" w:styleId="26">
    <w:name w:val="font101"/>
    <w:basedOn w:val="12"/>
    <w:qFormat/>
    <w:uiPriority w:val="0"/>
    <w:rPr>
      <w:rFonts w:hint="default" w:ascii="仿宋_GB2312" w:eastAsia="仿宋_GB2312" w:cs="仿宋_GB2312"/>
      <w:color w:val="000000"/>
      <w:sz w:val="16"/>
      <w:szCs w:val="16"/>
      <w:u w:val="none"/>
    </w:rPr>
  </w:style>
  <w:style w:type="character" w:customStyle="1" w:styleId="27">
    <w:name w:val="font141"/>
    <w:basedOn w:val="12"/>
    <w:qFormat/>
    <w:uiPriority w:val="0"/>
    <w:rPr>
      <w:rFonts w:hint="default" w:ascii="Times New Roman" w:hAnsi="Times New Roman" w:cs="Times New Roman"/>
      <w:color w:val="000000"/>
      <w:sz w:val="16"/>
      <w:szCs w:val="16"/>
      <w:u w:val="none"/>
    </w:rPr>
  </w:style>
  <w:style w:type="character" w:customStyle="1" w:styleId="28">
    <w:name w:val="font151"/>
    <w:basedOn w:val="12"/>
    <w:qFormat/>
    <w:uiPriority w:val="0"/>
    <w:rPr>
      <w:rFonts w:hint="default" w:ascii="仿宋_GB2312" w:eastAsia="仿宋_GB2312" w:cs="仿宋_GB2312"/>
      <w:color w:val="000000"/>
      <w:sz w:val="16"/>
      <w:szCs w:val="16"/>
      <w:u w:val="none"/>
    </w:rPr>
  </w:style>
  <w:style w:type="character" w:customStyle="1" w:styleId="29">
    <w:name w:val="页眉 字符"/>
    <w:basedOn w:val="12"/>
    <w:link w:val="8"/>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1899</Words>
  <Characters>2133</Characters>
  <Lines>110</Lines>
  <Paragraphs>30</Paragraphs>
  <TotalTime>0</TotalTime>
  <ScaleCrop>false</ScaleCrop>
  <LinksUpToDate>false</LinksUpToDate>
  <CharactersWithSpaces>2136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2024-03-10T19:04:00Z</dcterms:created>
  <dc:creator>Qin</dc:creator>
  <cp:lastModifiedBy>刘水清</cp:lastModifiedBy>
  <cp:lastPrinted>2025-03-22T11:37:00Z</cp:lastPrinted>
  <dcterms:modified xsi:type="dcterms:W3CDTF">2025-03-27T10:34:56Z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7BF061CF096D427D8883FBC945ED7D14_13</vt:lpwstr>
  </property>
  <property fmtid="{D5CDD505-2E9C-101B-9397-08002B2CF9AE}" pid="4" name="KSOTemplateDocerSaveRecord">
    <vt:lpwstr>eyJoZGlkIjoiZWVkNzFmYmU3ZmFiNTI4YTExMTUxMzU0YWNhNmVlYWQiLCJ1c2VySWQiOiIxNTU4MDYwODYxIn0=</vt:lpwstr>
  </property>
</Properties>
</file>