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highlight w:val="none"/>
        </w:rPr>
      </w:pPr>
    </w:p>
    <w:p>
      <w:pPr>
        <w:spacing w:line="540" w:lineRule="exact"/>
        <w:jc w:val="both"/>
        <w:rPr>
          <w:rFonts w:hint="default" w:ascii="Times New Roman" w:hAnsi="Times New Roman" w:eastAsia="华文中宋" w:cs="Times New Roman"/>
          <w:b/>
          <w:kern w:val="0"/>
          <w:sz w:val="52"/>
          <w:szCs w:val="52"/>
          <w:highlight w:val="none"/>
        </w:rPr>
      </w:pPr>
    </w:p>
    <w:p>
      <w:pPr>
        <w:spacing w:line="540" w:lineRule="exact"/>
        <w:jc w:val="center"/>
        <w:rPr>
          <w:rFonts w:hint="default" w:ascii="Times New Roman" w:hAnsi="Times New Roman" w:eastAsia="华文中宋" w:cs="Times New Roman"/>
          <w:b/>
          <w:kern w:val="0"/>
          <w:sz w:val="52"/>
          <w:szCs w:val="52"/>
          <w:highlight w:val="none"/>
        </w:rPr>
      </w:pPr>
    </w:p>
    <w:p>
      <w:pPr>
        <w:spacing w:line="540" w:lineRule="exact"/>
        <w:jc w:val="center"/>
        <w:rPr>
          <w:rFonts w:hint="default" w:ascii="Times New Roman" w:hAnsi="Times New Roman" w:eastAsia="华文中宋" w:cs="Times New Roman"/>
          <w:b/>
          <w:kern w:val="0"/>
          <w:sz w:val="52"/>
          <w:szCs w:val="52"/>
          <w:highlight w:val="none"/>
        </w:rPr>
      </w:pPr>
    </w:p>
    <w:p>
      <w:pPr>
        <w:spacing w:line="540" w:lineRule="exact"/>
        <w:jc w:val="center"/>
        <w:rPr>
          <w:rFonts w:hint="default" w:ascii="Times New Roman" w:hAnsi="Times New Roman" w:eastAsia="方正小标宋_GBK" w:cs="Times New Roman"/>
          <w:kern w:val="0"/>
          <w:sz w:val="48"/>
          <w:szCs w:val="48"/>
          <w:highlight w:val="none"/>
        </w:rPr>
      </w:pPr>
      <w:r>
        <w:rPr>
          <w:rFonts w:hint="default" w:ascii="Times New Roman" w:hAnsi="Times New Roman" w:eastAsia="方正小标宋_GBK" w:cs="Times New Roman"/>
          <w:kern w:val="0"/>
          <w:sz w:val="48"/>
          <w:szCs w:val="48"/>
          <w:highlight w:val="none"/>
          <w:lang w:val="en-US" w:eastAsia="zh-CN"/>
        </w:rPr>
        <w:t>自治区农业生产发展资金</w:t>
      </w:r>
      <w:r>
        <w:rPr>
          <w:rFonts w:hint="default" w:ascii="Times New Roman" w:hAnsi="Times New Roman" w:eastAsia="方正小标宋_GBK" w:cs="Times New Roman"/>
          <w:kern w:val="0"/>
          <w:sz w:val="48"/>
          <w:szCs w:val="48"/>
          <w:highlight w:val="none"/>
        </w:rPr>
        <w:t>资金项目支出绩效评价报告</w:t>
      </w:r>
    </w:p>
    <w:p>
      <w:pPr>
        <w:spacing w:line="540" w:lineRule="exact"/>
        <w:jc w:val="center"/>
        <w:rPr>
          <w:rFonts w:hint="default" w:ascii="Times New Roman" w:hAnsi="Times New Roman" w:eastAsia="华文中宋" w:cs="Times New Roman"/>
          <w:b/>
          <w:kern w:val="0"/>
          <w:sz w:val="52"/>
          <w:szCs w:val="52"/>
          <w:highlight w:val="none"/>
        </w:rPr>
      </w:pPr>
    </w:p>
    <w:p>
      <w:pPr>
        <w:spacing w:line="540" w:lineRule="exact"/>
        <w:jc w:val="center"/>
        <w:rPr>
          <w:rFonts w:hint="default" w:ascii="Times New Roman" w:hAnsi="Times New Roman" w:eastAsia="仿宋_GB2312" w:cs="Times New Roman"/>
          <w:kern w:val="0"/>
          <w:sz w:val="36"/>
          <w:szCs w:val="36"/>
          <w:highlight w:val="none"/>
        </w:rPr>
      </w:pPr>
      <w:r>
        <w:rPr>
          <w:rFonts w:hint="default" w:ascii="Times New Roman" w:hAnsi="Times New Roman" w:eastAsia="仿宋_GB2312" w:cs="Times New Roman"/>
          <w:kern w:val="0"/>
          <w:sz w:val="36"/>
          <w:szCs w:val="36"/>
          <w:highlight w:val="none"/>
        </w:rPr>
        <w:t>（20</w:t>
      </w:r>
      <w:r>
        <w:rPr>
          <w:rFonts w:hint="default" w:ascii="Times New Roman" w:hAnsi="Times New Roman" w:eastAsia="仿宋_GB2312" w:cs="Times New Roman"/>
          <w:kern w:val="0"/>
          <w:sz w:val="36"/>
          <w:szCs w:val="36"/>
          <w:highlight w:val="none"/>
          <w:lang w:val="en-US" w:eastAsia="zh-CN"/>
        </w:rPr>
        <w:t>2</w:t>
      </w:r>
      <w:r>
        <w:rPr>
          <w:rFonts w:hint="eastAsia" w:eastAsia="仿宋_GB2312" w:cs="Times New Roman"/>
          <w:kern w:val="0"/>
          <w:sz w:val="36"/>
          <w:szCs w:val="36"/>
          <w:highlight w:val="none"/>
          <w:lang w:val="en-US" w:eastAsia="zh-CN"/>
        </w:rPr>
        <w:t>4</w:t>
      </w:r>
      <w:r>
        <w:rPr>
          <w:rFonts w:hint="default" w:ascii="Times New Roman" w:hAnsi="Times New Roman" w:eastAsia="仿宋_GB2312" w:cs="Times New Roman"/>
          <w:kern w:val="0"/>
          <w:sz w:val="36"/>
          <w:szCs w:val="36"/>
          <w:highlight w:val="none"/>
        </w:rPr>
        <w:t>年度）</w:t>
      </w:r>
    </w:p>
    <w:p>
      <w:pPr>
        <w:spacing w:line="540" w:lineRule="exact"/>
        <w:jc w:val="center"/>
        <w:rPr>
          <w:rFonts w:hint="default" w:ascii="Times New Roman" w:hAnsi="Times New Roman" w:eastAsia="仿宋_GB2312" w:cs="Times New Roman"/>
          <w:kern w:val="0"/>
          <w:sz w:val="30"/>
          <w:szCs w:val="30"/>
          <w:highlight w:val="none"/>
        </w:rPr>
      </w:pPr>
    </w:p>
    <w:p>
      <w:pPr>
        <w:spacing w:line="540" w:lineRule="exact"/>
        <w:jc w:val="center"/>
        <w:rPr>
          <w:rFonts w:hint="default" w:ascii="Times New Roman" w:hAnsi="Times New Roman" w:eastAsia="仿宋_GB2312" w:cs="Times New Roman"/>
          <w:kern w:val="0"/>
          <w:sz w:val="30"/>
          <w:szCs w:val="30"/>
          <w:highlight w:val="none"/>
        </w:rPr>
      </w:pPr>
    </w:p>
    <w:p>
      <w:pPr>
        <w:spacing w:line="540" w:lineRule="exact"/>
        <w:jc w:val="center"/>
        <w:rPr>
          <w:rFonts w:hint="default" w:ascii="Times New Roman" w:hAnsi="Times New Roman" w:eastAsia="仿宋_GB2312" w:cs="Times New Roman"/>
          <w:kern w:val="0"/>
          <w:sz w:val="30"/>
          <w:szCs w:val="30"/>
          <w:highlight w:val="none"/>
        </w:rPr>
      </w:pPr>
    </w:p>
    <w:p>
      <w:pPr>
        <w:spacing w:line="540" w:lineRule="exact"/>
        <w:jc w:val="center"/>
        <w:rPr>
          <w:rFonts w:hint="default" w:ascii="Times New Roman" w:hAnsi="Times New Roman" w:eastAsia="仿宋_GB2312" w:cs="Times New Roman"/>
          <w:kern w:val="0"/>
          <w:sz w:val="30"/>
          <w:szCs w:val="30"/>
          <w:highlight w:val="none"/>
        </w:rPr>
      </w:pPr>
    </w:p>
    <w:p>
      <w:pPr>
        <w:spacing w:line="540" w:lineRule="exact"/>
        <w:rPr>
          <w:rFonts w:hint="default" w:ascii="Times New Roman" w:hAnsi="Times New Roman" w:eastAsia="仿宋_GB2312" w:cs="Times New Roman"/>
          <w:kern w:val="0"/>
          <w:sz w:val="30"/>
          <w:szCs w:val="30"/>
          <w:highlight w:val="none"/>
        </w:rPr>
      </w:pPr>
    </w:p>
    <w:p>
      <w:pPr>
        <w:spacing w:line="700" w:lineRule="exact"/>
        <w:ind w:left="3236" w:leftChars="684" w:hanging="1800" w:hangingChars="500"/>
        <w:jc w:val="left"/>
        <w:rPr>
          <w:rFonts w:hint="default" w:ascii="Times New Roman" w:hAnsi="Times New Roman" w:eastAsia="仿宋_GB2312" w:cs="Times New Roman"/>
          <w:kern w:val="0"/>
          <w:sz w:val="36"/>
          <w:szCs w:val="36"/>
          <w:highlight w:val="none"/>
          <w:lang w:val="en-US" w:eastAsia="zh-CN"/>
        </w:rPr>
      </w:pPr>
      <w:r>
        <w:rPr>
          <w:rFonts w:hint="default" w:ascii="Times New Roman" w:hAnsi="Times New Roman" w:eastAsia="仿宋_GB2312" w:cs="Times New Roman"/>
          <w:kern w:val="0"/>
          <w:sz w:val="36"/>
          <w:szCs w:val="36"/>
          <w:highlight w:val="none"/>
        </w:rPr>
        <w:t>项目名称：</w:t>
      </w:r>
      <w:r>
        <w:rPr>
          <w:rFonts w:hint="default" w:ascii="Times New Roman" w:hAnsi="Times New Roman" w:eastAsia="仿宋_GB2312" w:cs="Times New Roman"/>
          <w:kern w:val="0"/>
          <w:sz w:val="36"/>
          <w:szCs w:val="36"/>
          <w:highlight w:val="none"/>
          <w:lang w:val="en-US" w:eastAsia="zh-CN"/>
        </w:rPr>
        <w:t>新疆农业农村大数据平台应用场景建设项目</w:t>
      </w:r>
    </w:p>
    <w:p>
      <w:pPr>
        <w:spacing w:line="700" w:lineRule="exact"/>
        <w:ind w:left="4316" w:leftChars="684" w:hanging="2880" w:hangingChars="800"/>
        <w:jc w:val="left"/>
        <w:rPr>
          <w:rFonts w:hint="eastAsia" w:ascii="Times New Roman" w:hAnsi="Times New Roman" w:eastAsia="仿宋_GB2312" w:cs="Times New Roman"/>
          <w:kern w:val="0"/>
          <w:sz w:val="36"/>
          <w:szCs w:val="36"/>
          <w:highlight w:val="none"/>
          <w:lang w:val="en-US" w:eastAsia="zh-CN"/>
        </w:rPr>
      </w:pPr>
      <w:r>
        <w:rPr>
          <w:rFonts w:hint="default" w:ascii="Times New Roman" w:hAnsi="Times New Roman" w:eastAsia="仿宋_GB2312" w:cs="Times New Roman"/>
          <w:kern w:val="0"/>
          <w:sz w:val="36"/>
          <w:szCs w:val="36"/>
          <w:highlight w:val="none"/>
        </w:rPr>
        <w:t>实施单位（公章）：</w:t>
      </w:r>
      <w:r>
        <w:rPr>
          <w:rFonts w:hint="eastAsia" w:eastAsia="仿宋_GB2312" w:cs="Times New Roman"/>
          <w:kern w:val="0"/>
          <w:sz w:val="36"/>
          <w:szCs w:val="36"/>
          <w:highlight w:val="none"/>
          <w:lang w:eastAsia="zh-CN"/>
        </w:rPr>
        <w:t>新疆维吾尔自治区农业农村厅信息中心</w:t>
      </w:r>
    </w:p>
    <w:p>
      <w:pPr>
        <w:spacing w:line="700" w:lineRule="exact"/>
        <w:ind w:firstLine="1440" w:firstLineChars="400"/>
        <w:jc w:val="left"/>
        <w:rPr>
          <w:rFonts w:hint="default" w:ascii="Times New Roman" w:hAnsi="Times New Roman" w:eastAsia="仿宋_GB2312" w:cs="Times New Roman"/>
          <w:kern w:val="0"/>
          <w:sz w:val="36"/>
          <w:szCs w:val="36"/>
          <w:highlight w:val="none"/>
          <w:lang w:val="en-US" w:eastAsia="zh-CN"/>
        </w:rPr>
      </w:pPr>
      <w:r>
        <w:rPr>
          <w:rFonts w:hint="default" w:ascii="Times New Roman" w:hAnsi="Times New Roman" w:eastAsia="仿宋_GB2312" w:cs="Times New Roman"/>
          <w:kern w:val="0"/>
          <w:sz w:val="36"/>
          <w:szCs w:val="36"/>
          <w:highlight w:val="none"/>
        </w:rPr>
        <w:t>主管部门（公章）：</w:t>
      </w:r>
      <w:r>
        <w:rPr>
          <w:rFonts w:hint="eastAsia" w:eastAsia="仿宋_GB2312" w:cs="Times New Roman"/>
          <w:kern w:val="0"/>
          <w:sz w:val="36"/>
          <w:szCs w:val="36"/>
          <w:highlight w:val="none"/>
          <w:lang w:val="en-US" w:eastAsia="zh-CN"/>
        </w:rPr>
        <w:t>自治区农业农村厅</w:t>
      </w:r>
    </w:p>
    <w:p>
      <w:pPr>
        <w:spacing w:line="700" w:lineRule="exact"/>
        <w:ind w:firstLine="1440" w:firstLineChars="400"/>
        <w:jc w:val="left"/>
        <w:rPr>
          <w:rFonts w:hint="eastAsia" w:ascii="Times New Roman" w:hAnsi="Times New Roman" w:eastAsia="仿宋_GB2312" w:cs="Times New Roman"/>
          <w:kern w:val="0"/>
          <w:sz w:val="36"/>
          <w:szCs w:val="36"/>
          <w:highlight w:val="none"/>
          <w:lang w:val="en-US" w:eastAsia="zh-CN"/>
        </w:rPr>
      </w:pPr>
      <w:r>
        <w:rPr>
          <w:rFonts w:hint="default" w:ascii="Times New Roman" w:hAnsi="Times New Roman" w:eastAsia="仿宋_GB2312" w:cs="Times New Roman"/>
          <w:kern w:val="0"/>
          <w:sz w:val="36"/>
          <w:szCs w:val="36"/>
          <w:highlight w:val="none"/>
        </w:rPr>
        <w:t>项目负责人（签章）：</w:t>
      </w:r>
      <w:r>
        <w:rPr>
          <w:rFonts w:hint="eastAsia" w:eastAsia="仿宋_GB2312" w:cs="Times New Roman"/>
          <w:kern w:val="0"/>
          <w:sz w:val="36"/>
          <w:szCs w:val="36"/>
          <w:highlight w:val="none"/>
          <w:lang w:eastAsia="zh-CN"/>
        </w:rPr>
        <w:t>周小疆</w:t>
      </w:r>
    </w:p>
    <w:p>
      <w:pPr>
        <w:spacing w:line="700" w:lineRule="exact"/>
        <w:ind w:firstLine="1440" w:firstLineChars="400"/>
        <w:jc w:val="left"/>
        <w:rPr>
          <w:rFonts w:hint="default" w:ascii="Times New Roman" w:hAnsi="Times New Roman" w:eastAsia="仿宋_GB2312" w:cs="Times New Roman"/>
          <w:kern w:val="0"/>
          <w:sz w:val="36"/>
          <w:szCs w:val="36"/>
          <w:highlight w:val="none"/>
        </w:rPr>
      </w:pPr>
      <w:r>
        <w:rPr>
          <w:rFonts w:hint="default" w:ascii="Times New Roman" w:hAnsi="Times New Roman" w:eastAsia="仿宋_GB2312" w:cs="Times New Roman"/>
          <w:kern w:val="0"/>
          <w:sz w:val="36"/>
          <w:szCs w:val="36"/>
          <w:highlight w:val="none"/>
        </w:rPr>
        <w:t>填报时间：</w:t>
      </w:r>
      <w:r>
        <w:rPr>
          <w:rFonts w:hint="eastAsia" w:eastAsia="仿宋_GB2312" w:cs="Times New Roman"/>
          <w:kern w:val="0"/>
          <w:sz w:val="36"/>
          <w:szCs w:val="36"/>
          <w:highlight w:val="none"/>
          <w:lang w:val="en-US" w:eastAsia="zh-CN"/>
        </w:rPr>
        <w:t>2024</w:t>
      </w:r>
      <w:r>
        <w:rPr>
          <w:rFonts w:hint="default" w:ascii="Times New Roman" w:hAnsi="Times New Roman" w:eastAsia="仿宋_GB2312" w:cs="Times New Roman"/>
          <w:kern w:val="0"/>
          <w:sz w:val="36"/>
          <w:szCs w:val="36"/>
          <w:highlight w:val="none"/>
        </w:rPr>
        <w:t>年</w:t>
      </w:r>
      <w:r>
        <w:rPr>
          <w:rFonts w:hint="eastAsia" w:eastAsia="仿宋_GB2312" w:cs="Times New Roman"/>
          <w:kern w:val="0"/>
          <w:sz w:val="36"/>
          <w:szCs w:val="36"/>
          <w:highlight w:val="none"/>
          <w:lang w:val="en-US" w:eastAsia="zh-CN"/>
        </w:rPr>
        <w:t>2</w:t>
      </w:r>
      <w:r>
        <w:rPr>
          <w:rFonts w:hint="default" w:ascii="Times New Roman" w:hAnsi="Times New Roman" w:eastAsia="仿宋_GB2312" w:cs="Times New Roman"/>
          <w:kern w:val="0"/>
          <w:sz w:val="36"/>
          <w:szCs w:val="36"/>
          <w:highlight w:val="none"/>
        </w:rPr>
        <w:t>月</w:t>
      </w:r>
      <w:r>
        <w:rPr>
          <w:rFonts w:hint="eastAsia" w:eastAsia="仿宋_GB2312" w:cs="Times New Roman"/>
          <w:kern w:val="0"/>
          <w:sz w:val="36"/>
          <w:szCs w:val="36"/>
          <w:highlight w:val="none"/>
          <w:lang w:val="en-US" w:eastAsia="zh-CN"/>
        </w:rPr>
        <w:t>17</w:t>
      </w:r>
      <w:r>
        <w:rPr>
          <w:rFonts w:hint="default" w:ascii="Times New Roman" w:hAnsi="Times New Roman" w:eastAsia="仿宋_GB2312" w:cs="Times New Roman"/>
          <w:kern w:val="0"/>
          <w:sz w:val="36"/>
          <w:szCs w:val="36"/>
          <w:highlight w:val="none"/>
        </w:rPr>
        <w:t>日</w:t>
      </w:r>
    </w:p>
    <w:p>
      <w:pPr>
        <w:spacing w:line="540" w:lineRule="exact"/>
        <w:jc w:val="center"/>
        <w:rPr>
          <w:rFonts w:hint="default" w:ascii="Times New Roman" w:hAnsi="Times New Roman" w:eastAsia="仿宋_GB2312" w:cs="Times New Roman"/>
          <w:kern w:val="0"/>
          <w:sz w:val="30"/>
          <w:szCs w:val="30"/>
          <w:highlight w:val="none"/>
        </w:rPr>
      </w:pPr>
    </w:p>
    <w:p>
      <w:pPr>
        <w:rPr>
          <w:rFonts w:hint="default"/>
        </w:rPr>
      </w:pPr>
      <w:r>
        <w:rPr>
          <w:rFonts w:hint="default" w:ascii="Times New Roman" w:hAnsi="Times New Roman" w:eastAsia="黑体" w:cs="Times New Roman"/>
          <w:bCs/>
          <w:sz w:val="32"/>
          <w:szCs w:val="32"/>
          <w:highlight w:val="none"/>
        </w:rPr>
        <w:br w:type="page"/>
      </w:r>
    </w:p>
    <w:p>
      <w:pPr>
        <w:spacing w:line="600" w:lineRule="exact"/>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一、基本情况</w:t>
      </w:r>
    </w:p>
    <w:p>
      <w:pPr>
        <w:spacing w:line="600" w:lineRule="exact"/>
        <w:ind w:firstLine="641"/>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（一）项目概况</w:t>
      </w:r>
    </w:p>
    <w:p>
      <w:pPr>
        <w:spacing w:line="600" w:lineRule="exact"/>
        <w:ind w:firstLine="641"/>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1、项目背景</w:t>
      </w:r>
    </w:p>
    <w:p>
      <w:pPr>
        <w:keepNext w:val="0"/>
        <w:keepLines w:val="0"/>
        <w:pageBreakBefore w:val="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一是根据</w:t>
      </w:r>
      <w:r>
        <w:rPr>
          <w:rFonts w:hint="eastAsia" w:ascii="仿宋_GB2312" w:hAnsi="仿宋_GB2312" w:eastAsia="仿宋_GB2312" w:cs="仿宋_GB2312"/>
          <w:b w:val="0"/>
          <w:bCs/>
          <w:sz w:val="32"/>
          <w:szCs w:val="32"/>
          <w:lang w:val="en-US" w:eastAsia="zh-CN"/>
        </w:rPr>
        <w:t>新疆维吾尔自治区数字化发展局下达关于《自治区数字政府改革建设2023年工作要点》文件要求</w:t>
      </w:r>
      <w:r>
        <w:rPr>
          <w:rFonts w:hint="eastAsia" w:ascii="仿宋_GB2312" w:eastAsia="仿宋_GB2312"/>
          <w:sz w:val="32"/>
          <w:szCs w:val="32"/>
          <w:lang w:eastAsia="zh-CN"/>
        </w:rPr>
        <w:t>，其中，要求</w:t>
      </w:r>
      <w:r>
        <w:rPr>
          <w:rFonts w:hint="eastAsia" w:ascii="仿宋_GB2312" w:eastAsia="仿宋_GB2312"/>
          <w:sz w:val="32"/>
          <w:szCs w:val="32"/>
          <w:lang w:val="en-US" w:eastAsia="zh-CN"/>
        </w:rPr>
        <w:t>自治区</w:t>
      </w:r>
      <w:r>
        <w:rPr>
          <w:rFonts w:hint="eastAsia" w:ascii="仿宋_GB2312" w:hAnsi="仿宋_GB2312" w:eastAsia="仿宋_GB2312" w:cs="仿宋_GB2312"/>
          <w:b w:val="0"/>
          <w:bCs/>
          <w:sz w:val="32"/>
          <w:szCs w:val="32"/>
          <w:lang w:val="en-US" w:eastAsia="zh-CN"/>
        </w:rPr>
        <w:t>农业农村厅要持续优化完善农业农村大数据平台应用，深化业务数据应用场景，为全区农业农村高质量发展提供数据资源保障，需持续扩充数据，并开展大数据应用场景设计工作。信息中心主要职责：</w:t>
      </w:r>
      <w:r>
        <w:rPr>
          <w:rFonts w:hint="eastAsia" w:ascii="Times New Roman" w:hAnsi="Times New Roman" w:eastAsia="仿宋_GB2312"/>
          <w:b w:val="0"/>
          <w:bCs w:val="0"/>
          <w:sz w:val="32"/>
          <w:szCs w:val="32"/>
          <w:lang w:val="en-US" w:eastAsia="zh-CN"/>
        </w:rPr>
        <w:t>汇集全区小麦、棉花、玉米及特色等农作物的生产经营及空间分布数据，完善</w:t>
      </w:r>
      <w:r>
        <w:rPr>
          <w:rFonts w:hint="eastAsia" w:ascii="仿宋_GB2312" w:hAnsi="仿宋_GB2312" w:eastAsia="仿宋_GB2312" w:cs="仿宋_GB2312"/>
          <w:b w:val="0"/>
          <w:bCs/>
          <w:sz w:val="32"/>
          <w:szCs w:val="32"/>
          <w:lang w:val="en-US" w:eastAsia="zh-CN"/>
        </w:rPr>
        <w:t>农业农村大数据平台数据库。</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default" w:ascii="Times New Roman" w:hAnsi="Times New Roman" w:eastAsia="仿宋_GB2312"/>
          <w:b w:val="0"/>
          <w:bCs w:val="0"/>
          <w:sz w:val="32"/>
          <w:szCs w:val="32"/>
          <w:lang w:val="en-US" w:eastAsia="zh-CN"/>
        </w:rPr>
      </w:pPr>
      <w:r>
        <w:rPr>
          <w:rFonts w:hint="eastAsia" w:ascii="仿宋_GB2312" w:eastAsia="仿宋_GB2312"/>
          <w:sz w:val="32"/>
          <w:szCs w:val="32"/>
        </w:rPr>
        <w:t>二是</w:t>
      </w:r>
      <w:r>
        <w:rPr>
          <w:rFonts w:hint="eastAsia" w:ascii="仿宋_GB2312" w:hAnsi="仿宋_GB2312" w:eastAsia="仿宋_GB2312" w:cs="仿宋_GB2312"/>
          <w:b w:val="0"/>
          <w:bCs/>
          <w:sz w:val="32"/>
          <w:szCs w:val="32"/>
          <w:lang w:val="en-US" w:eastAsia="zh-CN"/>
        </w:rPr>
        <w:t>根据自治区委员会网信办《自治区2023年数字乡村发展工作实施方案》建设要求，明确提出持续深化信息系统建设与应用，建设完善新疆农业农村大数据平台，初步建成若干专题数据库和“一张图”应用场景展示</w:t>
      </w:r>
      <w:r>
        <w:rPr>
          <w:rFonts w:hint="eastAsia" w:ascii="仿宋_GB2312" w:hAnsi="Times New Roman" w:eastAsia="仿宋_GB2312" w:cs="Times New Roman"/>
          <w:sz w:val="32"/>
          <w:szCs w:val="32"/>
        </w:rPr>
        <w:t>文件精神为依据指导</w:t>
      </w:r>
      <w:r>
        <w:rPr>
          <w:rFonts w:hint="eastAsia" w:ascii="仿宋_GB2312" w:hAnsi="Times New Roman" w:eastAsia="仿宋_GB2312" w:cs="Times New Roman"/>
          <w:sz w:val="32"/>
          <w:szCs w:val="32"/>
          <w:lang w:eastAsia="zh-CN"/>
        </w:rPr>
        <w:t>。</w:t>
      </w:r>
      <w:r>
        <w:rPr>
          <w:rFonts w:hint="eastAsia" w:ascii="仿宋_GB2312" w:hAnsi="仿宋_GB2312" w:eastAsia="仿宋_GB2312" w:cs="仿宋_GB2312"/>
          <w:b w:val="0"/>
          <w:bCs/>
          <w:sz w:val="32"/>
          <w:szCs w:val="32"/>
          <w:lang w:val="en-US" w:eastAsia="zh-CN"/>
        </w:rPr>
        <w:t>信息中心主要职责：</w:t>
      </w:r>
      <w:r>
        <w:rPr>
          <w:rFonts w:hint="eastAsia" w:ascii="Times New Roman" w:hAnsi="Times New Roman" w:eastAsia="仿宋_GB2312"/>
          <w:b w:val="0"/>
          <w:bCs w:val="0"/>
          <w:sz w:val="32"/>
          <w:szCs w:val="32"/>
          <w:lang w:val="en-US" w:eastAsia="zh-CN"/>
        </w:rPr>
        <w:t>依托新疆农业农村大数据平台现有功能，开发新疆种植业专题图，集中展示全区种植业结构分布、生产进度、灾害情况、长势监测等内容。</w:t>
      </w:r>
    </w:p>
    <w:p>
      <w:pPr>
        <w:pStyle w:val="2"/>
        <w:keepNext w:val="0"/>
        <w:keepLines w:val="0"/>
        <w:pageBreakBefore w:val="0"/>
        <w:numPr>
          <w:ilvl w:val="0"/>
          <w:numId w:val="0"/>
        </w:numPr>
        <w:kinsoku/>
        <w:wordWrap/>
        <w:overflowPunct/>
        <w:topLinePunct w:val="0"/>
        <w:autoSpaceDE/>
        <w:autoSpaceDN/>
        <w:bidi w:val="0"/>
        <w:adjustRightInd/>
        <w:snapToGrid/>
        <w:spacing w:before="0" w:after="0" w:line="600" w:lineRule="exact"/>
        <w:ind w:firstLine="627" w:firstLineChars="200"/>
        <w:jc w:val="both"/>
        <w:textAlignment w:val="auto"/>
        <w:rPr>
          <w:rFonts w:hint="default" w:ascii="Times New Roman" w:hAnsi="Times New Roman" w:eastAsia="仿宋_GB2312" w:cs="Times New Roman"/>
          <w:b/>
          <w:bCs/>
          <w:kern w:val="2"/>
          <w:highlight w:val="none"/>
        </w:rPr>
      </w:pPr>
      <w:r>
        <w:rPr>
          <w:rStyle w:val="9"/>
          <w:rFonts w:hint="eastAsia" w:ascii="Times New Roman" w:hAnsi="Times New Roman" w:eastAsia="黑体" w:cs="Times New Roman"/>
          <w:b/>
          <w:bCs w:val="0"/>
          <w:spacing w:val="-4"/>
          <w:sz w:val="32"/>
          <w:szCs w:val="32"/>
          <w:highlight w:val="none"/>
          <w:lang w:val="en-US" w:eastAsia="zh-CN"/>
        </w:rPr>
        <w:t>2、</w:t>
      </w:r>
      <w:r>
        <w:rPr>
          <w:rFonts w:hint="default" w:ascii="Times New Roman" w:hAnsi="Times New Roman" w:eastAsia="仿宋_GB2312" w:cs="Times New Roman"/>
          <w:b/>
          <w:bCs/>
          <w:kern w:val="2"/>
          <w:highlight w:val="none"/>
        </w:rPr>
        <w:t>项目主要内容：</w:t>
      </w:r>
    </w:p>
    <w:p>
      <w:pPr>
        <w:pStyle w:val="2"/>
        <w:ind w:firstLine="640" w:firstLineChars="200"/>
        <w:jc w:val="left"/>
        <w:rPr>
          <w:rFonts w:hint="eastAsia" w:ascii="Times New Roman" w:hAnsi="Times New Roman" w:eastAsia="仿宋_GB2312" w:cs="Times New Roman"/>
          <w:b w:val="0"/>
          <w:bCs w:val="0"/>
          <w:kern w:val="2"/>
          <w:sz w:val="32"/>
          <w:szCs w:val="32"/>
          <w:highlight w:val="none"/>
          <w:lang w:val="en-US" w:eastAsia="zh-CN" w:bidi="ar-SA"/>
        </w:rPr>
      </w:pPr>
      <w:bookmarkStart w:id="0" w:name="OLE_LINK1"/>
      <w:r>
        <w:rPr>
          <w:rFonts w:hint="eastAsia" w:ascii="Times New Roman" w:hAnsi="Times New Roman" w:eastAsia="仿宋_GB2312" w:cs="Times New Roman"/>
          <w:b w:val="0"/>
          <w:bCs w:val="0"/>
          <w:kern w:val="2"/>
          <w:sz w:val="32"/>
          <w:szCs w:val="32"/>
          <w:highlight w:val="none"/>
          <w:lang w:val="en-US" w:eastAsia="zh-CN" w:bidi="ar-SA"/>
        </w:rPr>
        <w:t>(1)汇聚全区小麦、棉花、玉米及特色等农作物的生产经营及空间分布数据。</w:t>
      </w:r>
    </w:p>
    <w:p>
      <w:pPr>
        <w:pStyle w:val="2"/>
        <w:ind w:firstLine="640" w:firstLineChars="200"/>
        <w:jc w:val="left"/>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(2)依托新疆农业农村大数据平台现有功能，开发新疆种植业专题图，集中展示全区种植业结构分布、生产进度、灾害情况、长势监测等内容。</w:t>
      </w:r>
    </w:p>
    <w:bookmarkEnd w:id="0"/>
    <w:p>
      <w:pPr>
        <w:pStyle w:val="2"/>
        <w:ind w:firstLine="640" w:firstLineChars="200"/>
        <w:jc w:val="left"/>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项目实施情况：项目目前已经完成实际设立的目标，项目在实施过程中严格按照目标设立的各阶段任务进行开展工作，在前期立项过程中严格把质量关，建立安全防护机制，保证项目实施各阶段安全顺利进行。</w:t>
      </w:r>
    </w:p>
    <w:p>
      <w:pPr>
        <w:pStyle w:val="2"/>
        <w:ind w:firstLine="640" w:firstLineChars="200"/>
        <w:jc w:val="left"/>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本项目总投资</w:t>
      </w:r>
      <w:r>
        <w:rPr>
          <w:rFonts w:hint="eastAsia" w:ascii="Times New Roman" w:hAnsi="Times New Roman" w:eastAsia="仿宋_GB2312" w:cs="Times New Roman"/>
          <w:b w:val="0"/>
          <w:bCs w:val="0"/>
          <w:kern w:val="2"/>
          <w:sz w:val="32"/>
          <w:szCs w:val="32"/>
          <w:highlight w:val="none"/>
          <w:lang w:val="en-US" w:eastAsia="zh-CN" w:bidi="ar-SA"/>
        </w:rPr>
        <w:t>37.4</w:t>
      </w:r>
      <w:r>
        <w:rPr>
          <w:rFonts w:hint="default" w:ascii="Times New Roman" w:hAnsi="Times New Roman" w:eastAsia="仿宋_GB2312" w:cs="Times New Roman"/>
          <w:b w:val="0"/>
          <w:bCs w:val="0"/>
          <w:kern w:val="2"/>
          <w:sz w:val="32"/>
          <w:szCs w:val="32"/>
          <w:highlight w:val="none"/>
          <w:lang w:val="en-US" w:eastAsia="zh-CN" w:bidi="ar-SA"/>
        </w:rPr>
        <w:t>万元，其中：</w:t>
      </w:r>
      <w:r>
        <w:rPr>
          <w:rFonts w:hint="eastAsia" w:ascii="Times New Roman" w:hAnsi="Times New Roman" w:eastAsia="仿宋_GB2312" w:cs="Times New Roman"/>
          <w:b w:val="0"/>
          <w:bCs w:val="0"/>
          <w:kern w:val="2"/>
          <w:sz w:val="32"/>
          <w:szCs w:val="32"/>
          <w:highlight w:val="none"/>
          <w:lang w:val="en-US" w:eastAsia="zh-CN" w:bidi="ar-SA"/>
        </w:rPr>
        <w:t>其他资金37.4</w:t>
      </w:r>
      <w:r>
        <w:rPr>
          <w:rFonts w:hint="default" w:ascii="Times New Roman" w:hAnsi="Times New Roman" w:eastAsia="仿宋_GB2312" w:cs="Times New Roman"/>
          <w:b w:val="0"/>
          <w:bCs w:val="0"/>
          <w:kern w:val="2"/>
          <w:sz w:val="32"/>
          <w:szCs w:val="32"/>
          <w:highlight w:val="none"/>
          <w:lang w:val="en-US" w:eastAsia="zh-CN" w:bidi="ar-SA"/>
        </w:rPr>
        <w:t>万元。项目实际支出</w:t>
      </w:r>
      <w:r>
        <w:rPr>
          <w:rFonts w:hint="eastAsia" w:ascii="Times New Roman" w:hAnsi="Times New Roman" w:eastAsia="仿宋_GB2312" w:cs="Times New Roman"/>
          <w:b w:val="0"/>
          <w:bCs w:val="0"/>
          <w:kern w:val="2"/>
          <w:sz w:val="32"/>
          <w:szCs w:val="32"/>
          <w:highlight w:val="none"/>
          <w:lang w:val="en-US" w:eastAsia="zh-CN" w:bidi="ar-SA"/>
        </w:rPr>
        <w:t>37.4</w:t>
      </w:r>
      <w:r>
        <w:rPr>
          <w:rFonts w:hint="default" w:ascii="Times New Roman" w:hAnsi="Times New Roman" w:eastAsia="仿宋_GB2312" w:cs="Times New Roman"/>
          <w:b w:val="0"/>
          <w:bCs w:val="0"/>
          <w:kern w:val="2"/>
          <w:sz w:val="32"/>
          <w:szCs w:val="32"/>
          <w:highlight w:val="none"/>
          <w:lang w:val="en-US" w:eastAsia="zh-CN" w:bidi="ar-SA"/>
        </w:rPr>
        <w:t>万元，支出率为</w:t>
      </w:r>
      <w:r>
        <w:rPr>
          <w:rFonts w:hint="eastAsia" w:ascii="Times New Roman" w:hAnsi="Times New Roman" w:eastAsia="仿宋_GB2312" w:cs="Times New Roman"/>
          <w:b w:val="0"/>
          <w:bCs w:val="0"/>
          <w:kern w:val="2"/>
          <w:sz w:val="32"/>
          <w:szCs w:val="32"/>
          <w:highlight w:val="none"/>
          <w:lang w:val="en-US" w:eastAsia="zh-CN" w:bidi="ar-SA"/>
        </w:rPr>
        <w:t>100</w:t>
      </w:r>
      <w:r>
        <w:rPr>
          <w:rFonts w:hint="default" w:ascii="Times New Roman" w:hAnsi="Times New Roman" w:eastAsia="仿宋_GB2312" w:cs="Times New Roman"/>
          <w:b w:val="0"/>
          <w:bCs w:val="0"/>
          <w:kern w:val="2"/>
          <w:sz w:val="32"/>
          <w:szCs w:val="32"/>
          <w:highlight w:val="none"/>
          <w:lang w:val="en-US" w:eastAsia="zh-CN" w:bidi="ar-SA"/>
        </w:rPr>
        <w:t>%。</w:t>
      </w:r>
    </w:p>
    <w:p>
      <w:pPr>
        <w:keepNext w:val="0"/>
        <w:keepLines w:val="0"/>
        <w:pageBreakBefore w:val="0"/>
        <w:kinsoku/>
        <w:wordWrap/>
        <w:overflowPunct/>
        <w:topLinePunct w:val="0"/>
        <w:autoSpaceDE/>
        <w:autoSpaceDN/>
        <w:bidi w:val="0"/>
        <w:adjustRightInd/>
        <w:snapToGrid/>
        <w:spacing w:line="600" w:lineRule="exact"/>
        <w:ind w:left="0" w:firstLine="643" w:firstLineChars="200"/>
        <w:textAlignment w:val="auto"/>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3、资金投入和使用情况</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32"/>
          <w:szCs w:val="32"/>
          <w:highlight w:val="none"/>
        </w:rPr>
        <w:t>（1）资金安排</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项目总投资</w:t>
      </w:r>
      <w:r>
        <w:rPr>
          <w:rFonts w:hint="eastAsia" w:eastAsia="仿宋_GB2312" w:cs="Times New Roman"/>
          <w:b w:val="0"/>
          <w:bCs w:val="0"/>
          <w:kern w:val="2"/>
          <w:sz w:val="32"/>
          <w:szCs w:val="32"/>
          <w:highlight w:val="none"/>
          <w:lang w:val="en-US" w:eastAsia="zh-CN" w:bidi="ar-SA"/>
        </w:rPr>
        <w:t>37.4</w:t>
      </w:r>
      <w:r>
        <w:rPr>
          <w:rFonts w:hint="default" w:ascii="Times New Roman" w:hAnsi="Times New Roman" w:eastAsia="仿宋_GB2312" w:cs="Times New Roman"/>
          <w:b w:val="0"/>
          <w:bCs w:val="0"/>
          <w:kern w:val="2"/>
          <w:sz w:val="32"/>
          <w:szCs w:val="32"/>
          <w:highlight w:val="none"/>
          <w:lang w:val="en-US" w:eastAsia="zh-CN" w:bidi="ar-SA"/>
        </w:rPr>
        <w:t>万元，按照单位财务制度等相关规定，资金支出符合</w:t>
      </w:r>
      <w:r>
        <w:rPr>
          <w:rFonts w:hint="eastAsia" w:eastAsia="仿宋_GB2312" w:cs="Times New Roman"/>
          <w:b w:val="0"/>
          <w:bCs w:val="0"/>
          <w:kern w:val="2"/>
          <w:sz w:val="32"/>
          <w:szCs w:val="32"/>
          <w:highlight w:val="none"/>
          <w:lang w:val="en-US" w:eastAsia="zh-CN" w:bidi="ar-SA"/>
        </w:rPr>
        <w:t>37.4万</w:t>
      </w:r>
      <w:r>
        <w:rPr>
          <w:rFonts w:hint="default" w:ascii="Times New Roman" w:hAnsi="Times New Roman" w:eastAsia="仿宋_GB2312" w:cs="Times New Roman"/>
          <w:b w:val="0"/>
          <w:bCs w:val="0"/>
          <w:kern w:val="2"/>
          <w:sz w:val="32"/>
          <w:szCs w:val="32"/>
          <w:highlight w:val="none"/>
          <w:lang w:val="en-US" w:eastAsia="zh-CN" w:bidi="ar-SA"/>
        </w:rPr>
        <w:t>专项资金费用范围，做到了专款专用。在项目资金拨付和使用过程中，为确保项目资金的安全性，提高项目资金使用效率，严格遵循</w:t>
      </w:r>
      <w:r>
        <w:rPr>
          <w:rFonts w:hint="eastAsia" w:ascii="Times New Roman" w:hAnsi="Times New Roman" w:eastAsia="仿宋_GB2312" w:cs="Times New Roman"/>
          <w:b w:val="0"/>
          <w:bCs w:val="0"/>
          <w:kern w:val="2"/>
          <w:sz w:val="32"/>
          <w:szCs w:val="32"/>
          <w:highlight w:val="none"/>
          <w:lang w:val="en-US" w:eastAsia="zh-CN" w:bidi="ar-SA"/>
        </w:rPr>
        <w:t>专项</w:t>
      </w:r>
      <w:r>
        <w:rPr>
          <w:rFonts w:hint="default" w:ascii="Times New Roman" w:hAnsi="Times New Roman" w:eastAsia="仿宋_GB2312" w:cs="Times New Roman"/>
          <w:b w:val="0"/>
          <w:bCs w:val="0"/>
          <w:kern w:val="2"/>
          <w:sz w:val="32"/>
          <w:szCs w:val="32"/>
          <w:highlight w:val="none"/>
          <w:lang w:val="en-US" w:eastAsia="zh-CN" w:bidi="ar-SA"/>
        </w:rPr>
        <w:t>资金的拨付程序，认真审核项目实施各阶段的相关材料和手续，根据项目实施进展情况拨付资金。</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（2）预算资金来源及使用情况</w:t>
      </w:r>
      <w:bookmarkStart w:id="1" w:name="page10"/>
      <w:bookmarkEnd w:id="1"/>
    </w:p>
    <w:p>
      <w:pPr>
        <w:pStyle w:val="2"/>
        <w:keepNext w:val="0"/>
        <w:keepLines w:val="0"/>
        <w:pageBreakBefore w:val="0"/>
        <w:kinsoku/>
        <w:wordWrap/>
        <w:overflowPunct/>
        <w:topLinePunct w:val="0"/>
        <w:autoSpaceDE/>
        <w:autoSpaceDN/>
        <w:bidi w:val="0"/>
        <w:adjustRightInd/>
        <w:snapToGrid/>
        <w:spacing w:before="0" w:after="0" w:line="600" w:lineRule="exact"/>
        <w:ind w:left="0" w:firstLine="640" w:firstLineChars="200"/>
        <w:jc w:val="both"/>
        <w:textAlignment w:val="auto"/>
        <w:rPr>
          <w:rFonts w:hint="default" w:ascii="Times New Roman" w:hAnsi="Times New Roman" w:eastAsia="仿宋_GB2312" w:cs="Times New Roman"/>
          <w:b w:val="0"/>
          <w:bCs w:val="0"/>
          <w:kern w:val="2"/>
          <w:highlight w:val="none"/>
        </w:rPr>
      </w:pPr>
      <w:r>
        <w:rPr>
          <w:rFonts w:hint="default" w:ascii="Times New Roman" w:hAnsi="Times New Roman" w:eastAsia="仿宋_GB2312" w:cs="Times New Roman"/>
          <w:b w:val="0"/>
          <w:bCs w:val="0"/>
          <w:kern w:val="2"/>
          <w:sz w:val="32"/>
          <w:szCs w:val="32"/>
          <w:highlight w:val="none"/>
          <w:lang w:val="en-US" w:eastAsia="zh-CN" w:bidi="ar-SA"/>
        </w:rPr>
        <w:t>项目预算资金来源于</w:t>
      </w:r>
      <w:r>
        <w:rPr>
          <w:rFonts w:hint="eastAsia" w:ascii="Times New Roman" w:hAnsi="Times New Roman" w:eastAsia="仿宋_GB2312" w:cs="Times New Roman"/>
          <w:b w:val="0"/>
          <w:bCs w:val="0"/>
          <w:kern w:val="2"/>
          <w:sz w:val="32"/>
          <w:szCs w:val="32"/>
          <w:highlight w:val="none"/>
          <w:lang w:val="en-US" w:eastAsia="zh-CN" w:bidi="ar-SA"/>
        </w:rPr>
        <w:t>自治区财政本级预算37.4万元</w:t>
      </w:r>
      <w:r>
        <w:rPr>
          <w:rFonts w:hint="default" w:ascii="Times New Roman" w:hAnsi="Times New Roman" w:eastAsia="仿宋_GB2312" w:cs="Times New Roman"/>
          <w:b w:val="0"/>
          <w:bCs w:val="0"/>
          <w:kern w:val="2"/>
          <w:sz w:val="32"/>
          <w:szCs w:val="32"/>
          <w:highlight w:val="none"/>
          <w:lang w:val="en-US" w:eastAsia="zh-CN" w:bidi="ar-SA"/>
        </w:rPr>
        <w:t>，项目资金到位</w:t>
      </w:r>
      <w:r>
        <w:rPr>
          <w:rFonts w:hint="eastAsia" w:ascii="Times New Roman" w:hAnsi="Times New Roman" w:eastAsia="仿宋_GB2312" w:cs="Times New Roman"/>
          <w:b w:val="0"/>
          <w:bCs w:val="0"/>
          <w:kern w:val="2"/>
          <w:sz w:val="32"/>
          <w:szCs w:val="32"/>
          <w:highlight w:val="none"/>
          <w:lang w:val="en-US" w:eastAsia="zh-CN" w:bidi="ar-SA"/>
        </w:rPr>
        <w:t>37.4</w:t>
      </w:r>
      <w:r>
        <w:rPr>
          <w:rFonts w:hint="default" w:ascii="Times New Roman" w:hAnsi="Times New Roman" w:eastAsia="仿宋_GB2312" w:cs="Times New Roman"/>
          <w:b w:val="0"/>
          <w:bCs w:val="0"/>
          <w:kern w:val="2"/>
          <w:sz w:val="32"/>
          <w:szCs w:val="32"/>
          <w:highlight w:val="none"/>
          <w:lang w:val="en-US" w:eastAsia="zh-CN" w:bidi="ar-SA"/>
        </w:rPr>
        <w:t>万元，用于支付项目实施进程中的各项费用。</w:t>
      </w:r>
    </w:p>
    <w:p>
      <w:pPr>
        <w:keepNext w:val="0"/>
        <w:keepLines w:val="0"/>
        <w:pageBreakBefore w:val="0"/>
        <w:kinsoku/>
        <w:wordWrap/>
        <w:overflowPunct/>
        <w:topLinePunct w:val="0"/>
        <w:autoSpaceDE/>
        <w:autoSpaceDN/>
        <w:bidi w:val="0"/>
        <w:adjustRightInd/>
        <w:snapToGrid/>
        <w:spacing w:line="600" w:lineRule="exact"/>
        <w:ind w:left="0" w:firstLine="643" w:firstLineChars="200"/>
        <w:textAlignment w:val="auto"/>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（二）项目绩效目标</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1、总体目标</w:t>
      </w:r>
    </w:p>
    <w:p>
      <w:pPr>
        <w:pStyle w:val="2"/>
        <w:ind w:firstLine="640" w:firstLineChars="200"/>
        <w:jc w:val="left"/>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(1)汇聚全区小麦、棉花、玉米及特色等农作物的生产经营及空间分布数据。</w:t>
      </w:r>
    </w:p>
    <w:p>
      <w:pPr>
        <w:pStyle w:val="2"/>
        <w:ind w:firstLine="640" w:firstLineChars="200"/>
        <w:jc w:val="left"/>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(2)依托新疆农业农村大数据平台现有功能，开发新疆种植业专题图，集中展示全区种植业结构分布、生产进度、灾害情况、长势监测等内容。</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2、阶段性目标</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（1）前期准备：通过制定项目实施方案，经项目负责人审核通过后，有序开展后续工作。</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（2）组织实施：资金一到位，立即根据项目要求实施项目。项目责任人按照项目实施方案要求逐一进行项目部署安排，提高项目质量及效率性。</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二、绩效评价工作开展情况</w:t>
      </w:r>
    </w:p>
    <w:p>
      <w:pPr>
        <w:keepNext w:val="0"/>
        <w:keepLines w:val="0"/>
        <w:pageBreakBefore w:val="0"/>
        <w:kinsoku/>
        <w:wordWrap/>
        <w:overflowPunct/>
        <w:topLinePunct w:val="0"/>
        <w:autoSpaceDE/>
        <w:autoSpaceDN/>
        <w:bidi w:val="0"/>
        <w:adjustRightInd/>
        <w:snapToGrid/>
        <w:spacing w:line="600" w:lineRule="exact"/>
        <w:ind w:left="0" w:firstLine="643" w:firstLineChars="200"/>
        <w:textAlignment w:val="auto"/>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（一）绩效评价目的、对象和范围</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1、绩效评价的目的</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项目在实施前向项目负责人提供财政支出绩效方面的资金管理信息，促进项目支出严格按照资金管理规定进行。</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（2）项目绩效管理财政支出运行提供及时、有效的信息。</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综合来看，通过开展有效的财政支出绩效评价管理，达到改进预算管理、控制节约成本，提高预算资金使用效益的目的。</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2、绩效评价的对象</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新疆农业农村大数据平台应用场景建设项目所包含的全部项目建设内容。</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3、绩效评价的范围</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新疆农业农村大数据平台应用场景建设项目的决策、过程、产出、效益等。</w:t>
      </w:r>
    </w:p>
    <w:p>
      <w:pPr>
        <w:keepNext w:val="0"/>
        <w:keepLines w:val="0"/>
        <w:pageBreakBefore w:val="0"/>
        <w:kinsoku/>
        <w:wordWrap/>
        <w:overflowPunct/>
        <w:topLinePunct w:val="0"/>
        <w:autoSpaceDE/>
        <w:autoSpaceDN/>
        <w:bidi w:val="0"/>
        <w:adjustRightInd/>
        <w:snapToGrid/>
        <w:spacing w:line="600" w:lineRule="exact"/>
        <w:ind w:left="0" w:firstLine="643" w:firstLineChars="200"/>
        <w:textAlignment w:val="auto"/>
        <w:rPr>
          <w:rFonts w:hint="default" w:ascii="Times New Roman" w:hAnsi="Times New Roman" w:cs="Times New Roman"/>
          <w:highlight w:val="none"/>
        </w:rPr>
      </w:pPr>
      <w:r>
        <w:rPr>
          <w:rFonts w:hint="default" w:ascii="Times New Roman" w:hAnsi="Times New Roman" w:eastAsia="楷体_GB2312" w:cs="Times New Roman"/>
          <w:b/>
          <w:bCs/>
          <w:sz w:val="32"/>
          <w:szCs w:val="32"/>
          <w:highlight w:val="none"/>
        </w:rPr>
        <w:t>（二）绩效评价原则、评价指标体系（详情见表1）、评价方法、评价标准。</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1、绩效评价原则</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本次项目绩效评价遵循以下基本原则：</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（1）科学公正。绩效评价应当运用科学合理的方法，按照规范的程序，对项目绩效进行客观、公正的反映。</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（2）统筹兼顾。单位自评、部门评价和财政评价应职责明确，各有侧重，相互衔接。单位自评应由项目单位自主实施，即“谁支出、谁自评”。部门评价和财政评价应在单位自评的基础上开展。</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（3）激励约束。绩效评价结果应与预算安排、政策调整、改进管理实质性挂钩，体现奖优罚劣和激励相容导向，有效要安排、低效要压减、无效要问责。</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（4）公开透明。绩效评价结果应依法依规公开，并自觉接受社会监督。</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2、评价指标体系</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绩效评价框架是开展绩效评价的核心。绩效评价框架包括评价准则、关键评价问题、评价指标、数据来源、数据收集方法等。指标体系建立过程如下：</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（1）确定评价指标</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采用层次分析法，建立评价指标体系。绩效评价将指标分为项目决策指标、项目过程指标、项目产出指标、项目效益指标四个维度，最终形成一个由多个相互联系的指标组成的多层次指标体系。</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（2）确定权重</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确定各个指标相对于项目总体绩效的权重分值。在绩效评价指标体系中，项目决策权重为5分，项目过程权重为5分，项目产出权重为50分，项目效益权重为40分。</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（3）确定指标标准值</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指标标准值是绩效评价指标的尺度，既要反映同类项目的先进水平，又要符合项目的实际绩效水平。具体采用计划标准等确定此次绩效评价指标标准值。</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具体评价指标体系详情见附件1</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3、绩效评价方法</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绩效评价从项目决策、项目过程、项目产出、项目效益四个维度进行评价。评价对象为项目目标实施情况，评价核心为资金的支出完成情况和项目的产出效益。</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本次评价指标中，既有定性指标又有定量指标，各类指标因考核内容不同和客观标准不同存在较大差异，因此核定具体指标时采用了不同方法，具体评价方法如下：</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（1）比较法</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通过对绩效目标与实施效果、历史与当期情况，综合分析绩效目标实现程度。对项目最终验收情况与年度绩效目标对比、预算资金执行情况等相关因素进行比较。</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（2）因素分析法</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4、评价标准</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绩效评价标准通常包括计划标准、行业标准、历史标准等，用于对绩效指标完成情况进行比较。本次评价主要采用了计划标准和行业标准。</w:t>
      </w:r>
    </w:p>
    <w:p>
      <w:pPr>
        <w:pStyle w:val="2"/>
        <w:ind w:firstLine="643" w:firstLineChars="200"/>
        <w:jc w:val="both"/>
        <w:rPr>
          <w:rFonts w:hint="eastAsia" w:ascii="Times New Roman" w:hAnsi="Times New Roman" w:eastAsia="楷体_GB2312" w:cs="Times New Roman"/>
          <w:highlight w:val="none"/>
          <w:lang w:val="en-US" w:eastAsia="zh-CN"/>
        </w:rPr>
      </w:pPr>
      <w:r>
        <w:rPr>
          <w:rFonts w:hint="eastAsia" w:ascii="Times New Roman" w:hAnsi="Times New Roman" w:eastAsia="楷体_GB2312" w:cs="Times New Roman"/>
          <w:highlight w:val="none"/>
          <w:lang w:val="en-US" w:eastAsia="zh-CN"/>
        </w:rPr>
        <w:t>(三)绩效评价工作过程</w:t>
      </w:r>
    </w:p>
    <w:p>
      <w:pPr>
        <w:keepNext w:val="0"/>
        <w:keepLines w:val="0"/>
        <w:pageBreakBefore w:val="0"/>
        <w:numPr>
          <w:ilvl w:val="0"/>
          <w:numId w:val="1"/>
        </w:numPr>
        <w:kinsoku/>
        <w:wordWrap/>
        <w:overflowPunct/>
        <w:topLinePunct w:val="0"/>
        <w:autoSpaceDE/>
        <w:autoSpaceDN/>
        <w:bidi w:val="0"/>
        <w:adjustRightInd/>
        <w:snapToGrid/>
        <w:spacing w:line="600" w:lineRule="exact"/>
        <w:ind w:left="0" w:leftChars="0" w:firstLine="640" w:firstLineChars="200"/>
        <w:textAlignment w:val="auto"/>
        <w:rPr>
          <w:rFonts w:ascii="Times New Roman" w:hAnsi="Times New Roman" w:eastAsia="仿宋_GB2312"/>
          <w:bCs/>
          <w:color w:val="auto"/>
          <w:sz w:val="32"/>
          <w:szCs w:val="32"/>
          <w:highlight w:val="none"/>
        </w:rPr>
      </w:pPr>
      <w:r>
        <w:rPr>
          <w:rFonts w:hint="eastAsia" w:ascii="Times New Roman" w:hAnsi="Times New Roman" w:eastAsia="仿宋_GB2312"/>
          <w:bCs/>
          <w:color w:val="auto"/>
          <w:sz w:val="32"/>
          <w:szCs w:val="32"/>
          <w:highlight w:val="none"/>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numPr>
          <w:ilvl w:val="0"/>
          <w:numId w:val="1"/>
        </w:numPr>
        <w:kinsoku/>
        <w:wordWrap/>
        <w:overflowPunct/>
        <w:topLinePunct w:val="0"/>
        <w:autoSpaceDE/>
        <w:autoSpaceDN/>
        <w:bidi w:val="0"/>
        <w:adjustRightInd/>
        <w:snapToGrid/>
        <w:spacing w:line="600" w:lineRule="exact"/>
        <w:ind w:left="0" w:leftChars="0" w:firstLine="640" w:firstLineChars="200"/>
        <w:textAlignment w:val="auto"/>
        <w:rPr>
          <w:rFonts w:ascii="Times New Roman" w:hAnsi="Times New Roman" w:eastAsia="仿宋_GB2312"/>
          <w:bCs/>
          <w:color w:val="auto"/>
          <w:sz w:val="32"/>
          <w:szCs w:val="32"/>
          <w:highlight w:val="none"/>
        </w:rPr>
      </w:pPr>
      <w:r>
        <w:rPr>
          <w:rFonts w:hint="eastAsia" w:ascii="Times New Roman" w:hAnsi="Times New Roman" w:eastAsia="仿宋_GB2312"/>
          <w:bCs/>
          <w:color w:val="auto"/>
          <w:sz w:val="32"/>
          <w:szCs w:val="32"/>
          <w:highlight w:val="none"/>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numPr>
          <w:ilvl w:val="0"/>
          <w:numId w:val="1"/>
        </w:numPr>
        <w:kinsoku/>
        <w:wordWrap/>
        <w:overflowPunct/>
        <w:topLinePunct w:val="0"/>
        <w:autoSpaceDE/>
        <w:autoSpaceDN/>
        <w:bidi w:val="0"/>
        <w:adjustRightInd/>
        <w:snapToGrid/>
        <w:spacing w:line="600" w:lineRule="exact"/>
        <w:ind w:left="0" w:leftChars="0" w:firstLine="640" w:firstLineChars="200"/>
        <w:textAlignment w:val="auto"/>
        <w:rPr>
          <w:rFonts w:hint="default"/>
          <w:color w:val="auto"/>
          <w:sz w:val="32"/>
          <w:szCs w:val="32"/>
          <w:highlight w:val="none"/>
          <w:lang w:val="en-US" w:eastAsia="zh-CN"/>
        </w:rPr>
      </w:pPr>
      <w:r>
        <w:rPr>
          <w:rFonts w:hint="eastAsia" w:ascii="Times New Roman" w:hAnsi="Times New Roman" w:eastAsia="仿宋_GB2312"/>
          <w:bCs/>
          <w:color w:val="auto"/>
          <w:sz w:val="32"/>
          <w:szCs w:val="32"/>
          <w:highlight w:val="none"/>
        </w:rPr>
        <w:t>分析评价。根据收集梳理的资料围绕项目立项、资金落实、业务管理、财务管理、项目产出、项目效益等内容，对照已确定的绩效评价指标进行详细全面的分析评价，逐项打分并形成绩效评价最终结果。</w:t>
      </w:r>
    </w:p>
    <w:p>
      <w:pPr>
        <w:keepNext w:val="0"/>
        <w:keepLines w:val="0"/>
        <w:pageBreakBefore w:val="0"/>
        <w:numPr>
          <w:ilvl w:val="0"/>
          <w:numId w:val="2"/>
        </w:numPr>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综合评价情况及评价结论（附相关评分表）</w:t>
      </w:r>
    </w:p>
    <w:p>
      <w:pPr>
        <w:pStyle w:val="2"/>
        <w:keepNext w:val="0"/>
        <w:keepLines w:val="0"/>
        <w:pageBreakBefore w:val="0"/>
        <w:widowControl w:val="0"/>
        <w:kinsoku/>
        <w:wordWrap/>
        <w:overflowPunct/>
        <w:topLinePunct w:val="0"/>
        <w:autoSpaceDE/>
        <w:autoSpaceDN/>
        <w:bidi w:val="0"/>
        <w:adjustRightInd/>
        <w:snapToGrid/>
        <w:spacing w:before="0" w:after="0" w:line="600" w:lineRule="exact"/>
        <w:ind w:left="0" w:leftChars="0" w:firstLine="640" w:firstLineChars="200"/>
        <w:jc w:val="both"/>
        <w:textAlignment w:val="auto"/>
        <w:outlineLvl w:val="9"/>
        <w:rPr>
          <w:rFonts w:hint="default" w:ascii="Times New Roman" w:hAnsi="Times New Roman" w:eastAsia="仿宋_GB2312" w:cs="Times New Roman"/>
          <w:sz w:val="30"/>
          <w:szCs w:val="30"/>
          <w:highlight w:val="none"/>
        </w:rPr>
      </w:pPr>
      <w:r>
        <w:rPr>
          <w:rFonts w:hint="default" w:ascii="Times New Roman" w:hAnsi="Times New Roman" w:eastAsia="仿宋_GB2312" w:cs="Times New Roman"/>
          <w:b w:val="0"/>
          <w:bCs w:val="0"/>
          <w:highlight w:val="none"/>
        </w:rPr>
        <w:t>对</w:t>
      </w:r>
      <w:r>
        <w:rPr>
          <w:rFonts w:hint="default" w:ascii="Times New Roman" w:hAnsi="Times New Roman" w:eastAsia="仿宋_GB2312" w:cs="Times New Roman"/>
          <w:b w:val="0"/>
          <w:bCs w:val="0"/>
          <w:highlight w:val="none"/>
          <w:lang w:val="en-US" w:eastAsia="zh-CN"/>
        </w:rPr>
        <w:t>自治区农业生产发展资金</w:t>
      </w:r>
      <w:r>
        <w:rPr>
          <w:rFonts w:hint="default" w:ascii="Times New Roman" w:hAnsi="Times New Roman" w:eastAsia="仿宋_GB2312" w:cs="Times New Roman"/>
          <w:b w:val="0"/>
          <w:bCs w:val="0"/>
          <w:highlight w:val="none"/>
        </w:rPr>
        <w:t xml:space="preserve">项目进行客观评价，最终评分结果：总得分为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 xml:space="preserve">分，属于“优”。其中，项目决策类指标权重为5分，得分为 </w:t>
      </w:r>
      <w:r>
        <w:rPr>
          <w:rFonts w:hint="eastAsia" w:ascii="Times New Roman" w:hAnsi="Times New Roman" w:eastAsia="仿宋_GB2312" w:cs="Times New Roman"/>
          <w:b w:val="0"/>
          <w:bCs w:val="0"/>
          <w:highlight w:val="none"/>
          <w:lang w:val="en-US" w:eastAsia="zh-CN"/>
        </w:rPr>
        <w:t>5</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%。项目过程类指标权重为5分，得分为</w:t>
      </w:r>
      <w:r>
        <w:rPr>
          <w:rFonts w:hint="eastAsia" w:ascii="Times New Roman" w:hAnsi="Times New Roman" w:eastAsia="仿宋_GB2312" w:cs="Times New Roman"/>
          <w:b w:val="0"/>
          <w:bCs w:val="0"/>
          <w:highlight w:val="none"/>
          <w:lang w:val="en-US" w:eastAsia="zh-CN"/>
        </w:rPr>
        <w:t>5</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%。项目产出类指标权重为50分，得分为</w:t>
      </w:r>
      <w:r>
        <w:rPr>
          <w:rFonts w:hint="eastAsia" w:ascii="Times New Roman" w:hAnsi="Times New Roman" w:eastAsia="仿宋_GB2312" w:cs="Times New Roman"/>
          <w:b w:val="0"/>
          <w:bCs w:val="0"/>
          <w:highlight w:val="none"/>
          <w:lang w:val="en-US" w:eastAsia="zh-CN"/>
        </w:rPr>
        <w:t>50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p>
    <w:p>
      <w:pPr>
        <w:pStyle w:val="2"/>
        <w:rPr>
          <w:rFonts w:hint="default" w:ascii="Times New Roman" w:hAnsi="Times New Roman" w:eastAsia="仿宋_GB2312" w:cs="Times New Roman"/>
          <w:sz w:val="30"/>
          <w:szCs w:val="30"/>
          <w:highlight w:val="none"/>
        </w:rPr>
      </w:pPr>
    </w:p>
    <w:p>
      <w:pPr>
        <w:pStyle w:val="2"/>
        <w:rPr>
          <w:rFonts w:hint="default" w:ascii="Times New Roman" w:hAnsi="Times New Roman" w:eastAsia="仿宋_GB2312" w:cs="Times New Roman"/>
          <w:sz w:val="30"/>
          <w:szCs w:val="30"/>
          <w:highlight w:val="none"/>
        </w:rPr>
      </w:pPr>
      <w:r>
        <w:rPr>
          <w:rFonts w:hint="default" w:ascii="Times New Roman" w:hAnsi="Times New Roman" w:eastAsia="仿宋_GB2312" w:cs="Times New Roman"/>
          <w:sz w:val="30"/>
          <w:szCs w:val="30"/>
          <w:highlight w:val="none"/>
        </w:rPr>
        <w:t>表</w:t>
      </w:r>
      <w:r>
        <w:rPr>
          <w:rFonts w:hint="default" w:ascii="Times New Roman" w:hAnsi="Times New Roman" w:eastAsia="仿宋_GB2312" w:cs="Times New Roman"/>
          <w:sz w:val="30"/>
          <w:szCs w:val="30"/>
          <w:highlight w:val="none"/>
          <w:lang w:val="en-US" w:eastAsia="zh-CN"/>
        </w:rPr>
        <w:t>1</w:t>
      </w:r>
      <w:r>
        <w:rPr>
          <w:rFonts w:hint="default" w:ascii="Times New Roman" w:hAnsi="Times New Roman" w:eastAsia="仿宋_GB2312" w:cs="Times New Roman"/>
          <w:sz w:val="30"/>
          <w:szCs w:val="30"/>
          <w:highlight w:val="none"/>
        </w:rPr>
        <w:t>综合评分表</w:t>
      </w:r>
    </w:p>
    <w:p>
      <w:pPr>
        <w:rPr>
          <w:rFonts w:hint="default" w:ascii="Times New Roman" w:hAnsi="Times New Roman" w:cs="Times New Roman"/>
          <w:highlight w:val="none"/>
        </w:rPr>
      </w:pPr>
    </w:p>
    <w:p>
      <w:pPr>
        <w:rPr>
          <w:rFonts w:hint="default" w:ascii="Times New Roman" w:hAnsi="Times New Roman" w:cs="Times New Roman"/>
          <w:highlight w:val="none"/>
        </w:rPr>
      </w:pPr>
    </w:p>
    <w:tbl>
      <w:tblPr>
        <w:tblStyle w:val="10"/>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80" w:hRule="atLeast"/>
          <w:tblHeader/>
        </w:trPr>
        <w:tc>
          <w:tcPr>
            <w:tcW w:w="1104" w:type="dxa"/>
            <w:shd w:val="clear" w:color="auto" w:fill="BFBFBF"/>
            <w:vAlign w:val="center"/>
          </w:tcPr>
          <w:p>
            <w:pPr>
              <w:widowControl/>
              <w:spacing w:line="0" w:lineRule="atLeast"/>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一级指标</w:t>
            </w:r>
          </w:p>
        </w:tc>
        <w:tc>
          <w:tcPr>
            <w:tcW w:w="990" w:type="dxa"/>
            <w:shd w:val="clear" w:color="auto" w:fill="BFBFB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分值</w:t>
            </w:r>
          </w:p>
        </w:tc>
        <w:tc>
          <w:tcPr>
            <w:tcW w:w="1283" w:type="dxa"/>
            <w:shd w:val="clear" w:color="auto" w:fill="BFBFB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二级指标</w:t>
            </w:r>
          </w:p>
        </w:tc>
        <w:tc>
          <w:tcPr>
            <w:tcW w:w="1707" w:type="dxa"/>
            <w:shd w:val="clear" w:color="auto" w:fill="BFBFB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三级指标</w:t>
            </w:r>
          </w:p>
        </w:tc>
        <w:tc>
          <w:tcPr>
            <w:tcW w:w="727" w:type="dxa"/>
            <w:shd w:val="clear" w:color="auto" w:fill="BFBFB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权重</w:t>
            </w:r>
          </w:p>
        </w:tc>
        <w:tc>
          <w:tcPr>
            <w:tcW w:w="1044" w:type="dxa"/>
            <w:shd w:val="clear" w:color="auto" w:fill="BFBFBF"/>
            <w:vAlign w:val="center"/>
          </w:tcPr>
          <w:p>
            <w:pPr>
              <w:widowControl/>
              <w:tabs>
                <w:tab w:val="left" w:pos="1333"/>
                <w:tab w:val="center" w:pos="3623"/>
              </w:tabs>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目标值</w:t>
            </w:r>
          </w:p>
        </w:tc>
        <w:tc>
          <w:tcPr>
            <w:tcW w:w="924" w:type="dxa"/>
            <w:shd w:val="clear" w:color="auto" w:fill="BFBFBF"/>
            <w:vAlign w:val="center"/>
          </w:tcPr>
          <w:p>
            <w:pPr>
              <w:widowControl/>
              <w:tabs>
                <w:tab w:val="left" w:pos="1333"/>
                <w:tab w:val="center" w:pos="3623"/>
              </w:tabs>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业绩值</w:t>
            </w:r>
          </w:p>
        </w:tc>
        <w:tc>
          <w:tcPr>
            <w:tcW w:w="1215" w:type="dxa"/>
            <w:shd w:val="clear" w:color="auto" w:fill="BFBFBF"/>
            <w:vAlign w:val="center"/>
          </w:tcPr>
          <w:p>
            <w:pPr>
              <w:widowControl/>
              <w:tabs>
                <w:tab w:val="left" w:pos="1333"/>
                <w:tab w:val="center" w:pos="3623"/>
              </w:tabs>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得分率</w:t>
            </w:r>
          </w:p>
        </w:tc>
        <w:tc>
          <w:tcPr>
            <w:tcW w:w="960" w:type="dxa"/>
            <w:shd w:val="clear" w:color="auto" w:fill="BFBFBF"/>
            <w:vAlign w:val="center"/>
          </w:tcPr>
          <w:p>
            <w:pPr>
              <w:widowControl/>
              <w:tabs>
                <w:tab w:val="left" w:pos="1333"/>
                <w:tab w:val="center" w:pos="3623"/>
              </w:tabs>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决策　</w:t>
            </w:r>
          </w:p>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　</w:t>
            </w:r>
          </w:p>
          <w:p>
            <w:pP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　</w:t>
            </w:r>
          </w:p>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　</w:t>
            </w:r>
          </w:p>
        </w:tc>
        <w:tc>
          <w:tcPr>
            <w:tcW w:w="990"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kern w:val="0"/>
                <w:sz w:val="22"/>
                <w:szCs w:val="22"/>
                <w:highlight w:val="none"/>
              </w:rPr>
              <w:t>5分</w:t>
            </w:r>
          </w:p>
        </w:tc>
        <w:tc>
          <w:tcPr>
            <w:tcW w:w="1283"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项目立项　</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立项依据</w:t>
            </w:r>
          </w:p>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充分性</w:t>
            </w:r>
          </w:p>
        </w:tc>
        <w:tc>
          <w:tcPr>
            <w:tcW w:w="72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0.5</w:t>
            </w:r>
          </w:p>
        </w:tc>
        <w:tc>
          <w:tcPr>
            <w:tcW w:w="1044"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充分</w:t>
            </w:r>
          </w:p>
        </w:tc>
        <w:tc>
          <w:tcPr>
            <w:tcW w:w="924"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bidi="ar-SA"/>
              </w:rPr>
            </w:pPr>
            <w:r>
              <w:rPr>
                <w:rFonts w:hint="default" w:ascii="Times New Roman" w:hAnsi="Times New Roman" w:cs="Times New Roman"/>
                <w:color w:val="000000"/>
                <w:kern w:val="0"/>
                <w:sz w:val="22"/>
                <w:szCs w:val="22"/>
                <w:highlight w:val="none"/>
                <w:lang w:val="en-US" w:eastAsia="zh-CN"/>
              </w:rPr>
              <w:t>充分</w:t>
            </w:r>
          </w:p>
        </w:tc>
        <w:tc>
          <w:tcPr>
            <w:tcW w:w="1215"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eastAsia" w:cs="Times New Roman"/>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立项程序</w:t>
            </w:r>
          </w:p>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规范性</w:t>
            </w:r>
          </w:p>
        </w:tc>
        <w:tc>
          <w:tcPr>
            <w:tcW w:w="72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0.5</w:t>
            </w:r>
          </w:p>
        </w:tc>
        <w:tc>
          <w:tcPr>
            <w:tcW w:w="1044"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规范</w:t>
            </w:r>
          </w:p>
        </w:tc>
        <w:tc>
          <w:tcPr>
            <w:tcW w:w="924"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bidi="ar-SA"/>
              </w:rPr>
            </w:pPr>
            <w:r>
              <w:rPr>
                <w:rFonts w:hint="default" w:ascii="Times New Roman" w:hAnsi="Times New Roman" w:cs="Times New Roman"/>
                <w:color w:val="000000"/>
                <w:kern w:val="0"/>
                <w:sz w:val="22"/>
                <w:szCs w:val="22"/>
                <w:highlight w:val="none"/>
                <w:lang w:val="en-US" w:eastAsia="zh-CN"/>
              </w:rPr>
              <w:t>规范</w:t>
            </w:r>
          </w:p>
        </w:tc>
        <w:tc>
          <w:tcPr>
            <w:tcW w:w="1215"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lang w:val="en-US"/>
              </w:rPr>
            </w:pPr>
            <w:r>
              <w:rPr>
                <w:rFonts w:hint="eastAsia" w:cs="Times New Roman"/>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1283"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绩效目标　</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绩效目标</w:t>
            </w:r>
          </w:p>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合理性</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w:t>
            </w:r>
          </w:p>
        </w:tc>
        <w:tc>
          <w:tcPr>
            <w:tcW w:w="1044"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合理</w:t>
            </w:r>
          </w:p>
        </w:tc>
        <w:tc>
          <w:tcPr>
            <w:tcW w:w="924"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bidi="ar-SA"/>
              </w:rPr>
            </w:pPr>
            <w:r>
              <w:rPr>
                <w:rFonts w:hint="default" w:ascii="Times New Roman" w:hAnsi="Times New Roman" w:cs="Times New Roman"/>
                <w:color w:val="000000"/>
                <w:kern w:val="0"/>
                <w:sz w:val="22"/>
                <w:szCs w:val="22"/>
                <w:highlight w:val="none"/>
                <w:lang w:val="en-US" w:eastAsia="zh-CN"/>
              </w:rPr>
              <w:t>合理</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绩效指标</w:t>
            </w:r>
          </w:p>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明确性</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w:t>
            </w:r>
          </w:p>
        </w:tc>
        <w:tc>
          <w:tcPr>
            <w:tcW w:w="1044"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明确</w:t>
            </w:r>
          </w:p>
        </w:tc>
        <w:tc>
          <w:tcPr>
            <w:tcW w:w="924"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bidi="ar-SA"/>
              </w:rPr>
            </w:pPr>
            <w:r>
              <w:rPr>
                <w:rFonts w:hint="default" w:ascii="Times New Roman" w:hAnsi="Times New Roman" w:cs="Times New Roman"/>
                <w:color w:val="000000"/>
                <w:kern w:val="0"/>
                <w:sz w:val="22"/>
                <w:szCs w:val="22"/>
                <w:highlight w:val="none"/>
                <w:lang w:val="en-US" w:eastAsia="zh-CN"/>
              </w:rPr>
              <w:t>明确</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highlight w:val="none"/>
              </w:rPr>
            </w:pPr>
          </w:p>
        </w:tc>
        <w:tc>
          <w:tcPr>
            <w:tcW w:w="990"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highlight w:val="none"/>
              </w:rPr>
            </w:pPr>
          </w:p>
        </w:tc>
        <w:tc>
          <w:tcPr>
            <w:tcW w:w="1283"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资金投入</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预算编制</w:t>
            </w:r>
          </w:p>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科学性</w:t>
            </w:r>
          </w:p>
        </w:tc>
        <w:tc>
          <w:tcPr>
            <w:tcW w:w="72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w:t>
            </w:r>
          </w:p>
        </w:tc>
        <w:tc>
          <w:tcPr>
            <w:tcW w:w="1044"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科学</w:t>
            </w:r>
          </w:p>
        </w:tc>
        <w:tc>
          <w:tcPr>
            <w:tcW w:w="924"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bidi="ar-SA"/>
              </w:rPr>
            </w:pPr>
            <w:r>
              <w:rPr>
                <w:rFonts w:hint="default" w:ascii="Times New Roman" w:hAnsi="Times New Roman" w:cs="Times New Roman"/>
                <w:color w:val="000000"/>
                <w:kern w:val="0"/>
                <w:sz w:val="22"/>
                <w:szCs w:val="22"/>
                <w:highlight w:val="none"/>
                <w:lang w:val="en-US" w:eastAsia="zh-CN"/>
              </w:rPr>
              <w:t>科学</w:t>
            </w:r>
          </w:p>
        </w:tc>
        <w:tc>
          <w:tcPr>
            <w:tcW w:w="1215"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资金分配</w:t>
            </w:r>
          </w:p>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合理性</w:t>
            </w:r>
          </w:p>
        </w:tc>
        <w:tc>
          <w:tcPr>
            <w:tcW w:w="72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w:t>
            </w:r>
          </w:p>
        </w:tc>
        <w:tc>
          <w:tcPr>
            <w:tcW w:w="1044"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合理</w:t>
            </w:r>
          </w:p>
        </w:tc>
        <w:tc>
          <w:tcPr>
            <w:tcW w:w="924"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bidi="ar-SA"/>
              </w:rPr>
            </w:pPr>
            <w:r>
              <w:rPr>
                <w:rFonts w:hint="default" w:ascii="Times New Roman" w:hAnsi="Times New Roman" w:cs="Times New Roman"/>
                <w:color w:val="000000"/>
                <w:kern w:val="0"/>
                <w:sz w:val="22"/>
                <w:szCs w:val="22"/>
                <w:highlight w:val="none"/>
                <w:lang w:val="en-US" w:eastAsia="zh-CN"/>
              </w:rPr>
              <w:t>合理</w:t>
            </w:r>
          </w:p>
        </w:tc>
        <w:tc>
          <w:tcPr>
            <w:tcW w:w="1215"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过程</w:t>
            </w:r>
          </w:p>
          <w:p>
            <w:pP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　</w:t>
            </w:r>
          </w:p>
        </w:tc>
        <w:tc>
          <w:tcPr>
            <w:tcW w:w="990"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kern w:val="0"/>
                <w:sz w:val="22"/>
                <w:szCs w:val="22"/>
                <w:highlight w:val="none"/>
              </w:rPr>
              <w:t>5分</w:t>
            </w:r>
          </w:p>
        </w:tc>
        <w:tc>
          <w:tcPr>
            <w:tcW w:w="1283"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资金管理</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资金到位率</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w:t>
            </w:r>
          </w:p>
        </w:tc>
        <w:tc>
          <w:tcPr>
            <w:tcW w:w="1044"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100%</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r>
              <w:rPr>
                <w:rFonts w:hint="default" w:ascii="Times New Roman" w:hAnsi="Times New Roman" w:cs="Times New Roman"/>
                <w:color w:val="000000"/>
                <w:kern w:val="0"/>
                <w:sz w:val="22"/>
                <w:szCs w:val="22"/>
                <w:highlight w:val="none"/>
                <w:lang w:val="en-US" w:eastAsia="zh-CN"/>
              </w:rPr>
              <w:t>%</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highlight w:val="none"/>
              </w:rPr>
            </w:pPr>
          </w:p>
        </w:tc>
        <w:tc>
          <w:tcPr>
            <w:tcW w:w="990"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highlight w:val="none"/>
              </w:rPr>
            </w:pPr>
          </w:p>
        </w:tc>
        <w:tc>
          <w:tcPr>
            <w:tcW w:w="1283"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highlight w:val="none"/>
              </w:rPr>
            </w:pP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预算执行率</w:t>
            </w:r>
          </w:p>
        </w:tc>
        <w:tc>
          <w:tcPr>
            <w:tcW w:w="72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w:t>
            </w:r>
          </w:p>
        </w:tc>
        <w:tc>
          <w:tcPr>
            <w:tcW w:w="1044"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24"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r>
              <w:rPr>
                <w:rFonts w:hint="default" w:ascii="Times New Roman" w:hAnsi="Times New Roman" w:cs="Times New Roman"/>
                <w:color w:val="000000"/>
                <w:kern w:val="0"/>
                <w:sz w:val="22"/>
                <w:szCs w:val="22"/>
                <w:highlight w:val="none"/>
                <w:lang w:val="en-US" w:eastAsia="zh-CN"/>
              </w:rPr>
              <w:t>%</w:t>
            </w:r>
          </w:p>
        </w:tc>
        <w:tc>
          <w:tcPr>
            <w:tcW w:w="1215"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128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资金管理</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资金使用</w:t>
            </w:r>
          </w:p>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合规性</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w:t>
            </w:r>
          </w:p>
        </w:tc>
        <w:tc>
          <w:tcPr>
            <w:tcW w:w="1044"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合格</w:t>
            </w:r>
          </w:p>
        </w:tc>
        <w:tc>
          <w:tcPr>
            <w:tcW w:w="924"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bidi="ar-SA"/>
              </w:rPr>
            </w:pPr>
            <w:r>
              <w:rPr>
                <w:rFonts w:hint="default" w:ascii="Times New Roman" w:hAnsi="Times New Roman" w:cs="Times New Roman"/>
                <w:color w:val="000000"/>
                <w:kern w:val="0"/>
                <w:sz w:val="22"/>
                <w:szCs w:val="22"/>
                <w:highlight w:val="none"/>
                <w:lang w:val="en-US" w:eastAsia="zh-CN"/>
              </w:rPr>
              <w:t>合格</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highlight w:val="none"/>
              </w:rPr>
            </w:pPr>
          </w:p>
        </w:tc>
        <w:tc>
          <w:tcPr>
            <w:tcW w:w="990"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highlight w:val="none"/>
              </w:rPr>
            </w:pPr>
          </w:p>
        </w:tc>
        <w:tc>
          <w:tcPr>
            <w:tcW w:w="1283"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组织实施</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管理制度</w:t>
            </w:r>
          </w:p>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健全性</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w:t>
            </w:r>
          </w:p>
        </w:tc>
        <w:tc>
          <w:tcPr>
            <w:tcW w:w="1044"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健全</w:t>
            </w:r>
          </w:p>
        </w:tc>
        <w:tc>
          <w:tcPr>
            <w:tcW w:w="924"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bidi="ar-SA"/>
              </w:rPr>
            </w:pPr>
            <w:r>
              <w:rPr>
                <w:rFonts w:hint="default" w:ascii="Times New Roman" w:hAnsi="Times New Roman" w:cs="Times New Roman"/>
                <w:color w:val="000000"/>
                <w:kern w:val="0"/>
                <w:sz w:val="22"/>
                <w:szCs w:val="22"/>
                <w:highlight w:val="none"/>
                <w:lang w:val="en-US" w:eastAsia="zh-CN"/>
              </w:rPr>
              <w:t>健全</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制度执行</w:t>
            </w:r>
          </w:p>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有效性</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w:t>
            </w:r>
          </w:p>
        </w:tc>
        <w:tc>
          <w:tcPr>
            <w:tcW w:w="1044"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有效</w:t>
            </w:r>
          </w:p>
        </w:tc>
        <w:tc>
          <w:tcPr>
            <w:tcW w:w="924"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bidi="ar-SA"/>
              </w:rPr>
            </w:pPr>
            <w:r>
              <w:rPr>
                <w:rFonts w:hint="default" w:ascii="Times New Roman" w:hAnsi="Times New Roman" w:cs="Times New Roman"/>
                <w:color w:val="000000"/>
                <w:kern w:val="0"/>
                <w:sz w:val="22"/>
                <w:szCs w:val="22"/>
                <w:highlight w:val="none"/>
                <w:lang w:val="en-US" w:eastAsia="zh-CN"/>
              </w:rPr>
              <w:t>有效</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产出</w:t>
            </w:r>
          </w:p>
        </w:tc>
        <w:tc>
          <w:tcPr>
            <w:tcW w:w="990"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kern w:val="0"/>
                <w:sz w:val="22"/>
                <w:szCs w:val="22"/>
                <w:highlight w:val="none"/>
              </w:rPr>
              <w:t>50分</w:t>
            </w:r>
          </w:p>
        </w:tc>
        <w:tc>
          <w:tcPr>
            <w:tcW w:w="128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产出数量</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实际完成率</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15</w:t>
            </w:r>
          </w:p>
        </w:tc>
        <w:tc>
          <w:tcPr>
            <w:tcW w:w="104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r>
              <w:rPr>
                <w:rFonts w:hint="default" w:ascii="Times New Roman" w:hAnsi="Times New Roman" w:cs="Times New Roman"/>
                <w:color w:val="000000"/>
                <w:kern w:val="0"/>
                <w:sz w:val="22"/>
                <w:szCs w:val="22"/>
                <w:highlight w:val="none"/>
                <w:lang w:val="en-US" w:eastAsia="zh-CN"/>
              </w:rPr>
              <w:t>%</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128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产出质量</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质量达标率</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10</w:t>
            </w:r>
          </w:p>
        </w:tc>
        <w:tc>
          <w:tcPr>
            <w:tcW w:w="104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r>
              <w:rPr>
                <w:rFonts w:hint="default" w:ascii="Times New Roman" w:hAnsi="Times New Roman" w:cs="Times New Roman"/>
                <w:color w:val="000000"/>
                <w:kern w:val="0"/>
                <w:sz w:val="22"/>
                <w:szCs w:val="22"/>
                <w:highlight w:val="none"/>
                <w:lang w:val="en-US" w:eastAsia="zh-CN"/>
              </w:rPr>
              <w:t>%</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highlight w:val="none"/>
              </w:rPr>
            </w:pPr>
          </w:p>
        </w:tc>
        <w:tc>
          <w:tcPr>
            <w:tcW w:w="990"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highlight w:val="none"/>
              </w:rPr>
            </w:pPr>
          </w:p>
        </w:tc>
        <w:tc>
          <w:tcPr>
            <w:tcW w:w="1283" w:type="dxa"/>
            <w:shd w:val="clear" w:color="auto" w:fill="FFFFFF"/>
            <w:vAlign w:val="center"/>
          </w:tcPr>
          <w:p>
            <w:pP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产出时效</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完成及时性</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15</w:t>
            </w:r>
          </w:p>
        </w:tc>
        <w:tc>
          <w:tcPr>
            <w:tcW w:w="104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及时</w:t>
            </w:r>
          </w:p>
        </w:tc>
        <w:tc>
          <w:tcPr>
            <w:tcW w:w="924"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及时</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128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产出成本</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成本节约率</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10</w:t>
            </w:r>
          </w:p>
        </w:tc>
        <w:tc>
          <w:tcPr>
            <w:tcW w:w="104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r>
              <w:rPr>
                <w:rFonts w:hint="default" w:ascii="Times New Roman" w:hAnsi="Times New Roman" w:cs="Times New Roman"/>
                <w:color w:val="000000"/>
                <w:kern w:val="0"/>
                <w:sz w:val="22"/>
                <w:szCs w:val="22"/>
                <w:highlight w:val="none"/>
                <w:lang w:val="en-US" w:eastAsia="zh-CN"/>
              </w:rPr>
              <w:t>%</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eastAsia" w:cs="Times New Roman"/>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效益　</w:t>
            </w:r>
          </w:p>
        </w:tc>
        <w:tc>
          <w:tcPr>
            <w:tcW w:w="990"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40分</w:t>
            </w:r>
          </w:p>
        </w:tc>
        <w:tc>
          <w:tcPr>
            <w:tcW w:w="1283"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项目效益　</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实施效益</w:t>
            </w:r>
          </w:p>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（社会效益、经济效益、可持续效益）</w:t>
            </w:r>
          </w:p>
        </w:tc>
        <w:tc>
          <w:tcPr>
            <w:tcW w:w="72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30</w:t>
            </w:r>
          </w:p>
        </w:tc>
        <w:tc>
          <w:tcPr>
            <w:tcW w:w="1044"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有效</w:t>
            </w:r>
          </w:p>
        </w:tc>
        <w:tc>
          <w:tcPr>
            <w:tcW w:w="924"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有效</w:t>
            </w:r>
          </w:p>
        </w:tc>
        <w:tc>
          <w:tcPr>
            <w:tcW w:w="1215"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30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满意度</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10</w:t>
            </w:r>
          </w:p>
        </w:tc>
        <w:tc>
          <w:tcPr>
            <w:tcW w:w="1044"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w:t>
            </w:r>
            <w:r>
              <w:rPr>
                <w:rFonts w:hint="eastAsia" w:cs="Times New Roman"/>
                <w:color w:val="000000"/>
                <w:kern w:val="0"/>
                <w:sz w:val="22"/>
                <w:szCs w:val="22"/>
                <w:highlight w:val="none"/>
                <w:lang w:val="en-US" w:eastAsia="zh-CN"/>
              </w:rPr>
              <w:t>95</w:t>
            </w:r>
            <w:r>
              <w:rPr>
                <w:rFonts w:hint="default" w:ascii="Times New Roman" w:hAnsi="Times New Roman" w:cs="Times New Roman"/>
                <w:color w:val="000000"/>
                <w:kern w:val="0"/>
                <w:sz w:val="22"/>
                <w:szCs w:val="22"/>
                <w:highlight w:val="none"/>
                <w:lang w:val="en-US" w:eastAsia="zh-CN"/>
              </w:rPr>
              <w:t>%</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95</w:t>
            </w:r>
            <w:r>
              <w:rPr>
                <w:rFonts w:hint="default" w:ascii="Times New Roman" w:hAnsi="Times New Roman" w:cs="Times New Roman"/>
                <w:color w:val="000000"/>
                <w:kern w:val="0"/>
                <w:sz w:val="22"/>
                <w:szCs w:val="22"/>
                <w:highlight w:val="none"/>
                <w:lang w:val="en-US" w:eastAsia="zh-CN"/>
              </w:rPr>
              <w:t>%</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10</w:t>
            </w:r>
          </w:p>
        </w:tc>
      </w:tr>
    </w:tbl>
    <w:p>
      <w:pPr>
        <w:spacing w:line="600" w:lineRule="exact"/>
        <w:ind w:firstLine="320" w:firstLineChars="1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四、绩效评价指标分析</w:t>
      </w:r>
    </w:p>
    <w:p>
      <w:pPr>
        <w:pStyle w:val="2"/>
        <w:ind w:firstLine="321" w:firstLineChars="100"/>
        <w:jc w:val="both"/>
        <w:rPr>
          <w:rFonts w:hint="default" w:ascii="Times New Roman" w:hAnsi="Times New Roman" w:eastAsia="楷体_GB2312" w:cs="Times New Roman"/>
          <w:highlight w:val="none"/>
        </w:rPr>
      </w:pPr>
      <w:r>
        <w:rPr>
          <w:rFonts w:hint="default" w:ascii="Times New Roman" w:hAnsi="Times New Roman" w:eastAsia="楷体_GB2312" w:cs="Times New Roman"/>
          <w:highlight w:val="none"/>
        </w:rPr>
        <w:t>（一）项目决策情况</w:t>
      </w:r>
    </w:p>
    <w:p>
      <w:pPr>
        <w:spacing w:line="600" w:lineRule="exact"/>
        <w:ind w:firstLine="640" w:firstLineChars="200"/>
        <w:outlineLvl w:val="0"/>
        <w:rPr>
          <w:rFonts w:hint="default" w:ascii="Times New Roman" w:hAnsi="Times New Roman" w:cs="Times New Roman"/>
          <w:highlight w:val="none"/>
        </w:rPr>
      </w:pPr>
      <w:r>
        <w:rPr>
          <w:rFonts w:hint="eastAsia" w:ascii="仿宋_GB2312" w:hAnsi="仿宋_GB2312" w:eastAsia="仿宋_GB2312" w:cs="仿宋_GB2312"/>
          <w:sz w:val="32"/>
          <w:szCs w:val="32"/>
          <w:highlight w:val="none"/>
        </w:rPr>
        <w:t>项目立项符合法律法规、相关政策及部门职责，能反映和考核项目立项依据情况</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项目申请、设立过程符合相关要求，能反映和考核项目立项的规范情况</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所设定的绩效目标依据充分，符合客观实际，能反映和考核项目绩效目标与项目实施的相符情况</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依据绩效目标设定的绩效指标清晰、细化、可衡量，能反映和考核项目绩效目标的明细化情况</w:t>
      </w:r>
      <w:r>
        <w:rPr>
          <w:rFonts w:hint="eastAsia" w:ascii="仿宋_GB2312" w:hAnsi="仿宋_GB2312" w:eastAsia="仿宋_GB2312" w:cs="仿宋_GB2312"/>
          <w:sz w:val="32"/>
          <w:szCs w:val="32"/>
          <w:highlight w:val="none"/>
          <w:lang w:eastAsia="zh-CN"/>
        </w:rPr>
        <w:t>。</w:t>
      </w:r>
    </w:p>
    <w:p>
      <w:pPr>
        <w:pStyle w:val="2"/>
        <w:numPr>
          <w:ilvl w:val="0"/>
          <w:numId w:val="3"/>
        </w:numPr>
        <w:ind w:firstLine="321" w:firstLineChars="100"/>
        <w:jc w:val="both"/>
        <w:rPr>
          <w:rFonts w:hint="default" w:ascii="Times New Roman" w:hAnsi="Times New Roman" w:cs="Times New Roman"/>
          <w:highlight w:val="none"/>
        </w:rPr>
      </w:pPr>
      <w:r>
        <w:rPr>
          <w:rFonts w:hint="default" w:ascii="Times New Roman" w:hAnsi="Times New Roman" w:eastAsia="楷体_GB2312" w:cs="Times New Roman"/>
          <w:highlight w:val="none"/>
        </w:rPr>
        <w:t>项目过程情况</w:t>
      </w:r>
    </w:p>
    <w:p>
      <w:pPr>
        <w:numPr>
          <w:ilvl w:val="0"/>
          <w:numId w:val="0"/>
        </w:numP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项目</w:t>
      </w:r>
      <w:r>
        <w:rPr>
          <w:rFonts w:hint="eastAsia" w:ascii="仿宋_GB2312" w:hAnsi="仿宋_GB2312" w:eastAsia="仿宋_GB2312" w:cs="仿宋_GB2312"/>
          <w:sz w:val="32"/>
          <w:szCs w:val="32"/>
          <w:highlight w:val="none"/>
        </w:rPr>
        <w:t>严格按照预期绩效目标执行预算资金。项目资金使用符合相关的财务管理制度规定，能够反映和考核项目资金的规范运行情况；项目实施单位的财务和业务管理制度健全，能够反映和考核财务和业务管理制度对项目顺利实施的保障情况。</w:t>
      </w:r>
    </w:p>
    <w:p>
      <w:pPr>
        <w:rPr>
          <w:rFonts w:hint="default" w:ascii="Times New Roman" w:hAnsi="Times New Roman" w:cs="Times New Roman"/>
          <w:highlight w:val="none"/>
        </w:rPr>
      </w:pPr>
    </w:p>
    <w:p>
      <w:pPr>
        <w:pStyle w:val="3"/>
        <w:numPr>
          <w:ilvl w:val="0"/>
          <w:numId w:val="3"/>
        </w:numPr>
        <w:ind w:firstLine="321" w:firstLineChars="100"/>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项目产出</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Style w:val="9"/>
          <w:rFonts w:hint="default" w:ascii="Times New Roman" w:hAnsi="Times New Roman" w:eastAsia="仿宋" w:cs="Times New Roman"/>
          <w:b w:val="0"/>
          <w:bCs/>
          <w:spacing w:val="-4"/>
          <w:sz w:val="32"/>
          <w:szCs w:val="32"/>
          <w:highlight w:val="none"/>
        </w:rPr>
      </w:pPr>
      <w:r>
        <w:rPr>
          <w:rStyle w:val="9"/>
          <w:rFonts w:hint="default" w:ascii="Times New Roman" w:hAnsi="Times New Roman" w:eastAsia="仿宋" w:cs="Times New Roman"/>
          <w:b w:val="0"/>
          <w:bCs/>
          <w:spacing w:val="-4"/>
          <w:sz w:val="32"/>
          <w:szCs w:val="32"/>
          <w:highlight w:val="none"/>
        </w:rPr>
        <w:t>数量指标方面：</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a:开发专题图数量指标，指标值为1张，实际完成1张，完成率100%；</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 xml:space="preserve"> b：汇聚小麦、棉花、玉米等农作物种植数据，指标值为&gt;=3项，实际完成3项，完成率100%；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Style w:val="11"/>
          <w:rFonts w:hint="default" w:ascii="Times New Roman" w:hAnsi="Times New Roman" w:cs="Times New Roman"/>
          <w:color w:val="auto"/>
          <w:highlight w:val="none"/>
        </w:rPr>
      </w:pPr>
      <w:r>
        <w:rPr>
          <w:rStyle w:val="11"/>
          <w:rFonts w:hint="eastAsia" w:eastAsia="仿宋_GB2312" w:cs="Times New Roman"/>
          <w:color w:val="auto"/>
          <w:highlight w:val="none"/>
          <w:lang w:eastAsia="zh-CN"/>
        </w:rPr>
        <w:t>时效</w:t>
      </w:r>
      <w:r>
        <w:rPr>
          <w:rStyle w:val="11"/>
          <w:rFonts w:hint="default" w:ascii="Times New Roman" w:hAnsi="Times New Roman" w:cs="Times New Roman"/>
          <w:color w:val="auto"/>
          <w:highlight w:val="none"/>
        </w:rPr>
        <w:t>指标方面：</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a:专题图开发期限，指标值为&lt;=12月底，实际12月底前完成，完成率100%；</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b:汇聚全年小麦、棉花、玉米等农作物种植数据，指标值为&lt;=12月底，实际12月底前完成，完成率100%；</w:t>
      </w:r>
    </w:p>
    <w:p>
      <w:pPr>
        <w:pStyle w:val="2"/>
        <w:keepNext w:val="0"/>
        <w:keepLines w:val="0"/>
        <w:pageBreakBefore w:val="0"/>
        <w:kinsoku/>
        <w:wordWrap/>
        <w:overflowPunct/>
        <w:topLinePunct w:val="0"/>
        <w:autoSpaceDE/>
        <w:autoSpaceDN/>
        <w:bidi w:val="0"/>
        <w:adjustRightInd/>
        <w:snapToGrid/>
        <w:spacing w:before="0" w:after="0" w:line="560" w:lineRule="exact"/>
        <w:ind w:firstLine="640" w:firstLineChars="200"/>
        <w:jc w:val="both"/>
        <w:textAlignment w:val="auto"/>
        <w:rPr>
          <w:rStyle w:val="11"/>
          <w:rFonts w:hint="default" w:ascii="Times New Roman" w:hAnsi="Times New Roman" w:cs="Times New Roman"/>
          <w:b w:val="0"/>
          <w:bCs w:val="0"/>
          <w:color w:val="auto"/>
          <w:highlight w:val="none"/>
          <w:lang w:val="en-US" w:eastAsia="zh-CN"/>
        </w:rPr>
      </w:pPr>
      <w:r>
        <w:rPr>
          <w:rStyle w:val="11"/>
          <w:rFonts w:hint="eastAsia" w:ascii="Times New Roman" w:hAnsi="Times New Roman" w:cs="Times New Roman"/>
          <w:b w:val="0"/>
          <w:bCs w:val="0"/>
          <w:color w:val="auto"/>
          <w:highlight w:val="none"/>
          <w:lang w:val="en-US" w:eastAsia="zh-CN"/>
        </w:rPr>
        <w:t>经济</w:t>
      </w:r>
      <w:r>
        <w:rPr>
          <w:rStyle w:val="11"/>
          <w:rFonts w:hint="default" w:ascii="Times New Roman" w:hAnsi="Times New Roman" w:cs="Times New Roman"/>
          <w:b w:val="0"/>
          <w:bCs w:val="0"/>
          <w:color w:val="auto"/>
          <w:highlight w:val="none"/>
          <w:lang w:val="en-US" w:eastAsia="zh-CN"/>
        </w:rPr>
        <w:t>成本指标方面：</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a:专题图开发成本，指标值为&lt;=20万元，实际完成20万元，完成率100%；</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b:汇聚小麦、棉花、玉米等农作物种植数据成本，指标值为&lt;=17.4万元，实际完成17.4万元，完成率100%；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Style w:val="11"/>
          <w:rFonts w:hint="default" w:ascii="Times New Roman" w:hAnsi="Times New Roman" w:cs="Times New Roman"/>
          <w:color w:val="auto"/>
          <w:highlight w:val="none"/>
          <w:lang w:val="en-US" w:eastAsia="zh-CN"/>
        </w:rPr>
      </w:pPr>
      <w:r>
        <w:rPr>
          <w:rStyle w:val="11"/>
          <w:rFonts w:hint="eastAsia" w:cs="Times New Roman"/>
          <w:color w:val="auto"/>
          <w:highlight w:val="none"/>
          <w:lang w:val="en-US" w:eastAsia="zh-CN"/>
        </w:rPr>
        <w:t>社会效益</w:t>
      </w:r>
      <w:r>
        <w:rPr>
          <w:rStyle w:val="11"/>
          <w:rFonts w:hint="default" w:ascii="Times New Roman" w:hAnsi="Times New Roman" w:cs="Times New Roman"/>
          <w:color w:val="auto"/>
          <w:highlight w:val="none"/>
          <w:lang w:val="en-US" w:eastAsia="zh-CN"/>
        </w:rPr>
        <w:t>指标方面：</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a:新疆农业农村大数据平台数据应用服务能力有效提升，指标值为有效保障，实际全年有效保障，完成率100%；</w:t>
      </w:r>
    </w:p>
    <w:p>
      <w:pPr>
        <w:pageBreakBefore w:val="0"/>
        <w:kinsoku/>
        <w:wordWrap/>
        <w:overflowPunct/>
        <w:topLinePunct w:val="0"/>
        <w:autoSpaceDE/>
        <w:autoSpaceDN/>
        <w:bidi w:val="0"/>
        <w:adjustRightInd/>
        <w:snapToGrid/>
        <w:spacing w:line="600" w:lineRule="exact"/>
        <w:ind w:firstLine="640" w:firstLineChars="200"/>
        <w:textAlignment w:val="auto"/>
        <w:rPr>
          <w:rStyle w:val="11"/>
          <w:rFonts w:hint="default" w:ascii="Times New Roman" w:hAnsi="Times New Roman" w:cs="Times New Roman"/>
          <w:color w:val="auto"/>
          <w:highlight w:val="none"/>
        </w:rPr>
      </w:pPr>
      <w:r>
        <w:rPr>
          <w:rStyle w:val="11"/>
          <w:rFonts w:hint="default" w:ascii="Times New Roman" w:hAnsi="Times New Roman" w:cs="Times New Roman"/>
          <w:color w:val="auto"/>
          <w:highlight w:val="none"/>
        </w:rPr>
        <w:t>满意度指标方面：</w:t>
      </w:r>
    </w:p>
    <w:p>
      <w:pPr>
        <w:pStyle w:val="2"/>
        <w:ind w:firstLine="640" w:firstLineChars="200"/>
        <w:jc w:val="left"/>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a:厅相关业务处室对数据服务满意度，指标值为&gt;=90%，实际完成90%，完成率100%；</w:t>
      </w:r>
    </w:p>
    <w:p>
      <w:pPr>
        <w:pageBreakBefore w:val="0"/>
        <w:kinsoku/>
        <w:wordWrap/>
        <w:overflowPunct/>
        <w:topLinePunct w:val="0"/>
        <w:autoSpaceDE/>
        <w:autoSpaceDN/>
        <w:bidi w:val="0"/>
        <w:adjustRightInd/>
        <w:snapToGrid/>
        <w:spacing w:line="600" w:lineRule="exact"/>
        <w:ind w:firstLine="640" w:firstLineChars="200"/>
        <w:textAlignment w:val="auto"/>
        <w:rPr>
          <w:rStyle w:val="11"/>
          <w:rFonts w:hint="default" w:ascii="Times New Roman" w:hAnsi="Times New Roman" w:cs="Times New Roman"/>
          <w:color w:val="auto"/>
          <w:highlight w:val="none"/>
        </w:rPr>
      </w:pPr>
      <w:r>
        <w:rPr>
          <w:rFonts w:hint="default" w:ascii="Times New Roman" w:hAnsi="Times New Roman" w:eastAsia="黑体" w:cs="Times New Roman"/>
          <w:sz w:val="32"/>
          <w:szCs w:val="32"/>
          <w:highlight w:val="none"/>
        </w:rPr>
        <w:t>五、主要经验及做法、存在的问题及原因分析</w:t>
      </w:r>
    </w:p>
    <w:p>
      <w:pPr>
        <w:pageBreakBefore w:val="0"/>
        <w:kinsoku/>
        <w:wordWrap/>
        <w:overflowPunct/>
        <w:topLinePunct w:val="0"/>
        <w:autoSpaceDE/>
        <w:autoSpaceDN/>
        <w:bidi w:val="0"/>
        <w:adjustRightInd/>
        <w:snapToGrid/>
        <w:spacing w:line="600" w:lineRule="exact"/>
        <w:ind w:firstLine="627" w:firstLineChars="200"/>
        <w:textAlignment w:val="auto"/>
        <w:rPr>
          <w:rFonts w:hint="default" w:ascii="Times New Roman" w:hAnsi="Times New Roman" w:eastAsia="楷体" w:cs="Times New Roman"/>
          <w:b/>
          <w:spacing w:val="-4"/>
          <w:sz w:val="32"/>
          <w:szCs w:val="32"/>
          <w:highlight w:val="none"/>
        </w:rPr>
      </w:pPr>
      <w:r>
        <w:rPr>
          <w:rFonts w:hint="default" w:ascii="Times New Roman" w:hAnsi="Times New Roman" w:eastAsia="楷体" w:cs="Times New Roman"/>
          <w:b/>
          <w:spacing w:val="-4"/>
          <w:sz w:val="32"/>
          <w:szCs w:val="32"/>
          <w:highlight w:val="none"/>
        </w:rPr>
        <w:t>（一）主要经验及做法</w:t>
      </w:r>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2"/>
        <w:pageBreakBefore w:val="0"/>
        <w:kinsoku/>
        <w:wordWrap/>
        <w:overflowPunct/>
        <w:topLinePunct w:val="0"/>
        <w:autoSpaceDE/>
        <w:autoSpaceDN/>
        <w:bidi w:val="0"/>
        <w:adjustRightInd/>
        <w:snapToGrid/>
        <w:spacing w:before="0" w:after="0" w:line="600" w:lineRule="exact"/>
        <w:ind w:firstLine="640" w:firstLineChars="200"/>
        <w:textAlignment w:val="auto"/>
        <w:rPr>
          <w:rFonts w:hint="default" w:ascii="Times New Roman" w:hAnsi="Times New Roman" w:eastAsia="仿宋_GB2312" w:cs="Times New Roman"/>
          <w:b w:val="0"/>
          <w:bCs w:val="0"/>
          <w:kern w:val="2"/>
          <w:highlight w:val="none"/>
        </w:rPr>
      </w:pPr>
      <w:r>
        <w:rPr>
          <w:rFonts w:hint="default" w:ascii="Times New Roman" w:hAnsi="Times New Roman" w:eastAsia="仿宋_GB2312" w:cs="Times New Roman"/>
          <w:b w:val="0"/>
          <w:bCs w:val="0"/>
          <w:kern w:val="2"/>
          <w:highlight w:val="none"/>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pageBreakBefore w:val="0"/>
        <w:numPr>
          <w:ilvl w:val="0"/>
          <w:numId w:val="4"/>
        </w:numPr>
        <w:kinsoku/>
        <w:wordWrap/>
        <w:overflowPunct/>
        <w:topLinePunct w:val="0"/>
        <w:autoSpaceDE/>
        <w:autoSpaceDN/>
        <w:bidi w:val="0"/>
        <w:adjustRightInd/>
        <w:snapToGrid/>
        <w:spacing w:line="600" w:lineRule="exact"/>
        <w:ind w:left="0" w:leftChars="0" w:firstLine="643" w:firstLineChars="200"/>
        <w:textAlignment w:val="auto"/>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存在的问题及原因分析</w:t>
      </w:r>
    </w:p>
    <w:p>
      <w:pPr>
        <w:pStyle w:val="2"/>
        <w:pageBreakBefore w:val="0"/>
        <w:numPr>
          <w:ilvl w:val="0"/>
          <w:numId w:val="0"/>
        </w:numPr>
        <w:kinsoku/>
        <w:wordWrap/>
        <w:overflowPunct/>
        <w:topLinePunct w:val="0"/>
        <w:autoSpaceDE/>
        <w:autoSpaceDN/>
        <w:bidi w:val="0"/>
        <w:adjustRightInd/>
        <w:snapToGrid/>
        <w:spacing w:before="0" w:after="0" w:line="600" w:lineRule="exact"/>
        <w:ind w:firstLine="640" w:firstLineChars="200"/>
        <w:jc w:val="both"/>
        <w:textAlignment w:val="auto"/>
        <w:rPr>
          <w:rFonts w:hint="default" w:ascii="Times New Roman" w:hAnsi="Times New Roman" w:eastAsia="仿宋_GB2312" w:cs="Times New Roman"/>
          <w:b w:val="0"/>
          <w:bCs w:val="0"/>
          <w:kern w:val="2"/>
          <w:highlight w:val="none"/>
          <w:lang w:val="en-US" w:eastAsia="zh-CN"/>
        </w:rPr>
      </w:pPr>
      <w:r>
        <w:rPr>
          <w:rFonts w:hint="default" w:ascii="Times New Roman" w:hAnsi="Times New Roman" w:eastAsia="仿宋_GB2312" w:cs="Times New Roman"/>
          <w:b w:val="0"/>
          <w:bCs w:val="0"/>
          <w:kern w:val="2"/>
          <w:highlight w:val="none"/>
        </w:rPr>
        <w:t>存在的问题</w:t>
      </w:r>
      <w:r>
        <w:rPr>
          <w:rFonts w:hint="eastAsia" w:ascii="Times New Roman" w:hAnsi="Times New Roman" w:eastAsia="仿宋_GB2312" w:cs="Times New Roman"/>
          <w:b w:val="0"/>
          <w:bCs w:val="0"/>
          <w:kern w:val="2"/>
          <w:highlight w:val="none"/>
          <w:lang w:val="en-US" w:eastAsia="zh-CN"/>
        </w:rPr>
        <w:t>及</w:t>
      </w:r>
      <w:r>
        <w:rPr>
          <w:rFonts w:hint="default" w:ascii="Times New Roman" w:hAnsi="Times New Roman" w:eastAsia="仿宋_GB2312" w:cs="Times New Roman"/>
          <w:b w:val="0"/>
          <w:bCs w:val="0"/>
          <w:kern w:val="2"/>
          <w:highlight w:val="none"/>
        </w:rPr>
        <w:t>原因分析</w:t>
      </w:r>
      <w:r>
        <w:rPr>
          <w:rFonts w:hint="eastAsia" w:ascii="Times New Roman" w:hAnsi="Times New Roman" w:eastAsia="仿宋_GB2312" w:cs="Times New Roman"/>
          <w:b w:val="0"/>
          <w:bCs w:val="0"/>
          <w:kern w:val="2"/>
          <w:highlight w:val="none"/>
          <w:lang w:eastAsia="zh-CN"/>
        </w:rPr>
        <w:t>：</w:t>
      </w:r>
      <w:r>
        <w:rPr>
          <w:rFonts w:hint="eastAsia" w:ascii="Times New Roman" w:hAnsi="Times New Roman" w:eastAsia="仿宋_GB2312" w:cs="Times New Roman"/>
          <w:b w:val="0"/>
          <w:bCs w:val="0"/>
          <w:kern w:val="2"/>
          <w:highlight w:val="none"/>
          <w:lang w:val="en-US" w:eastAsia="zh-CN"/>
        </w:rPr>
        <w:t>无</w:t>
      </w:r>
    </w:p>
    <w:p>
      <w:pPr>
        <w:pageBreakBefore w:val="0"/>
        <w:numPr>
          <w:ilvl w:val="0"/>
          <w:numId w:val="5"/>
        </w:numPr>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有关建议</w:t>
      </w:r>
    </w:p>
    <w:p>
      <w:pPr>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highlight w:val="none"/>
        </w:rPr>
      </w:pPr>
      <w:r>
        <w:rPr>
          <w:rFonts w:hint="eastAsia" w:ascii="仿宋_GB2312" w:hAnsi="仿宋_GB2312" w:eastAsia="仿宋_GB2312" w:cs="仿宋_GB2312"/>
          <w:sz w:val="32"/>
          <w:szCs w:val="28"/>
          <w:highlight w:val="none"/>
        </w:rPr>
        <w:t>进一步加强对绩效管理工作的组织领导，提高对预算绩效管理工作重要性的认识，总结经验查找问题，抓紧研究制定更全面更完善的绩效评价管理办法。结合绩效工作考核制度，加大全局对全面实施预算绩效管理和绩效管理工作的学习力度，让“花钱必问效，无效必问责”的理念深入工作每个环节。</w:t>
      </w:r>
    </w:p>
    <w:p>
      <w:pPr>
        <w:pageBreakBefore w:val="0"/>
        <w:numPr>
          <w:ilvl w:val="0"/>
          <w:numId w:val="5"/>
        </w:numPr>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其他需要说</w:t>
      </w:r>
      <w:bookmarkStart w:id="2" w:name="page8"/>
      <w:bookmarkEnd w:id="2"/>
      <w:r>
        <w:rPr>
          <w:rFonts w:hint="default" w:ascii="Times New Roman" w:hAnsi="Times New Roman" w:eastAsia="黑体" w:cs="Times New Roman"/>
          <w:sz w:val="32"/>
          <w:szCs w:val="32"/>
          <w:highlight w:val="none"/>
        </w:rPr>
        <w:t>明的问题</w:t>
      </w:r>
    </w:p>
    <w:p>
      <w:pPr>
        <w:pStyle w:val="7"/>
        <w:numPr>
          <w:ilvl w:val="0"/>
          <w:numId w:val="0"/>
        </w:numPr>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无</w:t>
      </w:r>
    </w:p>
    <w:p>
      <w:pPr>
        <w:pStyle w:val="2"/>
        <w:jc w:val="both"/>
        <w:rPr>
          <w:rFonts w:hint="default" w:ascii="Times New Roman" w:hAnsi="Times New Roman" w:cs="Times New Roman"/>
          <w:highlight w:val="none"/>
        </w:rPr>
      </w:pPr>
    </w:p>
    <w:p>
      <w:pPr>
        <w:rPr>
          <w:rFonts w:hint="default"/>
        </w:rPr>
        <w:sectPr>
          <w:footerReference r:id="rId3" w:type="default"/>
          <w:pgSz w:w="11906" w:h="16838"/>
          <w:pgMar w:top="1440" w:right="1558" w:bottom="1440" w:left="1800" w:header="851" w:footer="992" w:gutter="0"/>
          <w:cols w:space="425" w:num="1"/>
          <w:docGrid w:type="lines" w:linePitch="312" w:charSpace="0"/>
        </w:sectPr>
      </w:pPr>
      <w:r>
        <w:drawing>
          <wp:inline distT="0" distB="0" distL="114300" distR="114300">
            <wp:extent cx="5419725" cy="3577590"/>
            <wp:effectExtent l="0" t="0" r="9525"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419725" cy="3577590"/>
                    </a:xfrm>
                    <a:prstGeom prst="rect">
                      <a:avLst/>
                    </a:prstGeom>
                    <a:noFill/>
                    <a:ln>
                      <a:noFill/>
                    </a:ln>
                  </pic:spPr>
                </pic:pic>
              </a:graphicData>
            </a:graphic>
          </wp:inline>
        </w:drawing>
      </w:r>
    </w:p>
    <w:p>
      <w:pPr>
        <w:spacing w:line="600" w:lineRule="exact"/>
        <w:rPr>
          <w:rFonts w:hint="default" w:ascii="Times New Roman" w:hAnsi="Times New Roman" w:cs="Times New Roman"/>
          <w:bCs/>
          <w:sz w:val="32"/>
          <w:szCs w:val="32"/>
          <w:highlight w:val="none"/>
          <w:lang w:val="en-US" w:eastAsia="zh-CN"/>
        </w:rPr>
      </w:pPr>
      <w:r>
        <w:rPr>
          <w:rFonts w:hint="default" w:ascii="Times New Roman" w:hAnsi="Times New Roman" w:cs="Times New Roman"/>
          <w:bCs/>
          <w:sz w:val="32"/>
          <w:szCs w:val="32"/>
          <w:highlight w:val="none"/>
          <w:lang w:val="en-US" w:eastAsia="zh-CN"/>
        </w:rPr>
        <w:t>附件1</w:t>
      </w:r>
    </w:p>
    <w:tbl>
      <w:tblPr>
        <w:tblStyle w:val="10"/>
        <w:tblW w:w="12683"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9"/>
        <w:gridCol w:w="767"/>
        <w:gridCol w:w="873"/>
        <w:gridCol w:w="2353"/>
        <w:gridCol w:w="518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839"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rPr>
            </w:pPr>
            <w:r>
              <w:rPr>
                <w:rFonts w:hint="default" w:ascii="Times New Roman" w:hAnsi="Times New Roman" w:eastAsia="宋体" w:cs="Times New Roman"/>
                <w:b/>
                <w:bCs/>
                <w:color w:val="000000"/>
                <w:kern w:val="0"/>
                <w:sz w:val="22"/>
                <w:szCs w:val="22"/>
                <w:highlight w:val="none"/>
              </w:rPr>
              <w:t>一级指标</w:t>
            </w:r>
          </w:p>
        </w:tc>
        <w:tc>
          <w:tcPr>
            <w:tcW w:w="767"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rPr>
            </w:pPr>
            <w:r>
              <w:rPr>
                <w:rFonts w:hint="default" w:ascii="Times New Roman" w:hAnsi="Times New Roman" w:eastAsia="宋体" w:cs="Times New Roman"/>
                <w:b/>
                <w:bCs/>
                <w:color w:val="000000"/>
                <w:kern w:val="0"/>
                <w:sz w:val="22"/>
                <w:szCs w:val="22"/>
                <w:highlight w:val="none"/>
              </w:rPr>
              <w:t>二级指标</w:t>
            </w:r>
          </w:p>
        </w:tc>
        <w:tc>
          <w:tcPr>
            <w:tcW w:w="873"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rPr>
            </w:pPr>
            <w:r>
              <w:rPr>
                <w:rFonts w:hint="default" w:ascii="Times New Roman" w:hAnsi="Times New Roman" w:eastAsia="宋体" w:cs="Times New Roman"/>
                <w:b/>
                <w:bCs/>
                <w:color w:val="000000"/>
                <w:kern w:val="0"/>
                <w:sz w:val="22"/>
                <w:szCs w:val="22"/>
                <w:highlight w:val="none"/>
              </w:rPr>
              <w:t>三级指标</w:t>
            </w:r>
          </w:p>
        </w:tc>
        <w:tc>
          <w:tcPr>
            <w:tcW w:w="2353"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rPr>
            </w:pPr>
            <w:r>
              <w:rPr>
                <w:rFonts w:hint="default" w:ascii="Times New Roman" w:hAnsi="Times New Roman" w:eastAsia="宋体" w:cs="Times New Roman"/>
                <w:b/>
                <w:bCs/>
                <w:color w:val="000000"/>
                <w:kern w:val="0"/>
                <w:sz w:val="22"/>
                <w:szCs w:val="22"/>
                <w:highlight w:val="none"/>
              </w:rPr>
              <w:t>指标解释</w:t>
            </w:r>
          </w:p>
        </w:tc>
        <w:tc>
          <w:tcPr>
            <w:tcW w:w="5188"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rPr>
            </w:pPr>
            <w:r>
              <w:rPr>
                <w:rFonts w:hint="default" w:ascii="Times New Roman" w:hAnsi="Times New Roman" w:eastAsia="宋体" w:cs="Times New Roman"/>
                <w:b/>
                <w:bCs/>
                <w:color w:val="000000"/>
                <w:kern w:val="0"/>
                <w:sz w:val="22"/>
                <w:szCs w:val="22"/>
                <w:highlight w:val="none"/>
              </w:rPr>
              <w:t>指标说明</w:t>
            </w:r>
          </w:p>
        </w:tc>
        <w:tc>
          <w:tcPr>
            <w:tcW w:w="1300"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权重</w:t>
            </w:r>
          </w:p>
        </w:tc>
        <w:tc>
          <w:tcPr>
            <w:tcW w:w="1363"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18" w:hRule="atLeast"/>
          <w:jc w:val="center"/>
        </w:trPr>
        <w:tc>
          <w:tcPr>
            <w:tcW w:w="839" w:type="dxa"/>
            <w:vMerge w:val="restart"/>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决策　</w:t>
            </w:r>
          </w:p>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　</w:t>
            </w:r>
          </w:p>
          <w:p>
            <w:pPr>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　</w:t>
            </w:r>
          </w:p>
        </w:tc>
        <w:tc>
          <w:tcPr>
            <w:tcW w:w="767" w:type="dxa"/>
            <w:vMerge w:val="restart"/>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项目立项　</w:t>
            </w: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立项依据</w:t>
            </w:r>
          </w:p>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充分性</w:t>
            </w:r>
          </w:p>
        </w:tc>
        <w:tc>
          <w:tcPr>
            <w:tcW w:w="2353" w:type="dxa"/>
            <w:shd w:val="clear" w:color="auto" w:fill="FFFFFF"/>
            <w:vAlign w:val="center"/>
          </w:tcPr>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项目立项是否符合法律法规、相关政策、发展规划以及部门职责，用以反映和考核项目立项依据情况。</w:t>
            </w:r>
          </w:p>
        </w:tc>
        <w:tc>
          <w:tcPr>
            <w:tcW w:w="5188" w:type="dxa"/>
            <w:shd w:val="clear" w:color="auto" w:fill="FFFFFF"/>
            <w:vAlign w:val="center"/>
          </w:tcPr>
          <w:p>
            <w:pPr>
              <w:widowControl/>
              <w:spacing w:line="0" w:lineRule="atLeast"/>
              <w:jc w:val="lef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评价要点：</w:t>
            </w:r>
          </w:p>
          <w:p>
            <w:pPr>
              <w:widowControl/>
              <w:spacing w:line="0" w:lineRule="atLeast"/>
              <w:jc w:val="lef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①项目立项是否符合国家法律法规、国民经济发展规划和相关政策；</w:t>
            </w:r>
          </w:p>
          <w:p>
            <w:pPr>
              <w:widowControl/>
              <w:spacing w:line="0" w:lineRule="atLeast"/>
              <w:jc w:val="lef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②项目立项是否符合行业发展规划和政策要求；</w:t>
            </w:r>
          </w:p>
          <w:p>
            <w:pPr>
              <w:widowControl/>
              <w:spacing w:line="0" w:lineRule="atLeast"/>
              <w:jc w:val="lef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③项目立项是否与部门职责范围相符，属于部门履职所需；</w:t>
            </w:r>
          </w:p>
          <w:p>
            <w:pPr>
              <w:widowControl/>
              <w:spacing w:line="0" w:lineRule="atLeast"/>
              <w:jc w:val="lef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④项目是否属于公共财政支持范围，是否符合中央、地方事权支出责任划分原则；</w:t>
            </w:r>
          </w:p>
          <w:p>
            <w:pPr>
              <w:widowControl/>
              <w:spacing w:line="0" w:lineRule="atLeast"/>
              <w:jc w:val="lef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⑤项目是否与相关部门同类项目或部门内部相关项目重复。</w:t>
            </w:r>
          </w:p>
        </w:tc>
        <w:tc>
          <w:tcPr>
            <w:tcW w:w="1300"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0.5</w:t>
            </w:r>
          </w:p>
        </w:tc>
        <w:tc>
          <w:tcPr>
            <w:tcW w:w="1363"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eastAsia" w:cs="Times New Roman"/>
                <w:b/>
                <w:bCs/>
                <w:color w:val="000000"/>
                <w:kern w:val="0"/>
                <w:sz w:val="22"/>
                <w:szCs w:val="22"/>
                <w:highlight w:val="none"/>
                <w:lang w:val="en-US" w:eastAsia="zh-CN"/>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40" w:hRule="atLeast"/>
          <w:jc w:val="center"/>
        </w:trPr>
        <w:tc>
          <w:tcPr>
            <w:tcW w:w="839" w:type="dxa"/>
            <w:vMerge w:val="continue"/>
            <w:shd w:val="clear" w:color="auto" w:fill="FFFFFF"/>
            <w:vAlign w:val="center"/>
          </w:tcPr>
          <w:p>
            <w:pPr>
              <w:spacing w:line="0" w:lineRule="atLeast"/>
              <w:jc w:val="center"/>
              <w:rPr>
                <w:rFonts w:hint="default" w:ascii="Times New Roman" w:hAnsi="Times New Roman" w:eastAsia="宋体" w:cs="Times New Roman"/>
                <w:color w:val="000000"/>
                <w:kern w:val="0"/>
                <w:sz w:val="22"/>
                <w:szCs w:val="22"/>
                <w:highlight w:val="none"/>
              </w:rPr>
            </w:pPr>
          </w:p>
        </w:tc>
        <w:tc>
          <w:tcPr>
            <w:tcW w:w="767" w:type="dxa"/>
            <w:vMerge w:val="continue"/>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立项程序</w:t>
            </w:r>
          </w:p>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规范性</w:t>
            </w:r>
          </w:p>
        </w:tc>
        <w:tc>
          <w:tcPr>
            <w:tcW w:w="2353" w:type="dxa"/>
            <w:shd w:val="clear" w:color="auto" w:fill="FFFFFF"/>
            <w:vAlign w:val="center"/>
          </w:tcPr>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项目申请、设立过程是否符合相关要求，用以反映和考核项目立项的规范情况。</w:t>
            </w:r>
          </w:p>
        </w:tc>
        <w:tc>
          <w:tcPr>
            <w:tcW w:w="5188" w:type="dxa"/>
            <w:shd w:val="clear" w:color="auto" w:fill="FFFFFF"/>
            <w:vAlign w:val="center"/>
          </w:tcPr>
          <w:p>
            <w:pPr>
              <w:widowControl/>
              <w:spacing w:line="0" w:lineRule="atLeast"/>
              <w:jc w:val="lef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评价要点：</w:t>
            </w:r>
          </w:p>
          <w:p>
            <w:pPr>
              <w:widowControl/>
              <w:spacing w:line="0" w:lineRule="atLeast"/>
              <w:jc w:val="lef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①项目是否按照规定的程序申请设立；</w:t>
            </w:r>
          </w:p>
          <w:p>
            <w:pPr>
              <w:widowControl/>
              <w:spacing w:line="0" w:lineRule="atLeast"/>
              <w:jc w:val="lef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②审批文件、材料是否符合相关要求；</w:t>
            </w:r>
          </w:p>
          <w:p>
            <w:pPr>
              <w:widowControl/>
              <w:spacing w:line="0" w:lineRule="atLeast"/>
              <w:jc w:val="lef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0.5</w:t>
            </w:r>
          </w:p>
        </w:tc>
        <w:tc>
          <w:tcPr>
            <w:tcW w:w="1363"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rPr>
            </w:pPr>
            <w:r>
              <w:rPr>
                <w:rFonts w:hint="eastAsia" w:cs="Times New Roman"/>
                <w:b/>
                <w:bCs/>
                <w:color w:val="000000"/>
                <w:kern w:val="0"/>
                <w:sz w:val="22"/>
                <w:szCs w:val="22"/>
                <w:highlight w:val="none"/>
                <w:lang w:val="en-US" w:eastAsia="zh-CN"/>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9" w:hRule="atLeast"/>
          <w:jc w:val="center"/>
        </w:trPr>
        <w:tc>
          <w:tcPr>
            <w:tcW w:w="839" w:type="dxa"/>
            <w:vMerge w:val="continue"/>
            <w:shd w:val="clear" w:color="auto" w:fill="FFFFFF"/>
            <w:vAlign w:val="center"/>
          </w:tcPr>
          <w:p>
            <w:pPr>
              <w:spacing w:line="0" w:lineRule="atLeast"/>
              <w:jc w:val="center"/>
              <w:rPr>
                <w:rFonts w:hint="default" w:ascii="Times New Roman" w:hAnsi="Times New Roman" w:eastAsia="宋体" w:cs="Times New Roman"/>
                <w:color w:val="000000"/>
                <w:kern w:val="0"/>
                <w:sz w:val="22"/>
                <w:szCs w:val="22"/>
                <w:highlight w:val="none"/>
              </w:rPr>
            </w:pPr>
          </w:p>
        </w:tc>
        <w:tc>
          <w:tcPr>
            <w:tcW w:w="767"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绩效目标　</w:t>
            </w: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绩效目标</w:t>
            </w:r>
          </w:p>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合理性</w:t>
            </w:r>
          </w:p>
        </w:tc>
        <w:tc>
          <w:tcPr>
            <w:tcW w:w="2353" w:type="dxa"/>
            <w:shd w:val="clear" w:color="000000" w:fill="FFFFFF"/>
            <w:vAlign w:val="center"/>
          </w:tcPr>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项目所设定的绩效目标是否依据充分，是否符合客观实际，用以反映和考核项目绩效目标与项目实施的相符情况。</w:t>
            </w:r>
          </w:p>
        </w:tc>
        <w:tc>
          <w:tcPr>
            <w:tcW w:w="5188" w:type="dxa"/>
            <w:shd w:val="clear" w:color="000000" w:fill="FFFFFF"/>
            <w:vAlign w:val="center"/>
          </w:tcPr>
          <w:p>
            <w:pPr>
              <w:widowControl/>
              <w:spacing w:line="0" w:lineRule="atLeast"/>
              <w:jc w:val="lef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评价要点：</w:t>
            </w:r>
          </w:p>
          <w:p>
            <w:pPr>
              <w:widowControl/>
              <w:spacing w:line="0" w:lineRule="atLeast"/>
              <w:jc w:val="lef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（如未设定预算绩效目标，也可考</w:t>
            </w:r>
            <w:bookmarkStart w:id="3" w:name="_GoBack"/>
            <w:bookmarkEnd w:id="3"/>
            <w:r>
              <w:rPr>
                <w:rFonts w:hint="default" w:ascii="Times New Roman" w:hAnsi="Times New Roman" w:eastAsia="宋体" w:cs="Times New Roman"/>
                <w:color w:val="000000"/>
                <w:kern w:val="0"/>
                <w:sz w:val="22"/>
                <w:szCs w:val="22"/>
                <w:highlight w:val="none"/>
              </w:rPr>
              <w:t>核其他工作任务目标）</w:t>
            </w:r>
          </w:p>
          <w:p>
            <w:pPr>
              <w:widowControl/>
              <w:spacing w:line="0" w:lineRule="atLeast"/>
              <w:jc w:val="lef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①项目是否有绩效目标；</w:t>
            </w:r>
          </w:p>
          <w:p>
            <w:pPr>
              <w:widowControl/>
              <w:spacing w:line="0" w:lineRule="atLeast"/>
              <w:jc w:val="lef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②项目绩效目标与实际工作内容是否具有相关性；</w:t>
            </w:r>
          </w:p>
          <w:p>
            <w:pPr>
              <w:widowControl/>
              <w:spacing w:line="0" w:lineRule="atLeast"/>
              <w:jc w:val="lef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③项目预期产出效益和效果是否符合正常的业绩水平；</w:t>
            </w:r>
          </w:p>
          <w:p>
            <w:pPr>
              <w:widowControl/>
              <w:spacing w:line="0" w:lineRule="atLeast"/>
              <w:jc w:val="lef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④是否与预算确定的项目投资额或资金量相匹配。</w:t>
            </w:r>
          </w:p>
        </w:tc>
        <w:tc>
          <w:tcPr>
            <w:tcW w:w="1300"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rPr>
            </w:pPr>
            <w:r>
              <w:rPr>
                <w:rFonts w:hint="eastAsia" w:cs="Times New Roman"/>
                <w:b/>
                <w:bCs/>
                <w:color w:val="000000"/>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39" w:type="dxa"/>
            <w:vMerge w:val="restart"/>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决策　</w:t>
            </w:r>
          </w:p>
        </w:tc>
        <w:tc>
          <w:tcPr>
            <w:tcW w:w="767"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绩效目标</w:t>
            </w: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绩效指标</w:t>
            </w:r>
          </w:p>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明确性</w:t>
            </w:r>
          </w:p>
        </w:tc>
        <w:tc>
          <w:tcPr>
            <w:tcW w:w="2353" w:type="dxa"/>
            <w:shd w:val="clear" w:color="000000" w:fill="FFFFFF"/>
            <w:vAlign w:val="center"/>
          </w:tcPr>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依据绩效目标设定的绩效指标是否清晰、细化、可衡量等，用以反映和考核项目绩效目标的明细化情况。</w:t>
            </w:r>
          </w:p>
        </w:tc>
        <w:tc>
          <w:tcPr>
            <w:tcW w:w="5188" w:type="dxa"/>
            <w:shd w:val="clear" w:color="000000" w:fill="FFFFFF"/>
            <w:vAlign w:val="center"/>
          </w:tcPr>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评价要点：</w:t>
            </w:r>
          </w:p>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①是否将项目绩效目标细化分解为具体的绩效指标；</w:t>
            </w:r>
          </w:p>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②是否通过清晰、可衡量的指标值予以体现；</w:t>
            </w:r>
          </w:p>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③是否与项目目标任务数或计划数相对应。</w:t>
            </w:r>
          </w:p>
          <w:p>
            <w:pPr>
              <w:pStyle w:val="2"/>
              <w:rPr>
                <w:rFonts w:hint="eastAsia"/>
                <w:highlight w:val="none"/>
                <w:lang w:eastAsia="zh-CN"/>
              </w:rPr>
            </w:pPr>
          </w:p>
        </w:tc>
        <w:tc>
          <w:tcPr>
            <w:tcW w:w="1300"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rPr>
            </w:pPr>
            <w:r>
              <w:rPr>
                <w:rFonts w:hint="eastAsia" w:cs="Times New Roman"/>
                <w:b/>
                <w:bCs/>
                <w:color w:val="000000"/>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39" w:type="dxa"/>
            <w:vMerge w:val="continue"/>
            <w:shd w:val="clear" w:color="auto" w:fill="FFFFFF"/>
            <w:vAlign w:val="center"/>
          </w:tcPr>
          <w:p>
            <w:pPr>
              <w:spacing w:line="0" w:lineRule="atLeast"/>
              <w:jc w:val="center"/>
              <w:rPr>
                <w:rFonts w:hint="default" w:ascii="Times New Roman" w:hAnsi="Times New Roman" w:eastAsia="宋体" w:cs="Times New Roman"/>
                <w:color w:val="000000"/>
                <w:kern w:val="0"/>
                <w:sz w:val="22"/>
                <w:szCs w:val="22"/>
                <w:highlight w:val="none"/>
              </w:rPr>
            </w:pPr>
          </w:p>
        </w:tc>
        <w:tc>
          <w:tcPr>
            <w:tcW w:w="767" w:type="dxa"/>
            <w:vMerge w:val="restart"/>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资金投入</w:t>
            </w:r>
          </w:p>
          <w:p>
            <w:pPr>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　</w:t>
            </w: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预算编制</w:t>
            </w:r>
          </w:p>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科学性</w:t>
            </w:r>
          </w:p>
        </w:tc>
        <w:tc>
          <w:tcPr>
            <w:tcW w:w="2353" w:type="dxa"/>
            <w:shd w:val="clear" w:color="auto" w:fill="FFFFFF"/>
            <w:vAlign w:val="center"/>
          </w:tcPr>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项目预算编制是否经过科学论证、有明确标准，资金额度与年度目标是否相适应，用以反映和考核项目预算编制的科学性、合理性情况。</w:t>
            </w:r>
          </w:p>
        </w:tc>
        <w:tc>
          <w:tcPr>
            <w:tcW w:w="5188" w:type="dxa"/>
            <w:shd w:val="clear" w:color="auto" w:fill="FFFFFF"/>
            <w:vAlign w:val="center"/>
          </w:tcPr>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评价要点：</w:t>
            </w:r>
          </w:p>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①预算编制是否经过科学论证；</w:t>
            </w:r>
          </w:p>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②预算内容与项目内容是否匹配；</w:t>
            </w:r>
          </w:p>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③预算额度测算依据是否充分，是否按照标准编制；</w:t>
            </w:r>
          </w:p>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④预算确定的项目投资额或资金量是否与工作任务相匹配。</w:t>
            </w:r>
          </w:p>
        </w:tc>
        <w:tc>
          <w:tcPr>
            <w:tcW w:w="1300"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w:t>
            </w:r>
          </w:p>
        </w:tc>
        <w:tc>
          <w:tcPr>
            <w:tcW w:w="1363"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rPr>
            </w:pPr>
            <w:r>
              <w:rPr>
                <w:rFonts w:hint="eastAsia" w:cs="Times New Roman"/>
                <w:b/>
                <w:bCs/>
                <w:color w:val="000000"/>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39" w:type="dxa"/>
            <w:vMerge w:val="continue"/>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p>
        </w:tc>
        <w:tc>
          <w:tcPr>
            <w:tcW w:w="767" w:type="dxa"/>
            <w:vMerge w:val="continue"/>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资金分配</w:t>
            </w:r>
          </w:p>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合理性</w:t>
            </w:r>
          </w:p>
        </w:tc>
        <w:tc>
          <w:tcPr>
            <w:tcW w:w="2353" w:type="dxa"/>
            <w:shd w:val="clear" w:color="auto" w:fill="FFFFFF"/>
            <w:vAlign w:val="center"/>
          </w:tcPr>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项目预算资金分配是否有测算依据，与补助单位或地方实际是否相适应，用以反映和考核项目预算资金分配的科学性、合理性情况。</w:t>
            </w:r>
          </w:p>
        </w:tc>
        <w:tc>
          <w:tcPr>
            <w:tcW w:w="5188" w:type="dxa"/>
            <w:shd w:val="clear" w:color="auto" w:fill="FFFFFF"/>
            <w:vAlign w:val="center"/>
          </w:tcPr>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评价要点：</w:t>
            </w:r>
          </w:p>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①预算资金分配依据是否充分；</w:t>
            </w:r>
          </w:p>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②资金分配额度是否合理，与项目单位或地方实际是否相适应。</w:t>
            </w:r>
          </w:p>
        </w:tc>
        <w:tc>
          <w:tcPr>
            <w:tcW w:w="1300"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w:t>
            </w:r>
          </w:p>
        </w:tc>
        <w:tc>
          <w:tcPr>
            <w:tcW w:w="1363"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rPr>
            </w:pPr>
            <w:r>
              <w:rPr>
                <w:rFonts w:hint="eastAsia" w:cs="Times New Roman"/>
                <w:b/>
                <w:bCs/>
                <w:color w:val="000000"/>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39" w:type="dxa"/>
            <w:vMerge w:val="restart"/>
            <w:shd w:val="clear" w:color="auto" w:fill="FFFFFF"/>
            <w:vAlign w:val="center"/>
          </w:tcPr>
          <w:p>
            <w:pPr>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过程</w:t>
            </w:r>
          </w:p>
        </w:tc>
        <w:tc>
          <w:tcPr>
            <w:tcW w:w="767" w:type="dxa"/>
            <w:vMerge w:val="restart"/>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资金管理</w:t>
            </w: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资金到位率</w:t>
            </w:r>
          </w:p>
        </w:tc>
        <w:tc>
          <w:tcPr>
            <w:tcW w:w="2353" w:type="dxa"/>
            <w:shd w:val="clear" w:color="000000" w:fill="FFFFFF"/>
            <w:vAlign w:val="center"/>
          </w:tcPr>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实际到位资金与预算资金的比率，用以反映和考核资金落实情况对项目实施的总体保障程度。</w:t>
            </w:r>
          </w:p>
        </w:tc>
        <w:tc>
          <w:tcPr>
            <w:tcW w:w="5188" w:type="dxa"/>
            <w:shd w:val="clear" w:color="000000" w:fill="FFFFFF"/>
            <w:vAlign w:val="center"/>
          </w:tcPr>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资金到位率=（实际到位资金/预算资金）×100%。</w:t>
            </w:r>
          </w:p>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实际到位资金：一定时期（本年度或项目期）内落实到具体项目的资金。</w:t>
            </w:r>
          </w:p>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预算资金：一定时期（本年度或项目期）内预算安排到具体项目的资金。</w:t>
            </w:r>
          </w:p>
        </w:tc>
        <w:tc>
          <w:tcPr>
            <w:tcW w:w="1300"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rPr>
            </w:pPr>
            <w:r>
              <w:rPr>
                <w:rFonts w:hint="eastAsia" w:cs="Times New Roman"/>
                <w:b/>
                <w:bCs/>
                <w:color w:val="000000"/>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39" w:type="dxa"/>
            <w:vMerge w:val="continue"/>
            <w:shd w:val="clear" w:color="auto" w:fill="FFFFFF"/>
            <w:vAlign w:val="center"/>
          </w:tcPr>
          <w:p>
            <w:pPr>
              <w:spacing w:line="0" w:lineRule="atLeast"/>
              <w:jc w:val="center"/>
              <w:rPr>
                <w:rFonts w:hint="default" w:ascii="Times New Roman" w:hAnsi="Times New Roman" w:eastAsia="宋体" w:cs="Times New Roman"/>
                <w:color w:val="000000"/>
                <w:kern w:val="0"/>
                <w:sz w:val="22"/>
                <w:szCs w:val="22"/>
                <w:highlight w:val="none"/>
              </w:rPr>
            </w:pPr>
          </w:p>
        </w:tc>
        <w:tc>
          <w:tcPr>
            <w:tcW w:w="767" w:type="dxa"/>
            <w:vMerge w:val="continue"/>
            <w:shd w:val="clear" w:color="auto" w:fill="FFFFFF"/>
            <w:vAlign w:val="center"/>
          </w:tcPr>
          <w:p>
            <w:pPr>
              <w:spacing w:line="0" w:lineRule="atLeast"/>
              <w:jc w:val="center"/>
              <w:rPr>
                <w:rFonts w:hint="default" w:ascii="Times New Roman" w:hAnsi="Times New Roman" w:eastAsia="宋体" w:cs="Times New Roman"/>
                <w:color w:val="000000"/>
                <w:kern w:val="0"/>
                <w:sz w:val="22"/>
                <w:szCs w:val="22"/>
                <w:highlight w:val="none"/>
              </w:rPr>
            </w:pP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预算执行率</w:t>
            </w:r>
          </w:p>
        </w:tc>
        <w:tc>
          <w:tcPr>
            <w:tcW w:w="2353" w:type="dxa"/>
            <w:shd w:val="clear" w:color="auto" w:fill="FFFFFF"/>
            <w:vAlign w:val="center"/>
          </w:tcPr>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项目预算资金是否按照计划执行，用以反映或考核项目预算执行情况。</w:t>
            </w:r>
          </w:p>
        </w:tc>
        <w:tc>
          <w:tcPr>
            <w:tcW w:w="5188" w:type="dxa"/>
            <w:shd w:val="clear" w:color="auto" w:fill="FFFFFF"/>
            <w:vAlign w:val="center"/>
          </w:tcPr>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预算执行率=（实际支出资金/实际到位资金）×100%。</w:t>
            </w:r>
          </w:p>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实际支出资金：一定时期（本年度或项目期）内项目实际拨付的资金。</w:t>
            </w:r>
          </w:p>
        </w:tc>
        <w:tc>
          <w:tcPr>
            <w:tcW w:w="1300"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w:t>
            </w:r>
          </w:p>
        </w:tc>
        <w:tc>
          <w:tcPr>
            <w:tcW w:w="1363"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rPr>
            </w:pPr>
            <w:r>
              <w:rPr>
                <w:rFonts w:hint="eastAsia" w:cs="Times New Roman"/>
                <w:b/>
                <w:bCs/>
                <w:color w:val="000000"/>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9" w:type="dxa"/>
            <w:vMerge w:val="restart"/>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　</w:t>
            </w:r>
          </w:p>
          <w:p>
            <w:pPr>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过程　</w:t>
            </w:r>
          </w:p>
        </w:tc>
        <w:tc>
          <w:tcPr>
            <w:tcW w:w="767"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资金管理</w:t>
            </w: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资金使用</w:t>
            </w:r>
          </w:p>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合规性</w:t>
            </w:r>
          </w:p>
        </w:tc>
        <w:tc>
          <w:tcPr>
            <w:tcW w:w="2353" w:type="dxa"/>
            <w:shd w:val="clear" w:color="000000" w:fill="FFFFFF"/>
            <w:vAlign w:val="center"/>
          </w:tcPr>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项目资金使用是否符合相关的财务管理制度规定，用以反映和考核项目资金的规范运行情况。</w:t>
            </w:r>
          </w:p>
        </w:tc>
        <w:tc>
          <w:tcPr>
            <w:tcW w:w="5188" w:type="dxa"/>
            <w:shd w:val="clear" w:color="000000" w:fill="FFFFFF"/>
            <w:vAlign w:val="center"/>
          </w:tcPr>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评价要点：</w:t>
            </w:r>
          </w:p>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①是否符合国家财经法规和财务管理制度以及有关专项资金管理办法的规定；</w:t>
            </w:r>
          </w:p>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②资金的拨付是否有完整的审批程序和手续；</w:t>
            </w:r>
          </w:p>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③是否符合项目预算批复或合同规定的用途；</w:t>
            </w:r>
          </w:p>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④是否存在截留、挤占、挪用、虚列支出等情况。</w:t>
            </w:r>
          </w:p>
        </w:tc>
        <w:tc>
          <w:tcPr>
            <w:tcW w:w="1300"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rPr>
            </w:pPr>
            <w:r>
              <w:rPr>
                <w:rFonts w:hint="eastAsia" w:cs="Times New Roman"/>
                <w:b/>
                <w:bCs/>
                <w:color w:val="000000"/>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39" w:type="dxa"/>
            <w:vMerge w:val="continue"/>
            <w:shd w:val="clear" w:color="auto" w:fill="FFFFFF"/>
            <w:vAlign w:val="center"/>
          </w:tcPr>
          <w:p>
            <w:pPr>
              <w:spacing w:line="0" w:lineRule="atLeast"/>
              <w:jc w:val="center"/>
              <w:rPr>
                <w:rFonts w:hint="default" w:ascii="Times New Roman" w:hAnsi="Times New Roman" w:eastAsia="宋体" w:cs="Times New Roman"/>
                <w:color w:val="000000"/>
                <w:kern w:val="0"/>
                <w:sz w:val="22"/>
                <w:szCs w:val="22"/>
                <w:highlight w:val="none"/>
              </w:rPr>
            </w:pPr>
          </w:p>
        </w:tc>
        <w:tc>
          <w:tcPr>
            <w:tcW w:w="767" w:type="dxa"/>
            <w:vMerge w:val="restart"/>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组织实施</w:t>
            </w:r>
          </w:p>
          <w:p>
            <w:pPr>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　</w:t>
            </w: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管理制度</w:t>
            </w:r>
          </w:p>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健全性</w:t>
            </w:r>
          </w:p>
        </w:tc>
        <w:tc>
          <w:tcPr>
            <w:tcW w:w="2353" w:type="dxa"/>
            <w:shd w:val="clear" w:color="000000" w:fill="FFFFFF"/>
            <w:vAlign w:val="center"/>
          </w:tcPr>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项目实施单位的财务和业务管理制度是否健全，用以反映和考核财务和业务管理制度对项目顺利实施的保障情况。</w:t>
            </w:r>
          </w:p>
        </w:tc>
        <w:tc>
          <w:tcPr>
            <w:tcW w:w="5188" w:type="dxa"/>
            <w:shd w:val="clear" w:color="000000" w:fill="FFFFFF"/>
            <w:vAlign w:val="center"/>
          </w:tcPr>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评价要点：</w:t>
            </w:r>
          </w:p>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①是否已制定或具有相应的财务和业务管理制度；</w:t>
            </w:r>
          </w:p>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②财务和业务管理制度是否合法、合规、完整。</w:t>
            </w:r>
          </w:p>
        </w:tc>
        <w:tc>
          <w:tcPr>
            <w:tcW w:w="1300"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rPr>
            </w:pPr>
            <w:r>
              <w:rPr>
                <w:rFonts w:hint="eastAsia" w:cs="Times New Roman"/>
                <w:b/>
                <w:bCs/>
                <w:color w:val="000000"/>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39" w:type="dxa"/>
            <w:vMerge w:val="continue"/>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p>
        </w:tc>
        <w:tc>
          <w:tcPr>
            <w:tcW w:w="767" w:type="dxa"/>
            <w:vMerge w:val="continue"/>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制度执行</w:t>
            </w:r>
          </w:p>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有效性</w:t>
            </w:r>
          </w:p>
        </w:tc>
        <w:tc>
          <w:tcPr>
            <w:tcW w:w="2353" w:type="dxa"/>
            <w:shd w:val="clear" w:color="000000" w:fill="FFFFFF"/>
            <w:vAlign w:val="center"/>
          </w:tcPr>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项目实施是否符合相关管理规定，用以反映和考核相关管理制度的有效执行情况。</w:t>
            </w:r>
          </w:p>
        </w:tc>
        <w:tc>
          <w:tcPr>
            <w:tcW w:w="5188" w:type="dxa"/>
            <w:shd w:val="clear" w:color="000000" w:fill="FFFFFF"/>
            <w:vAlign w:val="center"/>
          </w:tcPr>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评价要点：</w:t>
            </w:r>
          </w:p>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①是否遵守相关法律法规和相关管理规定；</w:t>
            </w:r>
          </w:p>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②项目调整及支出调整手续是否完备；</w:t>
            </w:r>
          </w:p>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③项目合同书、验收报告、技术鉴定等资料是否齐全并及时归档；</w:t>
            </w:r>
          </w:p>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④项目实施的人员条件、场地设备、信息支撑等是否落实到位。</w:t>
            </w:r>
          </w:p>
        </w:tc>
        <w:tc>
          <w:tcPr>
            <w:tcW w:w="1300"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rPr>
            </w:pPr>
            <w:r>
              <w:rPr>
                <w:rFonts w:hint="eastAsia" w:cs="Times New Roman"/>
                <w:b/>
                <w:bCs/>
                <w:color w:val="000000"/>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39"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产出</w:t>
            </w:r>
          </w:p>
        </w:tc>
        <w:tc>
          <w:tcPr>
            <w:tcW w:w="767"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产出数量</w:t>
            </w: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实际完成率</w:t>
            </w:r>
          </w:p>
        </w:tc>
        <w:tc>
          <w:tcPr>
            <w:tcW w:w="2353" w:type="dxa"/>
            <w:shd w:val="clear" w:color="000000" w:fill="FFFFFF"/>
            <w:vAlign w:val="center"/>
          </w:tcPr>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项目实施的实际产出数与计划产出数的比率，用以反映和考核项目产出数量目标的实现程度。</w:t>
            </w:r>
          </w:p>
        </w:tc>
        <w:tc>
          <w:tcPr>
            <w:tcW w:w="5188" w:type="dxa"/>
            <w:shd w:val="clear" w:color="000000" w:fill="FFFFFF"/>
            <w:vAlign w:val="center"/>
          </w:tcPr>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实际完成率=（实际产出数/计划产出数）×100%。</w:t>
            </w:r>
          </w:p>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实际产出数：一定时期（本年度或项目期）内项目实际产出的产品或提供的服务数量。</w:t>
            </w:r>
          </w:p>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15</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rPr>
            </w:pPr>
            <w:r>
              <w:rPr>
                <w:rFonts w:hint="eastAsia" w:cs="Times New Roman"/>
                <w:b/>
                <w:bCs/>
                <w:color w:val="000000"/>
                <w:kern w:val="0"/>
                <w:sz w:val="22"/>
                <w:szCs w:val="22"/>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39" w:type="dxa"/>
            <w:vMerge w:val="restart"/>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产出</w:t>
            </w:r>
          </w:p>
        </w:tc>
        <w:tc>
          <w:tcPr>
            <w:tcW w:w="767"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产出质量</w:t>
            </w: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质量达标率</w:t>
            </w:r>
          </w:p>
        </w:tc>
        <w:tc>
          <w:tcPr>
            <w:tcW w:w="2353" w:type="dxa"/>
            <w:shd w:val="clear" w:color="000000" w:fill="FFFFFF"/>
            <w:vAlign w:val="center"/>
          </w:tcPr>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项目完成的质量达标产出数与实际产出数的比率，用以反映和考核项目产出质量目标的实现程度。</w:t>
            </w:r>
          </w:p>
        </w:tc>
        <w:tc>
          <w:tcPr>
            <w:tcW w:w="5188" w:type="dxa"/>
            <w:shd w:val="clear" w:color="000000" w:fill="FFFFFF"/>
            <w:vAlign w:val="center"/>
          </w:tcPr>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质量达标率=（质量达标产出数/实际产出数）×100%。</w:t>
            </w:r>
          </w:p>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10</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rPr>
            </w:pPr>
            <w:r>
              <w:rPr>
                <w:rFonts w:hint="eastAsia"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39" w:type="dxa"/>
            <w:vMerge w:val="continue"/>
            <w:shd w:val="clear" w:color="auto" w:fill="FFFFFF"/>
            <w:vAlign w:val="center"/>
          </w:tcPr>
          <w:p>
            <w:pPr>
              <w:spacing w:line="0" w:lineRule="atLeast"/>
              <w:jc w:val="center"/>
              <w:rPr>
                <w:rFonts w:hint="default" w:ascii="Times New Roman" w:hAnsi="Times New Roman" w:eastAsia="宋体" w:cs="Times New Roman"/>
                <w:color w:val="000000"/>
                <w:kern w:val="0"/>
                <w:sz w:val="22"/>
                <w:szCs w:val="22"/>
                <w:highlight w:val="none"/>
              </w:rPr>
            </w:pPr>
          </w:p>
        </w:tc>
        <w:tc>
          <w:tcPr>
            <w:tcW w:w="767" w:type="dxa"/>
            <w:shd w:val="clear" w:color="auto" w:fill="FFFFFF"/>
            <w:vAlign w:val="center"/>
          </w:tcPr>
          <w:p>
            <w:pPr>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产出时效</w:t>
            </w: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完成及时性</w:t>
            </w:r>
          </w:p>
        </w:tc>
        <w:tc>
          <w:tcPr>
            <w:tcW w:w="2353" w:type="dxa"/>
            <w:shd w:val="clear" w:color="000000" w:fill="FFFFFF"/>
            <w:vAlign w:val="center"/>
          </w:tcPr>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项目实际完成时间与计划完成时间的比较，用以反映和考核项目产出时效目标的实现程度。</w:t>
            </w:r>
          </w:p>
        </w:tc>
        <w:tc>
          <w:tcPr>
            <w:tcW w:w="5188" w:type="dxa"/>
            <w:shd w:val="clear" w:color="000000" w:fill="FFFFFF"/>
            <w:vAlign w:val="center"/>
          </w:tcPr>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实际完成时间：项目实施单位完成该项目实际所耗用的时间。</w:t>
            </w:r>
          </w:p>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15</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rPr>
            </w:pPr>
            <w:r>
              <w:rPr>
                <w:rFonts w:hint="eastAsia" w:cs="Times New Roman"/>
                <w:b/>
                <w:bCs/>
                <w:color w:val="000000"/>
                <w:kern w:val="0"/>
                <w:sz w:val="22"/>
                <w:szCs w:val="22"/>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9" w:type="dxa"/>
            <w:vMerge w:val="continue"/>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p>
        </w:tc>
        <w:tc>
          <w:tcPr>
            <w:tcW w:w="767"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产出成本</w:t>
            </w: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成本节约率</w:t>
            </w:r>
          </w:p>
        </w:tc>
        <w:tc>
          <w:tcPr>
            <w:tcW w:w="2353" w:type="dxa"/>
            <w:shd w:val="clear" w:color="000000" w:fill="FFFFFF"/>
            <w:vAlign w:val="center"/>
          </w:tcPr>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完成项目计划工作目标的实际节约成本与计划成本的比率，用以反映和考核项目的成本节约程度。</w:t>
            </w:r>
          </w:p>
        </w:tc>
        <w:tc>
          <w:tcPr>
            <w:tcW w:w="5188" w:type="dxa"/>
            <w:shd w:val="clear" w:color="000000" w:fill="FFFFFF"/>
            <w:vAlign w:val="center"/>
          </w:tcPr>
          <w:p>
            <w:pPr>
              <w:widowControl/>
              <w:spacing w:line="0" w:lineRule="atLeast"/>
              <w:rPr>
                <w:rFonts w:hint="eastAsia" w:ascii="Times New Roman" w:hAnsi="Times New Roman" w:eastAsia="宋体" w:cs="Times New Roman"/>
                <w:color w:val="000000"/>
                <w:kern w:val="0"/>
                <w:sz w:val="22"/>
                <w:szCs w:val="22"/>
                <w:highlight w:val="none"/>
                <w:lang w:eastAsia="zh-CN"/>
              </w:rPr>
            </w:pPr>
          </w:p>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成本节约率=[（计划成本-实际成本）/计划成本]×100%。</w:t>
            </w:r>
          </w:p>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实际成本：项目实施单位如期、保质、保量完成既定工作目标实际所耗费的支出。</w:t>
            </w:r>
          </w:p>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10</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rPr>
            </w:pPr>
            <w:r>
              <w:rPr>
                <w:rFonts w:hint="eastAsia"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39" w:type="dxa"/>
            <w:vMerge w:val="restart"/>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效益　</w:t>
            </w:r>
          </w:p>
        </w:tc>
        <w:tc>
          <w:tcPr>
            <w:tcW w:w="767" w:type="dxa"/>
            <w:vMerge w:val="restart"/>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项目效益　</w:t>
            </w: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实施效益</w:t>
            </w:r>
          </w:p>
        </w:tc>
        <w:tc>
          <w:tcPr>
            <w:tcW w:w="2353" w:type="dxa"/>
            <w:shd w:val="clear" w:color="auto" w:fill="FFFFFF"/>
            <w:vAlign w:val="center"/>
          </w:tcPr>
          <w:p>
            <w:pPr>
              <w:widowControl/>
              <w:spacing w:line="0" w:lineRule="atLeast"/>
              <w:jc w:val="lef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项目实施所产生的效益。</w:t>
            </w:r>
          </w:p>
        </w:tc>
        <w:tc>
          <w:tcPr>
            <w:tcW w:w="5188" w:type="dxa"/>
            <w:shd w:val="clear" w:color="auto" w:fill="FFFFFF"/>
            <w:vAlign w:val="center"/>
          </w:tcPr>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30</w:t>
            </w:r>
          </w:p>
        </w:tc>
        <w:tc>
          <w:tcPr>
            <w:tcW w:w="1363"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eastAsia" w:cs="Times New Roman"/>
                <w:b/>
                <w:bCs/>
                <w:color w:val="000000"/>
                <w:kern w:val="0"/>
                <w:sz w:val="22"/>
                <w:szCs w:val="22"/>
                <w:highlight w:val="none"/>
                <w:lang w:val="en-US" w:eastAsia="zh-CN"/>
              </w:rPr>
              <w:t>30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39" w:type="dxa"/>
            <w:vMerge w:val="continue"/>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p>
        </w:tc>
        <w:tc>
          <w:tcPr>
            <w:tcW w:w="767" w:type="dxa"/>
            <w:vMerge w:val="continue"/>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满意度</w:t>
            </w:r>
          </w:p>
        </w:tc>
        <w:tc>
          <w:tcPr>
            <w:tcW w:w="2353" w:type="dxa"/>
            <w:shd w:val="clear" w:color="000000" w:fill="FFFFFF"/>
            <w:vAlign w:val="center"/>
          </w:tcPr>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社会公众或服务对象对项目实施效果的满意程度。</w:t>
            </w:r>
          </w:p>
        </w:tc>
        <w:tc>
          <w:tcPr>
            <w:tcW w:w="5188" w:type="dxa"/>
            <w:shd w:val="clear" w:color="000000" w:fill="FFFFFF"/>
            <w:vAlign w:val="center"/>
          </w:tcPr>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10</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rPr>
            </w:pPr>
            <w:r>
              <w:rPr>
                <w:rFonts w:hint="eastAsia" w:cs="Times New Roman"/>
                <w:b/>
                <w:bCs/>
                <w:color w:val="000000"/>
                <w:kern w:val="0"/>
                <w:sz w:val="22"/>
                <w:szCs w:val="22"/>
                <w:highlight w:val="none"/>
                <w:lang w:val="en-US" w:eastAsia="zh-CN"/>
              </w:rPr>
              <w:t>10</w:t>
            </w:r>
          </w:p>
        </w:tc>
      </w:tr>
    </w:tbl>
    <w:p>
      <w:pPr>
        <w:pStyle w:val="2"/>
        <w:rPr>
          <w:rFonts w:hint="default" w:ascii="Times New Roman" w:hAnsi="Times New Roman" w:cs="Times New Roman"/>
          <w:highlight w:val="none"/>
          <w:lang w:val="en-US" w:eastAsia="zh-CN"/>
        </w:rPr>
      </w:pPr>
    </w:p>
    <w:p>
      <w:pPr>
        <w:rPr>
          <w:rFonts w:hint="default" w:ascii="Times New Roman" w:hAnsi="Times New Roman" w:cs="Times New Roman"/>
          <w:highlight w:val="none"/>
        </w:rPr>
      </w:pPr>
    </w:p>
    <w:p>
      <w:pPr>
        <w:spacing w:line="540" w:lineRule="exact"/>
        <w:ind w:firstLine="640"/>
        <w:rPr>
          <w:rStyle w:val="9"/>
          <w:rFonts w:hint="default" w:ascii="Times New Roman" w:hAnsi="Times New Roman" w:eastAsia="黑体" w:cs="Times New Roman"/>
          <w:bCs w:val="0"/>
          <w:spacing w:val="-4"/>
          <w:sz w:val="32"/>
          <w:szCs w:val="32"/>
          <w:highlight w:val="none"/>
        </w:rPr>
      </w:pPr>
    </w:p>
    <w:p>
      <w:pPr>
        <w:spacing w:line="540" w:lineRule="exact"/>
        <w:ind w:firstLine="640"/>
        <w:rPr>
          <w:rStyle w:val="9"/>
          <w:rFonts w:hint="default" w:ascii="Times New Roman" w:hAnsi="Times New Roman" w:eastAsia="黑体" w:cs="Times New Roman"/>
          <w:bCs w:val="0"/>
          <w:spacing w:val="-4"/>
          <w:sz w:val="32"/>
          <w:szCs w:val="32"/>
          <w:highlight w:val="none"/>
        </w:rPr>
      </w:pPr>
    </w:p>
    <w:p>
      <w:pPr>
        <w:spacing w:line="540" w:lineRule="exact"/>
        <w:ind w:firstLine="640"/>
        <w:rPr>
          <w:rStyle w:val="9"/>
          <w:rFonts w:hint="default" w:ascii="Times New Roman" w:hAnsi="Times New Roman" w:eastAsia="黑体" w:cs="Times New Roman"/>
          <w:bCs w:val="0"/>
          <w:spacing w:val="-4"/>
          <w:sz w:val="32"/>
          <w:szCs w:val="32"/>
          <w:highlight w:val="none"/>
        </w:rPr>
      </w:pPr>
    </w:p>
    <w:p>
      <w:pPr>
        <w:spacing w:line="540" w:lineRule="exact"/>
        <w:ind w:firstLine="640"/>
        <w:rPr>
          <w:rStyle w:val="9"/>
          <w:rFonts w:hint="default" w:ascii="Times New Roman" w:hAnsi="Times New Roman" w:eastAsia="黑体" w:cs="Times New Roman"/>
          <w:bCs w:val="0"/>
          <w:spacing w:val="-4"/>
          <w:sz w:val="32"/>
          <w:szCs w:val="32"/>
          <w:highlight w:val="none"/>
        </w:rPr>
      </w:pPr>
    </w:p>
    <w:p>
      <w:pPr>
        <w:spacing w:line="540" w:lineRule="exact"/>
        <w:ind w:firstLine="640"/>
        <w:rPr>
          <w:rStyle w:val="9"/>
          <w:rFonts w:hint="default" w:ascii="Times New Roman" w:hAnsi="Times New Roman" w:eastAsia="黑体" w:cs="Times New Roman"/>
          <w:bCs w:val="0"/>
          <w:spacing w:val="-4"/>
          <w:sz w:val="32"/>
          <w:szCs w:val="32"/>
          <w:highlight w:val="none"/>
        </w:rPr>
      </w:pPr>
    </w:p>
    <w:p>
      <w:pPr>
        <w:spacing w:line="540" w:lineRule="exact"/>
        <w:ind w:firstLine="640"/>
        <w:rPr>
          <w:rStyle w:val="9"/>
          <w:rFonts w:hint="default" w:ascii="Times New Roman" w:hAnsi="Times New Roman" w:eastAsia="黑体" w:cs="Times New Roman"/>
          <w:bCs w:val="0"/>
          <w:spacing w:val="-4"/>
          <w:sz w:val="32"/>
          <w:szCs w:val="32"/>
          <w:highlight w:val="none"/>
        </w:rPr>
      </w:pPr>
    </w:p>
    <w:p>
      <w:pPr>
        <w:spacing w:line="540" w:lineRule="exact"/>
        <w:rPr>
          <w:rStyle w:val="9"/>
          <w:rFonts w:hint="default" w:ascii="Times New Roman" w:hAnsi="Times New Roman" w:eastAsia="仿宋" w:cs="Times New Roman"/>
          <w:b w:val="0"/>
          <w:spacing w:val="-4"/>
          <w:sz w:val="32"/>
          <w:szCs w:val="32"/>
          <w:highlight w:val="none"/>
        </w:rPr>
      </w:pPr>
    </w:p>
    <w:p/>
    <w:p/>
    <w:p/>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auto"/>
    <w:pitch w:val="default"/>
    <w:sig w:usb0="00000000" w:usb1="00000000"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6"/>
          <w:jc w:val="center"/>
        </w:pPr>
        <w:r>
          <w:fldChar w:fldCharType="begin"/>
        </w:r>
        <w:r>
          <w:instrText xml:space="preserve">PAGE   \* MERGEFORMAT</w:instrText>
        </w:r>
        <w:r>
          <w:fldChar w:fldCharType="separate"/>
        </w:r>
        <w:r>
          <w:rPr>
            <w:lang w:val="zh-CN"/>
          </w:rPr>
          <w:t>2</w:t>
        </w:r>
        <w:r>
          <w:fldChar w:fldCharType="end"/>
        </w:r>
      </w:p>
    </w:sdtContent>
  </w:sdt>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3D2FA9"/>
    <w:multiLevelType w:val="singleLevel"/>
    <w:tmpl w:val="9D3D2FA9"/>
    <w:lvl w:ilvl="0" w:tentative="0">
      <w:start w:val="6"/>
      <w:numFmt w:val="chineseCounting"/>
      <w:suff w:val="nothing"/>
      <w:lvlText w:val="%1、"/>
      <w:lvlJc w:val="left"/>
      <w:rPr>
        <w:rFonts w:hint="eastAsia"/>
      </w:rPr>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38F0C646"/>
    <w:multiLevelType w:val="singleLevel"/>
    <w:tmpl w:val="38F0C646"/>
    <w:lvl w:ilvl="0" w:tentative="0">
      <w:start w:val="1"/>
      <w:numFmt w:val="decimal"/>
      <w:suff w:val="nothing"/>
      <w:lvlText w:val="%1、"/>
      <w:lvlJc w:val="left"/>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A83F7C"/>
    <w:rsid w:val="64A83F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10">
    <w:name w:val="Normal Table"/>
    <w:semiHidden/>
    <w:uiPriority w:val="0"/>
    <w:tblPr>
      <w:tblLayout w:type="fixed"/>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3">
    <w:name w:val="Body Text First Indent"/>
    <w:basedOn w:val="4"/>
    <w:qFormat/>
    <w:uiPriority w:val="0"/>
    <w:pPr>
      <w:spacing w:after="0"/>
      <w:ind w:firstLine="200" w:firstLineChars="200"/>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eastAsia="宋体"/>
    </w:rPr>
  </w:style>
  <w:style w:type="paragraph" w:styleId="6">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7">
    <w:name w:val="Body Text First Indent 2"/>
    <w:basedOn w:val="5"/>
    <w:qFormat/>
    <w:uiPriority w:val="0"/>
    <w:pPr>
      <w:ind w:firstLine="420" w:firstLineChars="200"/>
    </w:pPr>
  </w:style>
  <w:style w:type="character" w:styleId="9">
    <w:name w:val="Strong"/>
    <w:basedOn w:val="8"/>
    <w:qFormat/>
    <w:uiPriority w:val="0"/>
    <w:rPr>
      <w:b/>
      <w:bCs/>
    </w:rPr>
  </w:style>
  <w:style w:type="character" w:customStyle="1" w:styleId="11">
    <w:name w:val="fontstyle01"/>
    <w:qFormat/>
    <w:uiPriority w:val="0"/>
    <w:rPr>
      <w:rFonts w:ascii="仿宋_GB2312" w:hAnsi="仿宋_GB2312" w:eastAsia="仿宋_GB2312" w:cs="仿宋_GB2312"/>
      <w:color w:val="00000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Office_10.8.2.7072_F1E327BC-269C-435d-A152-05C5408002CA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2025-03-26T10:43:00Z</dcterms:created>
  <dc:creator>吕真</dc:creator>
  <cp:lastModifiedBy>吕真</cp:lastModifiedBy>
  <dcterms:modified xsi:type="dcterms:W3CDTF">2025-03-26T11:01:36Z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2052-10.8.2.7072</vt:lpwstr>
  </property>
</Properties>
</file>