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hint="eastAsia" w:ascii="宋体" w:eastAsia="黑体"/>
          <w:sz w:val="44"/>
          <w:szCs w:val="44"/>
          <w:lang w:val="en-US" w:eastAsia="zh-CN"/>
        </w:rPr>
      </w:pPr>
      <w:r>
        <w:rPr>
          <w:rFonts w:ascii="宋体" w:eastAsia="黑体"/>
          <w:b w:val="0"/>
          <w:sz w:val="44"/>
          <w:szCs w:val="44"/>
        </w:rPr>
        <w:t>新疆维吾尔自治区农业农村厅信息中心</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农业农村厅信息中心主要职能一是组织拟订全区农业信息化建设规划和计划，并具体组织实施；二是负责农业农村厅门户网站、农业系统电子政务的建设与管理；三是负责编辑、出版、发行《新疆农业科技》（汉文版）；四是负责农业农村厅宣传报道工作；五是承担农业信息系统建设和运维工作。</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rPr>
        <w:t>新疆维吾尔自治区农业农村厅信息中心</w:t>
      </w:r>
      <w:r>
        <w:rPr>
          <w:rFonts w:hint="eastAsia" w:ascii="仿宋_GB2312" w:eastAsia="仿宋_GB2312"/>
          <w:b w:val="0"/>
          <w:sz w:val="32"/>
          <w:szCs w:val="32"/>
          <w:highlight w:val="none"/>
          <w:lang w:eastAsia="zh-CN"/>
        </w:rPr>
        <w:t>单位</w:t>
      </w:r>
      <w:r>
        <w:rPr>
          <w:rFonts w:ascii="仿宋_GB2312" w:eastAsia="仿宋_GB2312"/>
          <w:b w:val="0"/>
          <w:sz w:val="32"/>
          <w:szCs w:val="32"/>
          <w:highlight w:val="none"/>
        </w:rPr>
        <w:t>2024年度，实有人数37人，其中：在职人员28人，减少1人；离休人员0人，较上年无变化；退休人员9人，增加1人。</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highlight w:val="none"/>
          <w:lang w:eastAsia="zh-CN"/>
        </w:rPr>
        <w:t>单位无下属预算单位</w:t>
      </w:r>
      <w:r>
        <w:rPr>
          <w:rFonts w:ascii="仿宋_GB2312" w:eastAsia="仿宋_GB2312"/>
          <w:b w:val="0"/>
          <w:sz w:val="32"/>
          <w:szCs w:val="32"/>
          <w:highlight w:val="none"/>
        </w:rPr>
        <w:t>，下设4个科室，分别是</w:t>
      </w:r>
      <w:r>
        <w:rPr>
          <w:rFonts w:ascii="仿宋_GB2312" w:eastAsia="仿宋_GB2312"/>
          <w:b w:val="0"/>
          <w:sz w:val="32"/>
          <w:szCs w:val="32"/>
        </w:rPr>
        <w:t>：网络科、信息科、编辑科、综合科。</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2" w:firstLineChars="200"/>
        <w:jc w:val="both"/>
        <w:rPr>
          <w:rFonts w:ascii="仿宋_GB2312" w:eastAsia="仿宋_GB2312"/>
          <w:sz w:val="32"/>
          <w:szCs w:val="32"/>
        </w:rPr>
      </w:pPr>
      <w:r>
        <w:rPr>
          <w:rFonts w:ascii="仿宋_GB2312" w:eastAsia="仿宋_GB2312"/>
          <w:b/>
          <w:bCs/>
          <w:sz w:val="32"/>
          <w:szCs w:val="32"/>
        </w:rPr>
        <w:t>2024年度收入总计792.56万元，</w:t>
      </w:r>
      <w:r>
        <w:rPr>
          <w:rFonts w:ascii="仿宋_GB2312" w:eastAsia="仿宋_GB2312"/>
          <w:b w:val="0"/>
          <w:sz w:val="32"/>
          <w:szCs w:val="32"/>
        </w:rPr>
        <w:t>其中：本年收入合计759.99万元，使用非财政拨款结余（含专用结余）0.00万元，年初结转和结余32.57万元。</w:t>
      </w:r>
    </w:p>
    <w:p>
      <w:pPr>
        <w:widowControl/>
        <w:spacing w:before="0" w:beforeLines="0" w:beforeAutospacing="0" w:after="0" w:afterLines="0" w:afterAutospacing="0" w:line="240" w:lineRule="auto"/>
        <w:ind w:firstLine="642" w:firstLineChars="200"/>
        <w:jc w:val="both"/>
        <w:rPr>
          <w:rFonts w:ascii="仿宋_GB2312" w:eastAsia="仿宋_GB2312"/>
          <w:sz w:val="32"/>
          <w:szCs w:val="32"/>
        </w:rPr>
      </w:pPr>
      <w:r>
        <w:rPr>
          <w:rFonts w:ascii="仿宋_GB2312" w:eastAsia="仿宋_GB2312"/>
          <w:b/>
          <w:bCs/>
          <w:sz w:val="32"/>
          <w:szCs w:val="32"/>
        </w:rPr>
        <w:t>2024年度支出总计792.56万元，</w:t>
      </w:r>
      <w:r>
        <w:rPr>
          <w:rFonts w:ascii="仿宋_GB2312" w:eastAsia="仿宋_GB2312"/>
          <w:b w:val="0"/>
          <w:sz w:val="32"/>
          <w:szCs w:val="32"/>
        </w:rPr>
        <w:t>其中：本年支出合计763.84万元，结余分配0.00万元，年末结转和结余28.71万元。</w:t>
      </w:r>
    </w:p>
    <w:p>
      <w:pPr>
        <w:widowControl/>
        <w:spacing w:before="0" w:beforeLines="0" w:beforeAutospacing="0" w:after="0" w:afterLines="0" w:afterAutospacing="0" w:line="240" w:lineRule="auto"/>
        <w:ind w:firstLine="642" w:firstLineChars="200"/>
        <w:jc w:val="both"/>
        <w:rPr>
          <w:rFonts w:ascii="仿宋_GB2312" w:eastAsia="仿宋_GB2312"/>
          <w:sz w:val="32"/>
          <w:szCs w:val="32"/>
        </w:rPr>
      </w:pPr>
      <w:r>
        <w:rPr>
          <w:rFonts w:ascii="仿宋_GB2312" w:eastAsia="仿宋_GB2312"/>
          <w:b/>
          <w:bCs/>
          <w:sz w:val="32"/>
          <w:szCs w:val="32"/>
        </w:rPr>
        <w:t>收入支出总体与上年相比，</w:t>
      </w:r>
      <w:r>
        <w:rPr>
          <w:rFonts w:ascii="仿宋_GB2312" w:eastAsia="仿宋_GB2312"/>
          <w:b w:val="0"/>
          <w:sz w:val="32"/>
          <w:szCs w:val="32"/>
        </w:rPr>
        <w:t>减少327.89万元，下降29.26%，主要原因是：一是2023年收入中包括上年承建农业农村大数据平台建设项目结转资金，且结转资金在2023年全部支付，2024年无此类项目，所以相应总体收入减少；二是2023年按照财政要求退还</w:t>
      </w:r>
      <w:r>
        <w:rPr>
          <w:rFonts w:hint="eastAsia" w:ascii="仿宋_GB2312" w:eastAsia="仿宋_GB2312"/>
          <w:b w:val="0"/>
          <w:sz w:val="32"/>
          <w:szCs w:val="32"/>
          <w:lang w:eastAsia="zh-CN"/>
        </w:rPr>
        <w:t>退休人员医疗费</w:t>
      </w:r>
      <w:r>
        <w:rPr>
          <w:rFonts w:ascii="仿宋_GB2312" w:eastAsia="仿宋_GB2312"/>
          <w:b w:val="0"/>
          <w:sz w:val="32"/>
          <w:szCs w:val="32"/>
        </w:rPr>
        <w:t>，且2024年也未拨付相关经费。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2" w:firstLineChars="200"/>
        <w:jc w:val="both"/>
        <w:rPr>
          <w:rFonts w:ascii="仿宋_GB2312" w:eastAsia="仿宋_GB2312"/>
          <w:sz w:val="32"/>
          <w:szCs w:val="32"/>
        </w:rPr>
      </w:pPr>
      <w:r>
        <w:rPr>
          <w:rFonts w:ascii="仿宋_GB2312" w:eastAsia="仿宋_GB2312"/>
          <w:b/>
          <w:bCs/>
          <w:sz w:val="32"/>
          <w:szCs w:val="32"/>
        </w:rPr>
        <w:t>本年收入759.99万元，</w:t>
      </w:r>
      <w:r>
        <w:rPr>
          <w:rFonts w:ascii="仿宋_GB2312" w:eastAsia="仿宋_GB2312"/>
          <w:b w:val="0"/>
          <w:sz w:val="32"/>
          <w:szCs w:val="32"/>
        </w:rPr>
        <w:t>其中：财政拨款收入759.85万元,占99.98%；上级补助收入0.00万元,占0.00%；事业收入0.00万元，占0.00%；经营收入0.00万元,占0.00%；附属单位上缴收入0.00万元，占0.00%；其他收入0.14万元，占0.02%。</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2" w:firstLineChars="200"/>
        <w:jc w:val="both"/>
        <w:rPr>
          <w:rFonts w:ascii="仿宋_GB2312" w:eastAsia="仿宋_GB2312"/>
          <w:sz w:val="32"/>
          <w:szCs w:val="32"/>
        </w:rPr>
      </w:pPr>
      <w:r>
        <w:rPr>
          <w:rFonts w:ascii="仿宋_GB2312" w:eastAsia="仿宋_GB2312"/>
          <w:b/>
          <w:bCs/>
          <w:sz w:val="32"/>
          <w:szCs w:val="32"/>
        </w:rPr>
        <w:t>本年支出763.84万元，</w:t>
      </w:r>
      <w:r>
        <w:rPr>
          <w:rFonts w:ascii="仿宋_GB2312" w:eastAsia="仿宋_GB2312"/>
          <w:b w:val="0"/>
          <w:sz w:val="32"/>
          <w:szCs w:val="32"/>
        </w:rPr>
        <w:t>其中：基本支出629.85万元，占82.46%；项目支出133.99万元，占17.54%；上缴上级支出0.00万元，占0.00%；经营支出0.00万元，占0.00%；对附属单位补助支出0.00万元，占0.00%。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2" w:firstLineChars="200"/>
        <w:jc w:val="both"/>
        <w:rPr>
          <w:rFonts w:ascii="仿宋_GB2312" w:eastAsia="仿宋_GB2312"/>
          <w:sz w:val="32"/>
          <w:szCs w:val="32"/>
        </w:rPr>
      </w:pPr>
      <w:r>
        <w:rPr>
          <w:rFonts w:ascii="仿宋_GB2312" w:eastAsia="仿宋_GB2312"/>
          <w:b/>
          <w:bCs/>
          <w:sz w:val="32"/>
          <w:szCs w:val="32"/>
        </w:rPr>
        <w:t>2024年度财政拨款收入总计759.85万元，</w:t>
      </w:r>
      <w:r>
        <w:rPr>
          <w:rFonts w:ascii="仿宋_GB2312" w:eastAsia="仿宋_GB2312"/>
          <w:b w:val="0"/>
          <w:sz w:val="32"/>
          <w:szCs w:val="32"/>
        </w:rPr>
        <w:t>其中：年初财政拨款结转和结余0.00万元，本年财政拨款收入759.85万元。</w:t>
      </w:r>
      <w:r>
        <w:rPr>
          <w:rFonts w:ascii="仿宋_GB2312" w:eastAsia="仿宋_GB2312"/>
          <w:b/>
          <w:bCs/>
          <w:sz w:val="32"/>
          <w:szCs w:val="32"/>
        </w:rPr>
        <w:t>财政拨款支出总计759.85万元，</w:t>
      </w:r>
      <w:r>
        <w:rPr>
          <w:rFonts w:ascii="仿宋_GB2312" w:eastAsia="仿宋_GB2312"/>
          <w:b w:val="0"/>
          <w:sz w:val="32"/>
          <w:szCs w:val="32"/>
        </w:rPr>
        <w:t>其中：年末财政拨款结转和结余0.00万元，本年财政拨款支出759.85万元。</w:t>
      </w:r>
    </w:p>
    <w:p>
      <w:pPr>
        <w:widowControl/>
        <w:spacing w:before="0" w:beforeLines="0" w:beforeAutospacing="0" w:after="0" w:afterLines="0" w:afterAutospacing="0" w:line="240" w:lineRule="auto"/>
        <w:ind w:firstLine="642" w:firstLineChars="200"/>
        <w:jc w:val="both"/>
        <w:rPr>
          <w:rFonts w:hint="eastAsia" w:ascii="仿宋_GB2312" w:eastAsia="仿宋_GB2312"/>
          <w:b w:val="0"/>
          <w:sz w:val="32"/>
          <w:szCs w:val="32"/>
          <w:highlight w:val="none"/>
          <w:lang w:eastAsia="zh-CN"/>
        </w:rPr>
      </w:pPr>
      <w:r>
        <w:rPr>
          <w:rFonts w:ascii="仿宋_GB2312" w:eastAsia="仿宋_GB2312"/>
          <w:b/>
          <w:bCs/>
          <w:sz w:val="32"/>
          <w:szCs w:val="32"/>
        </w:rPr>
        <w:t>财政拨款收入支出总体与上年相比，</w:t>
      </w:r>
      <w:r>
        <w:rPr>
          <w:rFonts w:ascii="仿宋_GB2312" w:eastAsia="仿宋_GB2312"/>
          <w:b w:val="0"/>
          <w:sz w:val="32"/>
          <w:szCs w:val="32"/>
        </w:rPr>
        <w:t>减少319.23万元，下降29.58%，主要原因是：一是2023年收入中包括上年农业农村大数据平台建设项目结转资金，且结转资金在2023年全部支付，2024年无此类项目，所以财政拨款收入减少；二是2023年按照财政要求退还</w:t>
      </w:r>
      <w:r>
        <w:rPr>
          <w:rFonts w:hint="eastAsia" w:ascii="仿宋_GB2312" w:eastAsia="仿宋_GB2312"/>
          <w:b w:val="0"/>
          <w:sz w:val="32"/>
          <w:szCs w:val="32"/>
          <w:lang w:eastAsia="zh-CN"/>
        </w:rPr>
        <w:t>退休人员医疗费</w:t>
      </w:r>
      <w:r>
        <w:rPr>
          <w:rFonts w:ascii="仿宋_GB2312" w:eastAsia="仿宋_GB2312"/>
          <w:b w:val="0"/>
          <w:sz w:val="32"/>
          <w:szCs w:val="32"/>
        </w:rPr>
        <w:t>，且2024年也未拨付相关经费</w:t>
      </w:r>
      <w:r>
        <w:rPr>
          <w:rFonts w:ascii="仿宋_GB2312" w:eastAsia="仿宋_GB2312"/>
          <w:b w:val="0"/>
          <w:sz w:val="32"/>
          <w:szCs w:val="32"/>
          <w:highlight w:val="none"/>
        </w:rPr>
        <w:t>。</w:t>
      </w:r>
      <w:r>
        <w:rPr>
          <w:rFonts w:ascii="仿宋_GB2312" w:eastAsia="仿宋_GB2312"/>
          <w:b/>
          <w:bCs/>
          <w:sz w:val="32"/>
          <w:szCs w:val="32"/>
          <w:highlight w:val="none"/>
        </w:rPr>
        <w:t>与年初预算相比，</w:t>
      </w:r>
      <w:r>
        <w:rPr>
          <w:rFonts w:ascii="仿宋_GB2312" w:eastAsia="仿宋_GB2312"/>
          <w:b w:val="0"/>
          <w:sz w:val="32"/>
          <w:szCs w:val="32"/>
          <w:highlight w:val="none"/>
        </w:rPr>
        <w:t>年初预算数823.36万元，决算数759.85万元，预决算差异率-7.71%，主要原因是：一是年末退还财政退休人员医疗费额度，二是财政错误下达非统发基本工资额度，但我单位属于统发单位，所以造成预决算差异</w:t>
      </w:r>
      <w:r>
        <w:rPr>
          <w:rFonts w:hint="eastAsia" w:ascii="仿宋_GB2312" w:eastAsia="仿宋_GB2312"/>
          <w:b w:val="0"/>
          <w:sz w:val="32"/>
          <w:szCs w:val="32"/>
          <w:highlight w:val="none"/>
          <w:lang w:eastAsia="zh-CN"/>
        </w:rPr>
        <w:t>。</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五、一般公共预算财政拨款支出决算情况说明</w:t>
      </w:r>
    </w:p>
    <w:p>
      <w:pPr>
        <w:widowControl/>
        <w:spacing w:before="0" w:beforeLines="0" w:beforeAutospacing="0" w:after="0" w:afterLines="0" w:afterAutospacing="0" w:line="240" w:lineRule="auto"/>
        <w:ind w:firstLine="642" w:firstLineChars="200"/>
        <w:jc w:val="left"/>
        <w:outlineLvl w:val="2"/>
        <w:rPr>
          <w:rFonts w:ascii="仿宋_GB2312" w:eastAsia="仿宋_GB2312"/>
          <w:sz w:val="32"/>
          <w:szCs w:val="32"/>
          <w:highlight w:val="none"/>
        </w:rPr>
      </w:pPr>
      <w:r>
        <w:rPr>
          <w:rFonts w:ascii="仿宋_GB2312" w:eastAsia="仿宋_GB2312"/>
          <w:b/>
          <w:sz w:val="32"/>
          <w:szCs w:val="32"/>
          <w:highlight w:val="none"/>
        </w:rPr>
        <w:t>（一）一般公共预算财政拨款支出决算总体情况</w:t>
      </w:r>
    </w:p>
    <w:p>
      <w:pPr>
        <w:widowControl/>
        <w:spacing w:before="0" w:beforeLines="0" w:beforeAutospacing="0" w:after="0" w:afterLines="0" w:afterAutospacing="0" w:line="240" w:lineRule="auto"/>
        <w:ind w:firstLine="642" w:firstLineChars="200"/>
        <w:jc w:val="both"/>
        <w:rPr>
          <w:rFonts w:hint="eastAsia" w:ascii="仿宋_GB2312" w:eastAsia="仿宋_GB2312"/>
          <w:b w:val="0"/>
          <w:sz w:val="32"/>
          <w:szCs w:val="32"/>
          <w:highlight w:val="cyan"/>
          <w:lang w:eastAsia="zh-CN"/>
        </w:rPr>
      </w:pPr>
      <w:r>
        <w:rPr>
          <w:rFonts w:ascii="仿宋_GB2312" w:eastAsia="仿宋_GB2312"/>
          <w:b/>
          <w:bCs/>
          <w:sz w:val="32"/>
          <w:szCs w:val="32"/>
          <w:highlight w:val="none"/>
        </w:rPr>
        <w:t>2024年度一般公共预算财政拨款支出759.85万元，</w:t>
      </w:r>
      <w:r>
        <w:rPr>
          <w:rFonts w:ascii="仿宋_GB2312" w:eastAsia="仿宋_GB2312"/>
          <w:b w:val="0"/>
          <w:sz w:val="32"/>
          <w:szCs w:val="32"/>
          <w:highlight w:val="none"/>
        </w:rPr>
        <w:t>占本年支出合计的99.48%。</w:t>
      </w:r>
      <w:r>
        <w:rPr>
          <w:rFonts w:ascii="仿宋_GB2312" w:eastAsia="仿宋_GB2312"/>
          <w:b/>
          <w:bCs/>
          <w:sz w:val="32"/>
          <w:szCs w:val="32"/>
          <w:highlight w:val="none"/>
        </w:rPr>
        <w:t>与上年相比，</w:t>
      </w:r>
      <w:r>
        <w:rPr>
          <w:rFonts w:ascii="仿宋_GB2312" w:eastAsia="仿宋_GB2312"/>
          <w:b w:val="0"/>
          <w:sz w:val="32"/>
          <w:szCs w:val="32"/>
          <w:highlight w:val="none"/>
        </w:rPr>
        <w:t>减少319.23万元，下降29.58%，主要原因是：2023年支出中包括上年农业农村大数据平台建设项目结转资金，且结转资金在2023年全部支付，2024年无此类项目，所以收入减少，相应的支出减少。</w:t>
      </w:r>
      <w:r>
        <w:rPr>
          <w:rFonts w:ascii="仿宋_GB2312" w:eastAsia="仿宋_GB2312"/>
          <w:b/>
          <w:bCs/>
          <w:sz w:val="32"/>
          <w:szCs w:val="32"/>
          <w:highlight w:val="none"/>
        </w:rPr>
        <w:t>与年初预算相比，</w:t>
      </w:r>
      <w:r>
        <w:rPr>
          <w:rFonts w:ascii="仿宋_GB2312" w:eastAsia="仿宋_GB2312"/>
          <w:b w:val="0"/>
          <w:sz w:val="32"/>
          <w:szCs w:val="32"/>
          <w:highlight w:val="none"/>
        </w:rPr>
        <w:t>年初预算数823.36万元，决算数759.85万元，预决算差异率-7.71%，主要原</w:t>
      </w:r>
      <w:r>
        <w:rPr>
          <w:rFonts w:ascii="仿宋_GB2312" w:eastAsia="仿宋_GB2312"/>
          <w:b w:val="0"/>
          <w:sz w:val="32"/>
          <w:szCs w:val="32"/>
        </w:rPr>
        <w:t>因是：一是年末退还财政退休人员医疗费额度，二是财政错误下达非统发基本工资额度，但我单位属于统发单位，所以造成预决算差异</w:t>
      </w:r>
      <w:r>
        <w:rPr>
          <w:rFonts w:hint="eastAsia" w:ascii="仿宋_GB2312" w:eastAsia="仿宋_GB2312"/>
          <w:b w:val="0"/>
          <w:sz w:val="32"/>
          <w:szCs w:val="32"/>
          <w:lang w:eastAsia="zh-CN"/>
        </w:rPr>
        <w:t>。</w:t>
      </w:r>
    </w:p>
    <w:p>
      <w:pPr>
        <w:widowControl/>
        <w:spacing w:before="0" w:beforeLines="0" w:beforeAutospacing="0" w:after="0" w:afterLines="0" w:afterAutospacing="0" w:line="240" w:lineRule="auto"/>
        <w:ind w:firstLine="642" w:firstLineChars="200"/>
        <w:jc w:val="left"/>
        <w:outlineLvl w:val="2"/>
        <w:rPr>
          <w:rFonts w:ascii="仿宋_GB2312" w:eastAsia="仿宋_GB2312"/>
          <w:sz w:val="32"/>
          <w:szCs w:val="32"/>
        </w:rPr>
      </w:pPr>
      <w:r>
        <w:rPr>
          <w:rFonts w:ascii="仿宋_GB2312" w:eastAsia="仿宋_GB2312"/>
          <w:b/>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1.</w:t>
      </w:r>
      <w:r>
        <w:rPr>
          <w:rFonts w:ascii="仿宋_GB2312" w:eastAsia="仿宋_GB2312"/>
          <w:b w:val="0"/>
          <w:sz w:val="32"/>
          <w:szCs w:val="32"/>
          <w:highlight w:val="none"/>
        </w:rPr>
        <w:t>社会保障和就业支出（类）86.56万元，占11.39%。</w:t>
      </w:r>
    </w:p>
    <w:p>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2.</w:t>
      </w:r>
      <w:r>
        <w:rPr>
          <w:rFonts w:ascii="仿宋_GB2312" w:eastAsia="仿宋_GB2312"/>
          <w:b w:val="0"/>
          <w:sz w:val="32"/>
          <w:szCs w:val="32"/>
          <w:highlight w:val="none"/>
        </w:rPr>
        <w:t>卫生健康支出（类）51.95万元，占6.84%。</w:t>
      </w:r>
    </w:p>
    <w:p>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3.</w:t>
      </w:r>
      <w:r>
        <w:rPr>
          <w:rFonts w:ascii="仿宋_GB2312" w:eastAsia="仿宋_GB2312"/>
          <w:b w:val="0"/>
          <w:sz w:val="32"/>
          <w:szCs w:val="32"/>
          <w:highlight w:val="none"/>
        </w:rPr>
        <w:t>农林水支出（类）578.35万元，占76.11%。</w:t>
      </w:r>
    </w:p>
    <w:p>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4.</w:t>
      </w:r>
      <w:r>
        <w:rPr>
          <w:rFonts w:ascii="仿宋_GB2312" w:eastAsia="仿宋_GB2312"/>
          <w:b w:val="0"/>
          <w:sz w:val="32"/>
          <w:szCs w:val="32"/>
          <w:highlight w:val="none"/>
        </w:rPr>
        <w:t>住房保障支出（类）42.99万元，占5.66%。</w:t>
      </w:r>
    </w:p>
    <w:p>
      <w:pPr>
        <w:widowControl/>
        <w:spacing w:before="0" w:beforeLines="0" w:beforeAutospacing="0" w:after="0" w:afterLines="0" w:afterAutospacing="0" w:line="240" w:lineRule="auto"/>
        <w:ind w:firstLine="642" w:firstLineChars="200"/>
        <w:jc w:val="left"/>
        <w:outlineLvl w:val="2"/>
        <w:rPr>
          <w:rFonts w:ascii="仿宋_GB2312" w:eastAsia="仿宋_GB2312"/>
          <w:sz w:val="32"/>
          <w:szCs w:val="32"/>
          <w:highlight w:val="none"/>
        </w:rPr>
      </w:pPr>
      <w:r>
        <w:rPr>
          <w:rFonts w:ascii="仿宋_GB2312" w:eastAsia="仿宋_GB2312"/>
          <w:b/>
          <w:sz w:val="32"/>
          <w:szCs w:val="32"/>
          <w:highlight w:val="none"/>
        </w:rPr>
        <w:t>（三）一般公共预算财政拨款支出决算具体情况</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hint="eastAsia" w:ascii="仿宋_GB2312" w:eastAsia="仿宋_GB2312"/>
          <w:b w:val="0"/>
          <w:sz w:val="32"/>
          <w:szCs w:val="32"/>
          <w:highlight w:val="none"/>
          <w:lang w:val="en-US" w:eastAsia="zh-CN"/>
        </w:rPr>
        <w:t>1.</w:t>
      </w:r>
      <w:r>
        <w:rPr>
          <w:rFonts w:ascii="仿宋_GB2312" w:eastAsia="仿宋_GB2312"/>
          <w:b w:val="0"/>
          <w:sz w:val="32"/>
          <w:szCs w:val="32"/>
          <w:highlight w:val="none"/>
        </w:rPr>
        <w:t>社会保障和就业支出（类）行政事业单位养老支出（款）事业单位离退休（项）：支出决算数为20.38万元，比上年决算增加2.23万元，增长12.29%，主要原因是：我单位2024年新增退休人员1名，所以相应支出较上年相比增加。</w:t>
      </w:r>
    </w:p>
    <w:p>
      <w:pPr>
        <w:widowControl/>
        <w:numPr>
          <w:ilvl w:val="0"/>
          <w:numId w:val="0"/>
        </w:numPr>
        <w:spacing w:before="0" w:beforeLines="0" w:beforeAutospacing="0" w:after="0" w:afterLines="0" w:afterAutospacing="0" w:line="240" w:lineRule="auto"/>
        <w:ind w:firstLine="640" w:firstLineChars="200"/>
        <w:rPr>
          <w:rFonts w:hint="eastAsia" w:ascii="仿宋_GB2312" w:eastAsia="仿宋_GB2312"/>
          <w:b w:val="0"/>
          <w:sz w:val="32"/>
          <w:szCs w:val="32"/>
          <w:highlight w:val="none"/>
          <w:lang w:eastAsia="zh-CN"/>
        </w:rPr>
      </w:pPr>
      <w:r>
        <w:rPr>
          <w:rFonts w:hint="eastAsia" w:ascii="仿宋_GB2312" w:eastAsia="仿宋_GB2312"/>
          <w:b w:val="0"/>
          <w:sz w:val="32"/>
          <w:szCs w:val="32"/>
          <w:highlight w:val="none"/>
          <w:lang w:val="en-US" w:eastAsia="zh-CN"/>
        </w:rPr>
        <w:t>2.</w:t>
      </w:r>
      <w:r>
        <w:rPr>
          <w:rFonts w:ascii="仿宋_GB2312" w:eastAsia="仿宋_GB2312"/>
          <w:b w:val="0"/>
          <w:sz w:val="32"/>
          <w:szCs w:val="32"/>
          <w:highlight w:val="none"/>
        </w:rPr>
        <w:t>社会保障和就业支出（类）行政事业单位养老支出（款）机关事业单位基本养老保险缴费支出（项）：支出决算数为57.32万元，比上年决算增加7.33万元，增长14.66%，主要原因是：在职人员正常晋升和基本工资标准提高，</w:t>
      </w:r>
      <w:r>
        <w:rPr>
          <w:rFonts w:hint="eastAsia" w:ascii="仿宋_GB2312" w:eastAsia="仿宋_GB2312"/>
          <w:b w:val="0"/>
          <w:sz w:val="32"/>
          <w:szCs w:val="32"/>
          <w:highlight w:val="none"/>
          <w:lang w:eastAsia="zh-CN"/>
        </w:rPr>
        <w:t>养老保险缴费增加。</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hint="eastAsia" w:ascii="仿宋_GB2312" w:eastAsia="仿宋_GB2312"/>
          <w:b w:val="0"/>
          <w:sz w:val="32"/>
          <w:szCs w:val="32"/>
          <w:highlight w:val="none"/>
          <w:lang w:val="en-US" w:eastAsia="zh-CN"/>
        </w:rPr>
        <w:t>3.</w:t>
      </w:r>
      <w:r>
        <w:rPr>
          <w:rFonts w:ascii="仿宋_GB2312" w:eastAsia="仿宋_GB2312"/>
          <w:b w:val="0"/>
          <w:sz w:val="32"/>
          <w:szCs w:val="32"/>
          <w:highlight w:val="none"/>
        </w:rPr>
        <w:t>社会保障和就业支出（类）行政事业单位养老支出（款）机关事业单位职业年金缴费支出（项）：支出决算数为8.86万元，比上年决算增加8.86万元，增长100.00%，主要原因是：</w:t>
      </w:r>
      <w:r>
        <w:rPr>
          <w:rFonts w:hint="eastAsia" w:ascii="仿宋_GB2312" w:eastAsia="仿宋_GB2312"/>
          <w:b w:val="0"/>
          <w:sz w:val="32"/>
          <w:szCs w:val="32"/>
          <w:highlight w:val="none"/>
          <w:lang w:eastAsia="zh-CN"/>
        </w:rPr>
        <w:t>单位</w:t>
      </w:r>
      <w:r>
        <w:rPr>
          <w:rFonts w:hint="eastAsia" w:ascii="仿宋_GB2312" w:eastAsia="仿宋_GB2312"/>
          <w:b w:val="0"/>
          <w:sz w:val="32"/>
          <w:szCs w:val="32"/>
          <w:highlight w:val="none"/>
          <w:lang w:val="en-US" w:eastAsia="zh-CN"/>
        </w:rPr>
        <w:t>2024年新增退休人员1名，2023年无退休人员</w:t>
      </w:r>
      <w:r>
        <w:rPr>
          <w:rFonts w:ascii="仿宋_GB2312" w:eastAsia="仿宋_GB2312"/>
          <w:b w:val="0"/>
          <w:sz w:val="32"/>
          <w:szCs w:val="32"/>
          <w:highlight w:val="none"/>
        </w:rPr>
        <w:t>。</w:t>
      </w:r>
    </w:p>
    <w:p>
      <w:pPr>
        <w:widowControl/>
        <w:numPr>
          <w:ilvl w:val="0"/>
          <w:numId w:val="0"/>
        </w:numPr>
        <w:spacing w:before="0" w:beforeLines="0" w:beforeAutospacing="0" w:after="0" w:afterLines="0" w:afterAutospacing="0" w:line="240" w:lineRule="auto"/>
        <w:ind w:firstLine="640" w:firstLineChars="200"/>
        <w:rPr>
          <w:rFonts w:hint="eastAsia" w:ascii="仿宋_GB2312" w:eastAsia="仿宋_GB2312"/>
          <w:b w:val="0"/>
          <w:sz w:val="32"/>
          <w:szCs w:val="32"/>
          <w:highlight w:val="none"/>
          <w:lang w:eastAsia="zh-CN"/>
        </w:rPr>
      </w:pPr>
      <w:r>
        <w:rPr>
          <w:rFonts w:hint="eastAsia" w:ascii="仿宋_GB2312" w:eastAsia="仿宋_GB2312"/>
          <w:b w:val="0"/>
          <w:sz w:val="32"/>
          <w:szCs w:val="32"/>
          <w:highlight w:val="none"/>
          <w:lang w:val="en-US" w:eastAsia="zh-CN"/>
        </w:rPr>
        <w:t>4.</w:t>
      </w:r>
      <w:r>
        <w:rPr>
          <w:rFonts w:ascii="仿宋_GB2312" w:eastAsia="仿宋_GB2312"/>
          <w:b w:val="0"/>
          <w:sz w:val="32"/>
          <w:szCs w:val="32"/>
          <w:highlight w:val="none"/>
        </w:rPr>
        <w:t>卫生健康支出（类）行政事业单位医疗（款）事业单位医疗（项）：支出决算数为26.87万元，比上年决算增加3.44万元，增长14.68%，主要原因是：在职人员正常晋升和基本工资标准提高，</w:t>
      </w:r>
      <w:r>
        <w:rPr>
          <w:rFonts w:hint="eastAsia" w:ascii="仿宋_GB2312" w:eastAsia="仿宋_GB2312"/>
          <w:b w:val="0"/>
          <w:sz w:val="32"/>
          <w:szCs w:val="32"/>
          <w:highlight w:val="none"/>
          <w:lang w:eastAsia="zh-CN"/>
        </w:rPr>
        <w:t>医疗保险缴费增加。</w:t>
      </w:r>
    </w:p>
    <w:p>
      <w:pPr>
        <w:widowControl/>
        <w:numPr>
          <w:ilvl w:val="0"/>
          <w:numId w:val="0"/>
        </w:numPr>
        <w:spacing w:before="0" w:beforeLines="0" w:beforeAutospacing="0" w:after="0" w:afterLines="0" w:afterAutospacing="0" w:line="240" w:lineRule="auto"/>
        <w:ind w:firstLine="640" w:firstLineChars="200"/>
        <w:rPr>
          <w:rFonts w:hint="eastAsia" w:ascii="仿宋_GB2312" w:eastAsia="仿宋_GB2312"/>
          <w:b w:val="0"/>
          <w:sz w:val="32"/>
          <w:szCs w:val="32"/>
          <w:lang w:eastAsia="zh-CN"/>
        </w:rPr>
      </w:pPr>
      <w:r>
        <w:rPr>
          <w:rFonts w:hint="eastAsia" w:ascii="仿宋_GB2312" w:eastAsia="仿宋_GB2312"/>
          <w:b w:val="0"/>
          <w:sz w:val="32"/>
          <w:szCs w:val="32"/>
          <w:highlight w:val="none"/>
          <w:lang w:val="en-US" w:eastAsia="zh-CN"/>
        </w:rPr>
        <w:t>5.</w:t>
      </w:r>
      <w:r>
        <w:rPr>
          <w:rFonts w:ascii="仿宋_GB2312" w:eastAsia="仿宋_GB2312"/>
          <w:b w:val="0"/>
          <w:sz w:val="32"/>
          <w:szCs w:val="32"/>
          <w:highlight w:val="none"/>
        </w:rPr>
        <w:t>卫生健康支出（类）行政事业单位医疗（款）公务员医疗补助（项）：支出决算数为25.08万元</w:t>
      </w:r>
      <w:r>
        <w:rPr>
          <w:rFonts w:ascii="仿宋_GB2312" w:eastAsia="仿宋_GB2312"/>
          <w:b w:val="0"/>
          <w:sz w:val="32"/>
          <w:szCs w:val="32"/>
        </w:rPr>
        <w:t>，比上年决算增加3.21万元，增长14.68%，主要原因是：在职人员正常晋升和基本工资标准提高，</w:t>
      </w:r>
      <w:r>
        <w:rPr>
          <w:rFonts w:hint="eastAsia" w:ascii="仿宋_GB2312" w:eastAsia="仿宋_GB2312"/>
          <w:b w:val="0"/>
          <w:sz w:val="32"/>
          <w:szCs w:val="32"/>
          <w:lang w:eastAsia="zh-CN"/>
        </w:rPr>
        <w:t>公务员医疗补助增加。</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6.</w:t>
      </w:r>
      <w:r>
        <w:rPr>
          <w:rFonts w:ascii="仿宋_GB2312" w:eastAsia="仿宋_GB2312"/>
          <w:b w:val="0"/>
          <w:sz w:val="32"/>
          <w:szCs w:val="32"/>
        </w:rPr>
        <w:t>农林水支出（类）农业农村（款）事业运行（项）：支出决算数为448.35万元，比上年决算增加11.35万元，增长2.60%，主要原因是：一是2024年调增基本工资，二是2024年年度考核奖高于2023年。</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7.</w:t>
      </w:r>
      <w:r>
        <w:rPr>
          <w:rFonts w:ascii="仿宋_GB2312" w:eastAsia="仿宋_GB2312"/>
          <w:b w:val="0"/>
          <w:sz w:val="32"/>
          <w:szCs w:val="32"/>
        </w:rPr>
        <w:t>农林水支出（类）农业农村（款）科技转化与推广服务（项）：支出决算数为0.00万元，比上年决算减少7.00万元，下降100.00%，主要原因是：2023年承担智力援疆创新拓展计划——“小组团”援疆和柔性引进援疆专家人才项目，但2024年无此项目</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8.</w:t>
      </w:r>
      <w:r>
        <w:rPr>
          <w:rFonts w:ascii="仿宋_GB2312" w:eastAsia="仿宋_GB2312"/>
          <w:b w:val="0"/>
          <w:sz w:val="32"/>
          <w:szCs w:val="32"/>
        </w:rPr>
        <w:t>农林水支出（类）农业农村（款）农业生产发展（项）：支出决算数为130.00万元，比上年决算减少354.13万元，下降73.15%，主要原因是：2023年支出中包括上年农业农村大数据平台建设项目结转资金，且结转资金在2023年全部支付，2024年无此类项目，所以收入减少，相应的支出减少</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9.</w:t>
      </w:r>
      <w:r>
        <w:rPr>
          <w:rFonts w:ascii="仿宋_GB2312" w:eastAsia="仿宋_GB2312"/>
          <w:b w:val="0"/>
          <w:sz w:val="32"/>
          <w:szCs w:val="32"/>
        </w:rPr>
        <w:t>住房保障支出（类）住房改革支出（款）住房公积金（项）：支出决算数为42.99万元，比上年决算增加5.49万元，增长14.64%，主要原因是：在职人员正常晋升和基本工资标准提高，</w:t>
      </w:r>
      <w:r>
        <w:rPr>
          <w:rFonts w:hint="eastAsia" w:ascii="仿宋_GB2312" w:eastAsia="仿宋_GB2312"/>
          <w:b w:val="0"/>
          <w:sz w:val="32"/>
          <w:szCs w:val="32"/>
          <w:lang w:eastAsia="zh-CN"/>
        </w:rPr>
        <w:t>住房公积金缴费增加</w:t>
      </w:r>
      <w:r>
        <w:rPr>
          <w:rFonts w:ascii="仿宋_GB2312" w:eastAsia="仿宋_GB2312"/>
          <w:b w:val="0"/>
          <w:sz w:val="32"/>
          <w:szCs w:val="32"/>
        </w:rPr>
        <w:t>。</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2024年度一般公共预算财政拨款基本支出629.85万元，其中：</w:t>
      </w:r>
      <w:r>
        <w:rPr>
          <w:rFonts w:ascii="仿宋_GB2312" w:eastAsia="仿宋_GB2312"/>
          <w:b/>
          <w:bCs/>
          <w:sz w:val="32"/>
          <w:szCs w:val="32"/>
        </w:rPr>
        <w:t>人员经费595.42万元，</w:t>
      </w:r>
      <w:r>
        <w:rPr>
          <w:rFonts w:ascii="仿宋_GB2312" w:eastAsia="仿宋_GB2312"/>
          <w:b w:val="0"/>
          <w:sz w:val="32"/>
          <w:szCs w:val="32"/>
        </w:rPr>
        <w:t>包括：基本工资、津贴补贴、奖金、绩效工资、机关事业单位基本养老保险缴费、职业年金缴费、职工基本医疗保险缴费、公务员医疗补助缴费、其他社会保障缴费、住房公积金、退休费、抚恤金和其他对个人和家庭的补助。</w:t>
      </w:r>
    </w:p>
    <w:p>
      <w:pPr>
        <w:widowControl/>
        <w:spacing w:before="0" w:beforeLines="0" w:beforeAutospacing="0" w:after="0" w:afterLines="0" w:afterAutospacing="0" w:line="240" w:lineRule="auto"/>
        <w:ind w:firstLine="642" w:firstLineChars="200"/>
        <w:jc w:val="both"/>
        <w:rPr>
          <w:rFonts w:ascii="仿宋_GB2312" w:eastAsia="仿宋_GB2312"/>
          <w:sz w:val="32"/>
          <w:szCs w:val="32"/>
        </w:rPr>
      </w:pPr>
      <w:r>
        <w:rPr>
          <w:rFonts w:ascii="仿宋_GB2312" w:eastAsia="仿宋_GB2312"/>
          <w:b/>
          <w:bCs/>
          <w:sz w:val="32"/>
          <w:szCs w:val="32"/>
        </w:rPr>
        <w:t>公用经费34.44万元，</w:t>
      </w:r>
      <w:r>
        <w:rPr>
          <w:rFonts w:ascii="仿宋_GB2312" w:eastAsia="仿宋_GB2312"/>
          <w:b w:val="0"/>
          <w:sz w:val="32"/>
          <w:szCs w:val="32"/>
        </w:rPr>
        <w:t>包括：办公费、水费、电费、邮电费、物业管理费、差旅费、工会经费、福利费、公务用车运行维护费、其他交通费用和其他商品和服务支出。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rPr>
        <w:t>七、政府</w:t>
      </w:r>
      <w:r>
        <w:rPr>
          <w:rFonts w:ascii="黑体" w:eastAsia="黑体"/>
          <w:b w:val="0"/>
          <w:sz w:val="32"/>
          <w:szCs w:val="32"/>
          <w:highlight w:val="none"/>
        </w:rPr>
        <w:t>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本单位本年度无政府性基金预算财政拨款收入</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支出及结转和结余</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九、财政拨款“三公”经费支出决算情况说明</w:t>
      </w:r>
    </w:p>
    <w:p>
      <w:pPr>
        <w:widowControl/>
        <w:spacing w:before="0" w:beforeLines="0" w:beforeAutospacing="0" w:after="0" w:afterLines="0" w:afterAutospacing="0" w:line="240" w:lineRule="auto"/>
        <w:ind w:firstLine="642" w:firstLineChars="200"/>
        <w:jc w:val="both"/>
        <w:rPr>
          <w:rFonts w:ascii="仿宋_GB2312" w:eastAsia="仿宋_GB2312"/>
          <w:sz w:val="32"/>
          <w:szCs w:val="32"/>
        </w:rPr>
      </w:pPr>
      <w:r>
        <w:rPr>
          <w:rFonts w:ascii="仿宋_GB2312" w:eastAsia="仿宋_GB2312"/>
          <w:b/>
          <w:bCs/>
          <w:sz w:val="32"/>
          <w:szCs w:val="32"/>
          <w:highlight w:val="none"/>
        </w:rPr>
        <w:t>2024年度财政拨款“三公”经费支出2.60万元，</w:t>
      </w:r>
      <w:r>
        <w:rPr>
          <w:rFonts w:ascii="仿宋_GB2312" w:eastAsia="仿宋_GB2312"/>
          <w:b w:val="0"/>
          <w:sz w:val="32"/>
          <w:szCs w:val="32"/>
          <w:highlight w:val="none"/>
        </w:rPr>
        <w:t>与上年相比无变化，主要原因是：“三公”经费与上年保持一致。其中：因公出国（境）费支出0.00万元,占0.00%，与上年相比无变化，主要原因是：我单位未发生因公出国业务；公务用车购置</w:t>
      </w:r>
      <w:r>
        <w:rPr>
          <w:rFonts w:ascii="仿宋_GB2312" w:eastAsia="仿宋_GB2312"/>
          <w:b w:val="0"/>
          <w:sz w:val="32"/>
          <w:szCs w:val="32"/>
        </w:rPr>
        <w:t>及运行维护费支出2.60万元，占100.00%，与上年相比无变化，主要原因是：我单位公务用车运行费与上年保持一致；公务接待费支出0.00万元，占0.00%，与上年相比无变化，主要原因是：我单位未发生业务招待费。</w:t>
      </w:r>
    </w:p>
    <w:p>
      <w:pPr>
        <w:widowControl/>
        <w:spacing w:before="0" w:beforeLines="0" w:beforeAutospacing="0" w:after="0" w:afterLines="0" w:afterAutospacing="0" w:line="240" w:lineRule="auto"/>
        <w:ind w:firstLine="642" w:firstLineChars="200"/>
        <w:jc w:val="left"/>
        <w:rPr>
          <w:rFonts w:ascii="仿宋_GB2312" w:eastAsia="仿宋_GB2312"/>
          <w:b/>
          <w:bCs/>
          <w:sz w:val="32"/>
          <w:szCs w:val="32"/>
        </w:rPr>
      </w:pPr>
      <w:r>
        <w:rPr>
          <w:rFonts w:ascii="仿宋_GB2312" w:eastAsia="仿宋_GB2312"/>
          <w:b/>
          <w:bCs/>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因公出国（境）费支出0.00万元，开支内容包括无因公出国（境）</w:t>
      </w:r>
      <w:r>
        <w:rPr>
          <w:rFonts w:hint="eastAsia" w:ascii="仿宋_GB2312" w:eastAsia="仿宋_GB2312"/>
          <w:b w:val="0"/>
          <w:sz w:val="32"/>
          <w:szCs w:val="32"/>
          <w:lang w:eastAsia="zh-CN"/>
        </w:rPr>
        <w:t>费</w:t>
      </w:r>
      <w:r>
        <w:rPr>
          <w:rFonts w:ascii="仿宋_GB2312" w:eastAsia="仿宋_GB2312"/>
          <w:b w:val="0"/>
          <w:sz w:val="32"/>
          <w:szCs w:val="32"/>
        </w:rPr>
        <w:t>。单位全年安排的因公出国（境）团组0个，因公出国（境）0人次。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2.60万元，其中：公务用车购置费0.00万元，公务用车运行维护费2.60万元。公务用车运行维护费开支内容包括车辆维修、车辆加油和车辆保险。公务用车购置数0辆，公务用车保有量2辆。国有资产占用情况中固定资产车辆2辆，与公务用车保有量差异原因是：车辆均为2辆，二者无差异。</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公务接待费0.00万元，开支内容包括无公务接待费。单位全年安排的国内公务接待0批次，0人次。</w:t>
      </w:r>
    </w:p>
    <w:p>
      <w:pPr>
        <w:widowControl/>
        <w:spacing w:before="0" w:beforeLines="0" w:beforeAutospacing="0" w:after="0" w:afterLines="0" w:afterAutospacing="0" w:line="240" w:lineRule="auto"/>
        <w:ind w:firstLine="642" w:firstLineChars="200"/>
        <w:jc w:val="both"/>
        <w:rPr>
          <w:rFonts w:ascii="仿宋_GB2312" w:eastAsia="仿宋_GB2312"/>
          <w:sz w:val="32"/>
          <w:szCs w:val="32"/>
        </w:rPr>
      </w:pPr>
      <w:r>
        <w:rPr>
          <w:rFonts w:ascii="仿宋_GB2312" w:eastAsia="仿宋_GB2312"/>
          <w:b/>
          <w:bCs/>
          <w:sz w:val="32"/>
          <w:szCs w:val="32"/>
        </w:rPr>
        <w:t>与全年预算相比，</w:t>
      </w:r>
      <w:r>
        <w:rPr>
          <w:rFonts w:ascii="仿宋_GB2312" w:eastAsia="仿宋_GB2312"/>
          <w:b w:val="0"/>
          <w:sz w:val="32"/>
          <w:szCs w:val="32"/>
        </w:rPr>
        <w:t>财政拨款“三公”经费支出全年预算数2.60万元，决算数2.60万元，预决算差异率0.00%，主要原因是：预决算严格把控，无差异。其中：因公出国（境）费全年预算数0.00万元，决算数0.00万元，预决算差异率0.00%，主要原因是：我单位未发生因</w:t>
      </w:r>
      <w:r>
        <w:rPr>
          <w:rFonts w:ascii="仿宋_GB2312" w:eastAsia="仿宋_GB2312"/>
          <w:b w:val="0"/>
          <w:sz w:val="32"/>
          <w:szCs w:val="32"/>
          <w:highlight w:val="none"/>
        </w:rPr>
        <w:t>公出国业务</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公务用车购置费全年预算数0.00万元，决算数0.00万元，预决算差异率0.00%，主要原因是：我单位未购置车辆</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公务用车运行维护费全年预算数2.60万元，决算数2.60万元，预决算差异率0.00%，主要原因是：我单位严格按照预算执行，未产生差异</w:t>
      </w:r>
      <w:r>
        <w:rPr>
          <w:rFonts w:hint="eastAsia" w:ascii="仿宋_GB2312" w:eastAsia="仿宋_GB2312"/>
          <w:b w:val="0"/>
          <w:color w:val="auto"/>
          <w:sz w:val="32"/>
          <w:szCs w:val="32"/>
          <w:highlight w:val="none"/>
          <w:lang w:eastAsia="zh-CN"/>
        </w:rPr>
        <w:t>；</w:t>
      </w:r>
      <w:r>
        <w:rPr>
          <w:rFonts w:ascii="仿宋_GB2312" w:eastAsia="仿宋_GB2312"/>
          <w:b w:val="0"/>
          <w:sz w:val="32"/>
          <w:szCs w:val="32"/>
          <w:highlight w:val="none"/>
        </w:rPr>
        <w:t>公务接待费全年预算数0.00万元，决算数0.</w:t>
      </w:r>
      <w:r>
        <w:rPr>
          <w:rFonts w:ascii="仿宋_GB2312" w:eastAsia="仿宋_GB2312"/>
          <w:b w:val="0"/>
          <w:sz w:val="32"/>
          <w:szCs w:val="32"/>
        </w:rPr>
        <w:t>00万元，预决算差异率0.00%，主要原因是：我单位未发生公务接待业务。</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2" w:firstLineChars="200"/>
        <w:jc w:val="left"/>
        <w:outlineLvl w:val="2"/>
        <w:rPr>
          <w:rFonts w:ascii="仿宋_GB2312" w:eastAsia="仿宋_GB2312"/>
          <w:sz w:val="32"/>
          <w:szCs w:val="32"/>
        </w:rPr>
      </w:pPr>
      <w:r>
        <w:rPr>
          <w:rFonts w:ascii="仿宋_GB2312" w:eastAsia="仿宋_GB2312"/>
          <w:b/>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w:t>
      </w:r>
      <w:r>
        <w:rPr>
          <w:rFonts w:ascii="仿宋_GB2312" w:eastAsia="仿宋_GB2312"/>
          <w:b w:val="0"/>
          <w:sz w:val="32"/>
          <w:szCs w:val="32"/>
          <w:highlight w:val="none"/>
        </w:rPr>
        <w:t>度</w:t>
      </w:r>
      <w:r>
        <w:rPr>
          <w:rFonts w:hint="eastAsia" w:ascii="仿宋_GB2312" w:eastAsia="仿宋_GB2312"/>
          <w:b w:val="0"/>
          <w:sz w:val="32"/>
          <w:szCs w:val="32"/>
          <w:highlight w:val="none"/>
          <w:lang w:eastAsia="zh-CN"/>
        </w:rPr>
        <w:t>新疆维吾尔自治区农业农村厅信息中心单位（事业单位）</w:t>
      </w:r>
      <w:r>
        <w:rPr>
          <w:rFonts w:ascii="仿宋_GB2312" w:eastAsia="仿宋_GB2312"/>
          <w:b w:val="0"/>
          <w:sz w:val="32"/>
          <w:szCs w:val="32"/>
          <w:highlight w:val="none"/>
        </w:rPr>
        <w:t>公用经费支出</w:t>
      </w:r>
      <w:r>
        <w:rPr>
          <w:rFonts w:ascii="仿宋_GB2312" w:eastAsia="仿宋_GB2312"/>
          <w:b w:val="0"/>
          <w:sz w:val="32"/>
          <w:szCs w:val="32"/>
        </w:rPr>
        <w:t>34.44万元，比上年增加1.61万元，增长4.90%，主要原因是：2023年年中调任3人至我单位，所以在做2024年预算时相应的公用经费增加。</w:t>
      </w:r>
    </w:p>
    <w:p>
      <w:pPr>
        <w:widowControl/>
        <w:spacing w:before="0" w:beforeLines="0" w:beforeAutospacing="0" w:after="0" w:afterLines="0" w:afterAutospacing="0" w:line="240" w:lineRule="auto"/>
        <w:ind w:firstLine="642" w:firstLineChars="200"/>
        <w:jc w:val="left"/>
        <w:outlineLvl w:val="2"/>
        <w:rPr>
          <w:rFonts w:ascii="仿宋_GB2312" w:eastAsia="仿宋_GB2312"/>
          <w:sz w:val="32"/>
          <w:szCs w:val="32"/>
        </w:rPr>
      </w:pPr>
      <w:r>
        <w:rPr>
          <w:rFonts w:ascii="仿宋_GB2312" w:eastAsia="仿宋_GB2312"/>
          <w:b/>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2024年度政府采购支出总额21.69万元，其中：政府采购货物支出6.41万元、政府采购工程支出0.00万元、政府采购服务支出15.28万元。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授予中小企业合同金额21.69万元，占政府采购支出总额的100.00%，其中：授予小微企业合同金额21.69万元，占政府采购支出总额的100.00%。</w:t>
      </w:r>
    </w:p>
    <w:p>
      <w:pPr>
        <w:widowControl/>
        <w:spacing w:before="0" w:beforeLines="0" w:beforeAutospacing="0" w:after="0" w:afterLines="0" w:afterAutospacing="0" w:line="240" w:lineRule="auto"/>
        <w:ind w:firstLine="642" w:firstLineChars="200"/>
        <w:jc w:val="left"/>
        <w:outlineLvl w:val="2"/>
        <w:rPr>
          <w:rFonts w:ascii="仿宋_GB2312" w:eastAsia="仿宋_GB2312"/>
          <w:sz w:val="32"/>
          <w:szCs w:val="32"/>
        </w:rPr>
      </w:pPr>
      <w:r>
        <w:rPr>
          <w:rFonts w:ascii="仿宋_GB2312" w:eastAsia="仿宋_GB2312"/>
          <w:b/>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0.00平方米，价值0.00万元。车辆2辆，价值40.37万元，其中：副部（省）级及以上领导用车0辆、主要负责人用车0辆、机要通信用车0辆、应急保障用车0辆、执法执勤用车0辆、特种专业技术用车1辆、离退休干部服务用车0辆、其他用车1辆，其他用车主要是：</w:t>
      </w:r>
      <w:r>
        <w:rPr>
          <w:rFonts w:hint="eastAsia" w:ascii="仿宋_GB2312" w:eastAsia="仿宋_GB2312"/>
          <w:b w:val="0"/>
          <w:sz w:val="32"/>
          <w:szCs w:val="32"/>
          <w:lang w:eastAsia="zh-CN"/>
        </w:rPr>
        <w:t>为一般公务用车</w:t>
      </w:r>
      <w:r>
        <w:rPr>
          <w:rFonts w:ascii="仿宋_GB2312" w:eastAsia="仿宋_GB2312"/>
          <w:b w:val="0"/>
          <w:sz w:val="32"/>
          <w:szCs w:val="32"/>
        </w:rPr>
        <w:t>;单价100万元（含）以上设备（不含车辆）3台（套）。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hint="eastAsia" w:ascii="仿宋_GB2312" w:eastAsia="仿宋_GB2312"/>
          <w:sz w:val="32"/>
          <w:szCs w:val="32"/>
          <w:lang w:eastAsia="zh-CN"/>
        </w:rPr>
      </w:pPr>
      <w:r>
        <w:rPr>
          <w:rFonts w:ascii="仿宋_GB2312" w:eastAsia="仿宋_GB2312"/>
          <w:b w:val="0"/>
          <w:sz w:val="32"/>
          <w:szCs w:val="32"/>
        </w:rPr>
        <w:t>根据预算绩效管理要求，本单位2024年度预算绩效评价项目</w:t>
      </w:r>
      <w:r>
        <w:rPr>
          <w:rFonts w:hint="eastAsia" w:ascii="仿宋_GB2312" w:eastAsia="仿宋_GB2312"/>
          <w:b w:val="0"/>
          <w:sz w:val="32"/>
          <w:szCs w:val="32"/>
          <w:lang w:val="en-US" w:eastAsia="zh-CN"/>
        </w:rPr>
        <w:t>2</w:t>
      </w:r>
      <w:r>
        <w:rPr>
          <w:rFonts w:ascii="仿宋_GB2312" w:eastAsia="仿宋_GB2312"/>
          <w:b w:val="0"/>
          <w:sz w:val="32"/>
          <w:szCs w:val="32"/>
        </w:rPr>
        <w:t>个，全年预算数</w:t>
      </w:r>
      <w:r>
        <w:rPr>
          <w:rFonts w:hint="eastAsia" w:ascii="仿宋_GB2312" w:eastAsia="仿宋_GB2312"/>
          <w:b w:val="0"/>
          <w:sz w:val="32"/>
          <w:szCs w:val="32"/>
          <w:lang w:val="en-US" w:eastAsia="zh-CN"/>
        </w:rPr>
        <w:t>152.4</w:t>
      </w:r>
      <w:r>
        <w:rPr>
          <w:rFonts w:ascii="仿宋_GB2312" w:eastAsia="仿宋_GB2312"/>
          <w:b w:val="0"/>
          <w:sz w:val="32"/>
          <w:szCs w:val="32"/>
        </w:rPr>
        <w:t>0万元，全年执行数</w:t>
      </w:r>
      <w:r>
        <w:rPr>
          <w:rFonts w:hint="eastAsia" w:ascii="仿宋_GB2312" w:eastAsia="仿宋_GB2312"/>
          <w:b w:val="0"/>
          <w:sz w:val="32"/>
          <w:szCs w:val="32"/>
          <w:lang w:val="en-US" w:eastAsia="zh-CN"/>
        </w:rPr>
        <w:t>152.4</w:t>
      </w:r>
      <w:bookmarkStart w:id="0" w:name="_GoBack"/>
      <w:r>
        <w:rPr>
          <w:rFonts w:ascii="仿宋_GB2312" w:eastAsia="仿宋_GB2312"/>
          <w:b w:val="0"/>
          <w:sz w:val="32"/>
          <w:szCs w:val="32"/>
        </w:rPr>
        <w:t>0</w:t>
      </w:r>
      <w:bookmarkEnd w:id="0"/>
      <w:r>
        <w:rPr>
          <w:rFonts w:ascii="仿宋_GB2312" w:eastAsia="仿宋_GB2312"/>
          <w:b w:val="0"/>
          <w:sz w:val="32"/>
          <w:szCs w:val="32"/>
        </w:rPr>
        <w:t>万</w:t>
      </w:r>
      <w:r>
        <w:rPr>
          <w:rFonts w:ascii="仿宋_GB2312" w:eastAsia="仿宋_GB2312"/>
          <w:b w:val="0"/>
          <w:sz w:val="32"/>
          <w:szCs w:val="32"/>
          <w:highlight w:val="none"/>
        </w:rPr>
        <w:t>元</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预算</w:t>
      </w:r>
      <w:r>
        <w:rPr>
          <w:rFonts w:ascii="仿宋_GB2312" w:eastAsia="仿宋_GB2312"/>
          <w:b w:val="0"/>
          <w:sz w:val="32"/>
          <w:szCs w:val="32"/>
        </w:rPr>
        <w:t>绩效管理取得的成效：一是抓好绩效目标编制，严格按照上级要求在规定时间报送绩效目标；二是深入开展财政支出绩效评价，对项目资金实施绩效自评和项目核查，在此基础上形成自评报告，强化评价结果应用，组织绩效自评和绩效跟踪监控，对发现的问题及时改进，加强评价结果与项目资金安排的衔接</w:t>
      </w:r>
      <w:r>
        <w:rPr>
          <w:rFonts w:hint="eastAsia" w:ascii="仿宋_GB2312" w:eastAsia="仿宋_GB2312"/>
          <w:b w:val="0"/>
          <w:sz w:val="32"/>
          <w:szCs w:val="32"/>
          <w:lang w:eastAsia="zh-CN"/>
        </w:rPr>
        <w:t>。</w:t>
      </w:r>
      <w:r>
        <w:rPr>
          <w:rFonts w:ascii="仿宋_GB2312" w:eastAsia="仿宋_GB2312"/>
          <w:b w:val="0"/>
          <w:sz w:val="32"/>
          <w:szCs w:val="32"/>
        </w:rPr>
        <w:t>发现的问题及原因：一是有待进一步加强绩效管理，监测期间，资金执行进度与绩效目标仍有一定差距，重支出轻绩效，绩效管理意识仍不足；二是预算管理水平有待加强，在制定预算指标设置与实施过程中存在偏差，导致资金使用进度和工作时效不对应，影响单位资金支出进度</w:t>
      </w:r>
      <w:r>
        <w:rPr>
          <w:rFonts w:hint="eastAsia" w:ascii="仿宋_GB2312" w:eastAsia="仿宋_GB2312"/>
          <w:b w:val="0"/>
          <w:sz w:val="32"/>
          <w:szCs w:val="32"/>
          <w:lang w:eastAsia="zh-CN"/>
        </w:rPr>
        <w:t>。</w:t>
      </w:r>
      <w:r>
        <w:rPr>
          <w:rFonts w:ascii="仿宋_GB2312" w:eastAsia="仿宋_GB2312"/>
          <w:b w:val="0"/>
          <w:sz w:val="32"/>
          <w:szCs w:val="32"/>
        </w:rPr>
        <w:t>下一步改进措施：一是进一步强化责任担待，严格落实岗位责任制，将绩效监控工作作为单位重点工作之一，由主要领导主抓部署，业务、财务明确责任分工，提升单位预算绩效管理；二是牢固树立绩效管理理念，加强培训力度，提升单位项目实施管理人员的绩效业务水平，合理规划预算绩效管理指标，以完善工作措施为着力点，不断提高预算绩效管理水平。</w:t>
      </w:r>
      <w:r>
        <w:rPr>
          <w:rFonts w:hint="eastAsia" w:ascii="仿宋_GB2312" w:eastAsia="仿宋_GB2312"/>
          <w:b w:val="0"/>
          <w:sz w:val="32"/>
          <w:szCs w:val="32"/>
          <w:lang w:eastAsia="zh-CN"/>
        </w:rPr>
        <w:t>具体项目自评情况附绩效自评表及自评报告。</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false"/>
  <w:bordersDoNotSurroundFooter w:val="false"/>
  <w:documentProtection w:enforcement="0"/>
  <w:displayHorizontalDrawingGridEvery w:val="1"/>
  <w:displayVerticalDrawingGridEvery w:val="1"/>
  <w:noPunctuationKerning w:val="true"/>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1E11CC"/>
    <w:rsid w:val="088C5193"/>
    <w:rsid w:val="0E492A3D"/>
    <w:rsid w:val="120376A9"/>
    <w:rsid w:val="20481564"/>
    <w:rsid w:val="233F6ECB"/>
    <w:rsid w:val="31371AD5"/>
    <w:rsid w:val="32A873B7"/>
    <w:rsid w:val="32FE2A3C"/>
    <w:rsid w:val="37553354"/>
    <w:rsid w:val="4096439B"/>
    <w:rsid w:val="452765B2"/>
    <w:rsid w:val="4CFC5EBC"/>
    <w:rsid w:val="4EA40F36"/>
    <w:rsid w:val="4FDF360A"/>
    <w:rsid w:val="5ACD03FB"/>
    <w:rsid w:val="5F7F368C"/>
    <w:rsid w:val="6F01162E"/>
    <w:rsid w:val="73270B43"/>
    <w:rsid w:val="7BBC1848"/>
    <w:rsid w:val="7CB8373A"/>
    <w:rsid w:val="7D1C59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Office_11.8.2.10290_F1E327BC-269C-435d-A152-05C5408002CA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2025-08-12T11:45:00Z</dcterms:created>
  <dc:creator>Administrator</dc:creator>
  <cp:lastModifiedBy>user</cp:lastModifiedBy>
  <dcterms:modified xsi:type="dcterms:W3CDTF">2025-09-24T19:58:04Z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