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新疆维吾尔自治区农业农村厅机关服务中心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是负责机关房产、物资管理；二是负责职工食堂、物业服务公司管理；负责厅公共机构节能、机关基本建设；负责机关维稳、安全、消防管理；三是配合厅办和管委会做好办公秩序管理和社会治安综合治理工作等。</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新疆维吾尔自治区农业农村厅机关服务中心</w:t>
      </w:r>
      <w:r>
        <w:rPr>
          <w:rFonts w:hint="eastAsia" w:ascii="仿宋_GB2312" w:eastAsia="仿宋_GB2312"/>
          <w:b w:val="0"/>
          <w:sz w:val="32"/>
          <w:szCs w:val="32"/>
          <w:lang w:eastAsia="zh-CN"/>
        </w:rPr>
        <w:t>单位</w:t>
      </w:r>
      <w:r>
        <w:rPr>
          <w:rFonts w:ascii="仿宋_GB2312" w:eastAsia="仿宋_GB2312"/>
          <w:b w:val="0"/>
          <w:sz w:val="32"/>
          <w:szCs w:val="32"/>
        </w:rPr>
        <w:t>2024年度，实有人数27人，其中：在职人员12人，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；退休人员15人，减少1人。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新疆维吾尔自治区农业农村厅机关服务中心</w:t>
      </w:r>
      <w:r>
        <w:rPr>
          <w:rFonts w:hint="eastAsia" w:ascii="仿宋_GB2312" w:eastAsia="仿宋_GB2312"/>
          <w:b w:val="0"/>
          <w:sz w:val="32"/>
          <w:szCs w:val="32"/>
          <w:lang w:eastAsia="zh-CN"/>
        </w:rPr>
        <w:t>单位</w:t>
      </w:r>
      <w:r>
        <w:rPr>
          <w:rFonts w:ascii="仿宋_GB2312" w:eastAsia="仿宋_GB2312"/>
          <w:b w:val="0"/>
          <w:sz w:val="32"/>
          <w:szCs w:val="32"/>
        </w:rPr>
        <w:t>无下属预算单位，下设3个科室，分别是：办公室、资产科、综合科。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2024年度收入总计570.99万元，其中：本年收入合计445.81万元，使用非财政拨款结余（含专用结余）0.00万元，年初结转和结余125.17万元。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2024年度支出总计570.99万元，其中：本年支出合计439.71万元，结余分配0.00万元，年末结转和结余131.28万元。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124.69万元，增长27.94%，主要原因是：根据审计整改要求，以前年度沉淀其他应付款科目余额110.92万元调整到2024年非财政拨款年初结转结余中，纳入2025年农业生产发展项目预算中使用，2024年非财政拨款年末结转结余增加110.92万元。本年支出合计中包含年末结转结余资金110.92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本年收入445.81万元，其中：财政拨款收入432.84万元,占97.09%；上级补助收入0.00万元,占0.00%；事业收入0.00万元，占0.00%；经营收入0.00万元,占0.00%；附属单位上缴收入0.00万元，占0.00%；其他收入12.97万元，占2.91%。</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本年支出439.71万元，其中：基本支出334.96万元，占76.18%；项目支出104.75万元，占23.82%；上缴上级支出0.00万元，占0.00%；经营支出0.00万元，占0.00%；对附属单位补助支出0.00万元，占0.00%。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2024年度财政拨款收入总计442.29万元，其中：年初财政拨款结转和结余9.45万元，本年财政拨款收入432.84万元。财政拨款支出总计442.29万元，其中：年末财政拨款结转和结余7.59万元，本年财政拨款支出434.71万元。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0.80万元，增长0.18%，主要原因是：在职人员工资调增、正常职务晋升、补贴标准提高、社保及公积金缴费基数调增，收入支出增加。与年初预算相比，年初预算数416.98万元，决算数442.29万元，预决算差异率6.07%，主要原因是：年中追加在职及退休人员基础绩效奖、绩效考核奖、一名退休去世职工抚恤金及“民族团结一家亲”交通费等经费，</w:t>
      </w:r>
      <w:r>
        <w:rPr>
          <w:rFonts w:hint="eastAsia" w:ascii="仿宋_GB2312" w:eastAsia="仿宋_GB2312"/>
          <w:b w:val="0"/>
          <w:sz w:val="32"/>
          <w:szCs w:val="32"/>
          <w:lang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434.71万元，占本年支出合计的98.86%。与上年相比，增加2.67万元，增长0.62%，主要原因是：在职人员工资调增、正常职务晋升、补贴标准提高、社保及公积金缴费基数调增、新增一名去世退休职工抚恤金等，支出增加。与年初预算相比，年初预算数416.98万元，决算数434.71万元，预决算差异率4.25%，主要原因是：年中追加在职及退休人员基础绩效奖、绩效考核奖、一名退休去世职工抚恤金及“民族团结一家亲”交通费等经费，</w:t>
      </w:r>
      <w:r>
        <w:rPr>
          <w:rFonts w:hint="eastAsia" w:ascii="仿宋_GB2312" w:eastAsia="仿宋_GB2312"/>
          <w:b w:val="0"/>
          <w:sz w:val="32"/>
          <w:szCs w:val="32"/>
          <w:lang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社会保障和就业支出（类）58.29万元，占13.41%。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卫生健康支出（类）23.37万元，占5.38%。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农林水支出（类）335.00万元，占77.06%。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住房保障支出（类）18.04万元，占4.15%。</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社会保障和就业支出（类）行政事业单位养老支出（款）事业单位离退休（项）：支出决算数为33.67万元，比上年决算增加0.02万元，增长0.06%，主要原因是：退休人员基础绩效奖较上年增加，支出增加。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24.62万元，比上年决算增加2.02万元，增长8.94%，主要原因是：在职人员职务职级调整、工资调增、正常职务晋升、津贴补贴标准提高，在职人员基本养老保险缴费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行政事业单位医疗（款）事业单位医疗（项）：支出决算数为12.60万元，比上年决算增加1.50万元，增长13.51%，主要原因是：在职人员职务职级调整、工资调增、正常职务晋升、津贴补贴标准提高，在职人员医疗保险缴费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公务员医疗补助（项）：支出决算数为10.77万元，比上年决算增加1.41万元，增长15.06%，主要原因是：在职人员职务职级调整、工资调增、正常职务晋升、津贴补贴标准提高，在职人员医疗补助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农林水支出（类）农业农村（款）机关服务（项）：支出决算数为235.00万元，比上年决算减少3.94万元，下降1.65%，主要原因是：</w:t>
      </w:r>
      <w:r>
        <w:rPr>
          <w:rFonts w:hint="eastAsia" w:ascii="仿宋_GB2312" w:eastAsia="仿宋_GB2312"/>
          <w:b w:val="0"/>
          <w:sz w:val="32"/>
          <w:szCs w:val="32"/>
          <w:lang w:eastAsia="zh-CN"/>
        </w:rPr>
        <w:t>严控经费支出，</w:t>
      </w:r>
      <w:r>
        <w:rPr>
          <w:rFonts w:ascii="仿宋_GB2312" w:eastAsia="仿宋_GB2312"/>
          <w:b w:val="0"/>
          <w:sz w:val="32"/>
          <w:szCs w:val="32"/>
        </w:rPr>
        <w:t>厉行节约，减少</w:t>
      </w:r>
      <w:r>
        <w:rPr>
          <w:rFonts w:hint="eastAsia" w:ascii="仿宋_GB2312" w:eastAsia="仿宋_GB2312"/>
          <w:b w:val="0"/>
          <w:sz w:val="32"/>
          <w:szCs w:val="32"/>
          <w:lang w:eastAsia="zh-CN"/>
        </w:rPr>
        <w:t>经费支出</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农业生产发展（项）：支出决算数为100.00万元，比上年决算增加100.00万元，增长100.00%，主要原因是：本年和上年度农业生产发展资金预算资金均为100.00万元，上年使用的功能科目为2130199其他农业农村支出，本年调整为2130122农业生产发展资金，致农业生产发展支出决算数较上年增长。</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其他农业农村支出（项）：支出决算数为0.00万元，比上年决算减少100.00万元，下降100.00%，主要原因是：本年和上年度农业生产发展资金预算资金均为100.00万元，上年使用的功能科目为2130199其他农业农村支出，本年调整为2130122农业生产发展资金，致其他农业农村支出决算数较上年减少。</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住房保障支出（类）住房改革支出（款）住房公积金（项）：支出决算数为18.04万元，比上年决算增加1.65万元，增长10.07%，主要原因是：在职人员职务职级调整、工资调增、正常职务晋升、津贴补贴标准提高，在职人员住房公积金缴费基数调增，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334.71万元，其中：人员经费277.76万元，包括：基本工资、津贴补贴、奖金、绩效工资、机关事业单位基本养老保险缴费、职工基本医疗保险缴费、公务员医疗补助缴费、其他社会保障缴费、住房公积金、其他工资福利支出、退休费、抚恤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公用经费56.95万元，包括：办公费、邮电费、取暖费、差旅费、工会经费、福利费、公务用车运行维护费、其他交通费用和其他商品和服务支出。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2024年度财政拨款“三公”经费支出1.80万元，与上年相比无变化，主要原因是：</w:t>
      </w:r>
      <w:r>
        <w:rPr>
          <w:rFonts w:hint="eastAsia" w:ascii="仿宋_GB2312" w:eastAsia="仿宋_GB2312"/>
          <w:b w:val="0"/>
          <w:sz w:val="32"/>
          <w:szCs w:val="32"/>
          <w:lang w:eastAsia="zh-CN"/>
        </w:rPr>
        <w:t>我单位财政拨款“三公”经费与上年一致无变化</w:t>
      </w:r>
      <w:r>
        <w:rPr>
          <w:rFonts w:ascii="仿宋_GB2312" w:eastAsia="仿宋_GB2312"/>
          <w:b w:val="0"/>
          <w:sz w:val="32"/>
          <w:szCs w:val="32"/>
        </w:rPr>
        <w:t>。其中：因公出国（境）费支出0.00万元,占0.00%，与上年相比无变化，主要原因是：我单位无因公出国（境）费；公务用车购置及运行维护费支出1.80万元，占100.00%，与上年相比无变化，主要原因是：</w:t>
      </w:r>
      <w:r>
        <w:rPr>
          <w:rFonts w:hint="eastAsia" w:ascii="仿宋_GB2312" w:eastAsia="仿宋_GB2312"/>
          <w:b w:val="0"/>
          <w:sz w:val="32"/>
          <w:szCs w:val="32"/>
          <w:lang w:eastAsia="zh-CN"/>
        </w:rPr>
        <w:t>我单位公务用车运行费与上年一致无变化</w:t>
      </w:r>
      <w:r>
        <w:rPr>
          <w:rFonts w:ascii="仿宋_GB2312" w:eastAsia="仿宋_GB2312"/>
          <w:b w:val="0"/>
          <w:sz w:val="32"/>
          <w:szCs w:val="32"/>
        </w:rPr>
        <w:t>；公务接待费支出0.00万元，占0.00%，与上年相比无变化，主要原因是：我单位无公务接待费。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1.80万元，其中：公务用车购置费0.00万元，公务用车运行维护费1.80万元。公务用车运行维护费开支内容包括车辆维修维护费、车辆加油费以及车辆保险等费用。公务用车购置数0辆，公务用车保有量3辆。国有资产占用情况中固定资产车辆3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1.80万元，决算数1.80万元，预决算差异率0.00%，主要原因是：严格按照全年预算数执行，无差异。其中：因公出国（境）费全年预算数0.00万元，决算数0.00万元，预决算差异率0.00%，主要原因是：我单位无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公务用车购置费全年预算数0.00万元，决算数0.00万元，预决算差异率0.00%，主要原因是：我单位无公务用车购置费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公务用车运行维护费全年预算数1.80万元，决算数1.80万元，预决算差异率0.00%，主要原因是：严格按照全年预算数执行，无差异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hAnsi="仿宋_GB2312" w:eastAsia="仿宋_GB2312" w:cs="仿宋_GB2312"/>
          <w:sz w:val="32"/>
          <w:szCs w:val="32"/>
          <w:highlight w:val="none"/>
          <w:lang w:val="en-US" w:eastAsia="zh-CN"/>
        </w:rPr>
        <w:t>新疆维吾尔自治区农业农村厅机关服务中心单位</w:t>
      </w:r>
      <w:r>
        <w:rPr>
          <w:rFonts w:hint="eastAsia" w:ascii="仿宋_GB2312" w:hAnsi="仿宋_GB2312" w:eastAsia="仿宋_GB2312" w:cs="仿宋_GB2312"/>
          <w:sz w:val="32"/>
          <w:szCs w:val="32"/>
          <w:highlight w:val="none"/>
          <w:lang w:val="zh-CN" w:eastAsia="zh-CN"/>
        </w:rPr>
        <w:t>（事业单位）</w:t>
      </w:r>
      <w:r>
        <w:rPr>
          <w:rFonts w:hint="eastAsia" w:ascii="仿宋_GB2312" w:eastAsia="仿宋_GB2312"/>
          <w:sz w:val="32"/>
          <w:szCs w:val="32"/>
          <w:highlight w:val="none"/>
          <w:lang w:eastAsia="zh-CN"/>
        </w:rPr>
        <w:t>公用经费</w:t>
      </w:r>
      <w:r>
        <w:rPr>
          <w:rFonts w:ascii="仿宋_GB2312" w:eastAsia="仿宋_GB2312"/>
          <w:b w:val="0"/>
          <w:sz w:val="32"/>
          <w:szCs w:val="32"/>
        </w:rPr>
        <w:t>支出56.95万元，比上年减少1.10万元，下降1.89%，主要原因是：本年减少办公经费等公用经费。</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2024年度政府采购支出总额75.32万元，其中：政府采购货物支出0.30万元、政府采购工程支出0.00万元、政府采购服务支出75.02万元。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授予中小企业合同金额73.97万元，占政府采购支出总额的98.21%，其中：授予小微企业合同金额73.81万元，占政府采购支出总额的98.00%。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3辆，价值80.75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105.00万元，全年执行数105.00万元，预算绩效管理取得的成效：一是确保资金的高效使用，切实发挥财政资金的使用效果。二是严格按照工作职责和相关文件依据，确保专款专用。三是严格控制资金的流出方向，确保资金的合规性；发现的问题及原因：一是在细化项目实施方案方面存在不足。分项任务的方案制定不够细致，对可能存在的影响项目全面实施完成的有关因素考虑不全面，未及时制定其他加快实施的应对措施；二是在明确项目绩效管理工作责任方面存在不足。该项目的分项指标多、技术要求高、执行和落实到位需要加大分工协作。但在实施中存在分项落实责任主体不细致问题，需要在今后工作中予以重视；下一步改进措施：一是在以后年度，我单位会充分考虑、预测实际情况来进行预算的填报，提高预算数据的准确度；二是加强对以前年度资金使用情况的分析和总结，加强预算编制科学化、精细化管理，增强预算编制的严肃性和权威性。具体项目</w:t>
      </w:r>
      <w:r>
        <w:rPr>
          <w:rFonts w:hint="eastAsia" w:ascii="仿宋_GB2312" w:eastAsia="仿宋_GB2312"/>
          <w:b w:val="0"/>
          <w:sz w:val="32"/>
          <w:szCs w:val="32"/>
          <w:lang w:eastAsia="zh-CN"/>
        </w:rPr>
        <w:t>自评情况</w:t>
      </w:r>
      <w:r>
        <w:rPr>
          <w:rFonts w:ascii="仿宋_GB2312" w:eastAsia="仿宋_GB2312"/>
          <w:b w:val="0"/>
          <w:sz w:val="32"/>
          <w:szCs w:val="32"/>
        </w:rPr>
        <w:t>附绩效自评表。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w:t>
      </w:r>
      <w:bookmarkStart w:id="0" w:name="_GoBack"/>
      <w:bookmarkEnd w:id="0"/>
      <w:r>
        <w:rPr>
          <w:rFonts w:ascii="仿宋_GB2312" w:eastAsia="仿宋_GB2312"/>
          <w:b w:val="0"/>
          <w:sz w:val="32"/>
          <w:szCs w:val="32"/>
        </w:rPr>
        <w:t>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07F3A"/>
    <w:rsid w:val="2F057104"/>
    <w:rsid w:val="2F8C1797"/>
    <w:rsid w:val="41D17B56"/>
    <w:rsid w:val="471316CD"/>
    <w:rsid w:val="4CCF64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Office_10.8.2.6870_F1E327BC-269C-435d-A152-05C5408002CA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2025-08-14T12:21:00Z</dcterms:created>
  <dc:creator>Administrator</dc:creator>
  <cp:lastModifiedBy>Administrator</cp:lastModifiedBy>
  <dcterms:modified xsi:type="dcterms:W3CDTF">2025-08-26T01:44:56Z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