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b w:val="0"/>
          <w:sz w:val="44"/>
          <w:szCs w:val="44"/>
        </w:rPr>
      </w:pPr>
      <w:r>
        <w:rPr>
          <w:rFonts w:ascii="宋体" w:eastAsia="黑体"/>
          <w:b w:val="0"/>
          <w:sz w:val="44"/>
          <w:szCs w:val="44"/>
        </w:rPr>
        <w:t>新疆维吾尔自治区农药检定所</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承担农药生产、经营许可等技术指导服务工作；承担农业投入品和农产品质量安全检验、风险监测与评价；承担农药信息统计数据采集、分析工作；承担农药登记试验备案及相关检查工作；开展农药检定和农产品质量安全检验检测体系建设技术指导和咨询服务；承担农业投入品、农产品质量安全检测标准及行业规范的研究工作，协助做好农药登记相关工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hint="eastAsia" w:ascii="仿宋_GB2312" w:eastAsia="仿宋_GB2312"/>
          <w:sz w:val="32"/>
          <w:szCs w:val="32"/>
          <w:lang w:eastAsia="zh-CN"/>
        </w:rPr>
      </w:pPr>
      <w:r>
        <w:rPr>
          <w:rFonts w:ascii="仿宋_GB2312" w:eastAsia="仿宋_GB2312"/>
          <w:b w:val="0"/>
          <w:sz w:val="32"/>
          <w:szCs w:val="32"/>
        </w:rPr>
        <w:t>新疆维吾尔自治区农药检定所2024年度，实有人数25人，其中：在职人员18人，</w:t>
      </w:r>
      <w:bookmarkStart w:id="0" w:name="OLE_LINK1"/>
      <w:r>
        <w:rPr>
          <w:rFonts w:hint="eastAsia" w:ascii="仿宋_GB2312" w:eastAsia="仿宋_GB2312"/>
          <w:b w:val="0"/>
          <w:sz w:val="32"/>
          <w:szCs w:val="32"/>
          <w:lang w:val="en-US" w:eastAsia="zh-CN"/>
        </w:rPr>
        <w:t>增加0人</w:t>
      </w:r>
      <w:bookmarkEnd w:id="0"/>
      <w:r>
        <w:rPr>
          <w:rFonts w:ascii="仿宋_GB2312" w:eastAsia="仿宋_GB2312"/>
          <w:b w:val="0"/>
          <w:sz w:val="32"/>
          <w:szCs w:val="32"/>
        </w:rPr>
        <w:t>；离休人员0人，</w:t>
      </w:r>
      <w:r>
        <w:rPr>
          <w:rFonts w:hint="eastAsia" w:ascii="仿宋_GB2312" w:eastAsia="仿宋_GB2312"/>
          <w:b w:val="0"/>
          <w:sz w:val="32"/>
          <w:szCs w:val="32"/>
          <w:lang w:val="en-US" w:eastAsia="zh-CN"/>
        </w:rPr>
        <w:t>增加0人</w:t>
      </w:r>
      <w:r>
        <w:rPr>
          <w:rFonts w:ascii="仿宋_GB2312" w:eastAsia="仿宋_GB2312"/>
          <w:b w:val="0"/>
          <w:sz w:val="32"/>
          <w:szCs w:val="32"/>
        </w:rPr>
        <w:t>；退休人员7人，</w:t>
      </w:r>
      <w:r>
        <w:rPr>
          <w:rFonts w:hint="eastAsia" w:ascii="仿宋_GB2312" w:eastAsia="仿宋_GB2312"/>
          <w:b w:val="0"/>
          <w:sz w:val="32"/>
          <w:szCs w:val="32"/>
          <w:lang w:val="en-US" w:eastAsia="zh-CN"/>
        </w:rPr>
        <w:t>增加0人</w:t>
      </w:r>
      <w:r>
        <w:rPr>
          <w:rFonts w:hint="eastAsia" w:ascii="仿宋_GB2312" w:eastAsia="仿宋_GB2312"/>
          <w:b w:val="0"/>
          <w:sz w:val="32"/>
          <w:szCs w:val="32"/>
          <w:lang w:eastAsia="zh-CN"/>
        </w:rPr>
        <w:t>。</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eastAsia="zh-CN"/>
        </w:rPr>
        <w:t>单位</w:t>
      </w:r>
      <w:r>
        <w:rPr>
          <w:rFonts w:ascii="仿宋_GB2312" w:eastAsia="仿宋_GB2312"/>
          <w:b w:val="0"/>
          <w:sz w:val="32"/>
          <w:szCs w:val="32"/>
        </w:rPr>
        <w:t>无下属预算单位，下设0个</w:t>
      </w:r>
      <w:r>
        <w:rPr>
          <w:rFonts w:hint="eastAsia" w:ascii="仿宋_GB2312" w:eastAsia="仿宋_GB2312"/>
          <w:b w:val="0"/>
          <w:sz w:val="32"/>
          <w:szCs w:val="32"/>
          <w:lang w:eastAsia="zh-CN"/>
        </w:rPr>
        <w:t>科室。</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2024年度收入总计827.95万元，其中：本年收入合计765.30万元，使用非财政拨款结余（含专用结余）0.00万元，年初结转和结余62.65万元。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2024年度支出总计827.95万元，其中：本年支出合计763.88万元，结余分配0.00万元，年末结转和结余64.07万元。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收入支出总体与上年相比，减少921.60万元，下降52.68%，主要原因是：</w:t>
      </w:r>
      <w:r>
        <w:rPr>
          <w:rFonts w:hint="eastAsia" w:ascii="仿宋_GB2312" w:eastAsia="仿宋_GB2312"/>
          <w:b w:val="0"/>
          <w:sz w:val="32"/>
          <w:szCs w:val="32"/>
          <w:lang w:eastAsia="zh-CN"/>
        </w:rPr>
        <w:t>本年减少了</w:t>
      </w:r>
      <w:r>
        <w:rPr>
          <w:rFonts w:ascii="仿宋_GB2312" w:eastAsia="仿宋_GB2312"/>
          <w:b w:val="0"/>
          <w:sz w:val="32"/>
          <w:szCs w:val="32"/>
        </w:rPr>
        <w:t>新疆维吾尔自治区农药风险监测站点项目、天山英才项目。</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本年收入765.30万元，其中：财政拨款收入764.82万元,占99.94%；上级补助收入0.00万元,占0.00%；事业收入0.00万元，占0.00%；经营收入0.00万元,占0.00%；附属单位上缴收入0.00万元，占0.00%；其他收入0.48万元，占0.06%。</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本年支出763.88万元，其中：基本支出420.85万元，占55.09%；项目支出343.03万元，占44.91%；上缴上级支出0.00万元，占0.00%；经营支出0.00万元，占0.00%；对附属单位补助支出0.00万元，占0.00%。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2024年度财政拨款收入总计785.80万元，其中：年初财政拨款结转和结余20.99万元，本年财政拨款收入764.82万元。财政拨款支出总计785.80万元，其中：年末财政拨款结转和结余22.43万元，本年财政拨款支出763.37万元。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财政拨款收入支出总体与上年相比，减少663.88万元，下降45.79%，主要原因是：</w:t>
      </w:r>
      <w:r>
        <w:rPr>
          <w:rFonts w:hint="eastAsia" w:ascii="仿宋_GB2312" w:eastAsia="仿宋_GB2312"/>
          <w:b w:val="0"/>
          <w:sz w:val="32"/>
          <w:szCs w:val="32"/>
          <w:lang w:eastAsia="zh-CN"/>
        </w:rPr>
        <w:t>本年减少了</w:t>
      </w:r>
      <w:r>
        <w:rPr>
          <w:rFonts w:ascii="仿宋_GB2312" w:eastAsia="仿宋_GB2312"/>
          <w:b w:val="0"/>
          <w:sz w:val="32"/>
          <w:szCs w:val="32"/>
        </w:rPr>
        <w:t>新疆维吾尔自治区农药风险监测站点项目。与年初预算相比，年初预算数738.42万元，决算数785.80万元，预决算差异率6.42%，主要原因是：</w:t>
      </w:r>
      <w:r>
        <w:rPr>
          <w:rFonts w:hint="eastAsia" w:ascii="仿宋_GB2312" w:eastAsia="仿宋_GB2312"/>
          <w:b w:val="0"/>
          <w:sz w:val="32"/>
          <w:szCs w:val="32"/>
          <w:lang w:eastAsia="zh-CN"/>
        </w:rPr>
        <w:t>年中追加</w:t>
      </w:r>
      <w:r>
        <w:rPr>
          <w:rFonts w:ascii="仿宋_GB2312" w:eastAsia="仿宋_GB2312"/>
          <w:b w:val="0"/>
          <w:sz w:val="32"/>
          <w:szCs w:val="32"/>
        </w:rPr>
        <w:t>农产品质量安全项目</w:t>
      </w:r>
      <w:r>
        <w:rPr>
          <w:rFonts w:hint="eastAsia" w:ascii="仿宋_GB2312" w:eastAsia="仿宋_GB2312"/>
          <w:b w:val="0"/>
          <w:sz w:val="32"/>
          <w:szCs w:val="32"/>
          <w:lang w:eastAsia="zh-CN"/>
        </w:rPr>
        <w:t>，导致预决算存在差异</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rPr>
      </w:pPr>
      <w:r>
        <w:rPr>
          <w:rFonts w:ascii="仿宋_GB2312" w:eastAsia="仿宋_GB2312"/>
          <w:b/>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2024年度一般公共预算财政拨款支出763.37万元，占本年支出合计的99.93%。与上年相比，减少665.32万元，下降46.57%，主要原因是：</w:t>
      </w:r>
      <w:r>
        <w:rPr>
          <w:rFonts w:hint="eastAsia" w:ascii="仿宋_GB2312" w:eastAsia="仿宋_GB2312"/>
          <w:b w:val="0"/>
          <w:sz w:val="32"/>
          <w:szCs w:val="32"/>
          <w:lang w:eastAsia="zh-CN"/>
        </w:rPr>
        <w:t>本年减少</w:t>
      </w:r>
      <w:r>
        <w:rPr>
          <w:rFonts w:ascii="仿宋_GB2312" w:eastAsia="仿宋_GB2312"/>
          <w:b w:val="0"/>
          <w:sz w:val="32"/>
          <w:szCs w:val="32"/>
        </w:rPr>
        <w:t>新疆维吾尔自治区农药风险监测站点项目。与年初预算相比，年初预算数738.42万元，决算数763.37万元，预决算差异率3.38%，主要原因是：</w:t>
      </w:r>
      <w:r>
        <w:rPr>
          <w:rFonts w:hint="eastAsia" w:ascii="仿宋_GB2312" w:eastAsia="仿宋_GB2312"/>
          <w:b w:val="0"/>
          <w:sz w:val="32"/>
          <w:szCs w:val="32"/>
          <w:lang w:eastAsia="zh-CN"/>
        </w:rPr>
        <w:t>年中追加</w:t>
      </w:r>
      <w:r>
        <w:rPr>
          <w:rFonts w:ascii="仿宋_GB2312" w:eastAsia="仿宋_GB2312"/>
          <w:b w:val="0"/>
          <w:sz w:val="32"/>
          <w:szCs w:val="32"/>
        </w:rPr>
        <w:t>农产品质量安全项目</w:t>
      </w:r>
      <w:r>
        <w:rPr>
          <w:rFonts w:hint="eastAsia" w:ascii="仿宋_GB2312" w:eastAsia="仿宋_GB2312"/>
          <w:b w:val="0"/>
          <w:sz w:val="32"/>
          <w:szCs w:val="32"/>
          <w:lang w:eastAsia="zh-CN"/>
        </w:rPr>
        <w:t>，导致预决算存在差异</w:t>
      </w:r>
      <w:r>
        <w:rPr>
          <w:rFonts w:ascii="仿宋_GB2312" w:eastAsia="仿宋_GB2312"/>
          <w:b w:val="0"/>
          <w:sz w:val="32"/>
          <w:szCs w:val="32"/>
        </w:rPr>
        <w:t>。</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rPr>
      </w:pPr>
      <w:r>
        <w:rPr>
          <w:rFonts w:ascii="仿宋_GB2312" w:eastAsia="仿宋_GB2312"/>
          <w:b/>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社会保障和就业支出（类）55.14万元，占7.22%。</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卫生健康支出（类）37.33万元，占4.89%。</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农林水支出（类）641.82万元，占84.08%。</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住房保障支出（类）29.08万元，占3.81%。</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rPr>
      </w:pPr>
      <w:r>
        <w:rPr>
          <w:rFonts w:ascii="仿宋_GB2312" w:eastAsia="仿宋_GB2312"/>
          <w:b/>
          <w:sz w:val="32"/>
          <w:szCs w:val="32"/>
        </w:rPr>
        <w:t>（三）一般公共预算财政拨款支出决算具体情况</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社会保障和就业支出（类）行政事业单位养老支出（款）事业单位离退休（项）：支出决算数为16.10万元，比上年决算增加3.80万元，增长30.89%，主要原因是：退休人员</w:t>
      </w:r>
      <w:r>
        <w:rPr>
          <w:rFonts w:hint="eastAsia" w:ascii="仿宋_GB2312" w:eastAsia="仿宋_GB2312"/>
          <w:b w:val="0"/>
          <w:sz w:val="32"/>
          <w:szCs w:val="32"/>
          <w:lang w:eastAsia="zh-CN"/>
        </w:rPr>
        <w:t>绩效奖增加</w:t>
      </w:r>
      <w:r>
        <w:rPr>
          <w:rFonts w:ascii="仿宋_GB2312" w:eastAsia="仿宋_GB2312"/>
          <w:b w:val="0"/>
          <w:sz w:val="32"/>
          <w:szCs w:val="32"/>
        </w:rPr>
        <w:t>。</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行政事业单位养老支出（款）机关事业单位基本养老保险缴费支出（项）：支出决算数为39.04万元，比上年决算增加3.98万元，增长11.35%，主要原因是：在职人员基本养老保险缴费基数调增，支出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社会保障和就业支出（类）行政事业单位养老支出（款）机关事业单位职业年金缴费支出（项）：支出决算数为0.00万元，比上年决算减少14.02万元，下降100.00%，主要原因是：</w:t>
      </w:r>
      <w:r>
        <w:rPr>
          <w:rFonts w:hint="eastAsia" w:ascii="仿宋_GB2312" w:eastAsia="仿宋_GB2312"/>
          <w:sz w:val="32"/>
          <w:szCs w:val="32"/>
          <w:lang w:val="en-US" w:eastAsia="zh-CN"/>
        </w:rPr>
        <w:t>2023年</w:t>
      </w:r>
      <w:r>
        <w:rPr>
          <w:rFonts w:hint="eastAsia" w:ascii="仿宋_GB2312" w:eastAsia="仿宋_GB2312"/>
          <w:sz w:val="32"/>
          <w:szCs w:val="32"/>
          <w:lang w:eastAsia="zh-CN"/>
        </w:rPr>
        <w:t>有人员变动，辞职</w:t>
      </w:r>
      <w:r>
        <w:rPr>
          <w:rFonts w:hint="eastAsia" w:ascii="仿宋_GB2312" w:eastAsia="仿宋_GB2312"/>
          <w:sz w:val="32"/>
          <w:szCs w:val="32"/>
          <w:lang w:val="en-US" w:eastAsia="zh-CN"/>
        </w:rPr>
        <w:t>1人</w:t>
      </w:r>
      <w:r>
        <w:rPr>
          <w:rFonts w:hint="eastAsia" w:ascii="仿宋_GB2312" w:eastAsia="仿宋_GB2312"/>
          <w:sz w:val="32"/>
          <w:szCs w:val="32"/>
          <w:lang w:eastAsia="zh-CN"/>
        </w:rPr>
        <w:t>、在职转退休</w:t>
      </w:r>
      <w:r>
        <w:rPr>
          <w:rFonts w:hint="eastAsia" w:ascii="仿宋_GB2312" w:eastAsia="仿宋_GB2312"/>
          <w:sz w:val="32"/>
          <w:szCs w:val="32"/>
          <w:lang w:val="en-US" w:eastAsia="zh-CN"/>
        </w:rPr>
        <w:t>1人，</w:t>
      </w:r>
      <w:r>
        <w:rPr>
          <w:rFonts w:ascii="仿宋_GB2312" w:eastAsia="仿宋_GB2312"/>
          <w:b w:val="0"/>
          <w:sz w:val="32"/>
          <w:szCs w:val="32"/>
        </w:rPr>
        <w:t>本年无人员变动。</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卫生健康支出（类）行政事业单位医疗（款）事业单位医疗（项）：支出决算数为19.57万元，比上年决算增加1.38万元，增长7.59%，主要原因是：在职人员医疗保险缴费基数调增，支出增加。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卫生健康支出（类）行政事业单位医疗（款）公务员医疗补助（项）：支出决算数为17.76万元，比上年决算增加2.44万元，增长15.93%，主要原因是：在职人员公务员医疗补助缴费基数调增，支出增加。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农林水支出（类）农业农村（款）事业运行（项）：支出决算数为298.82万元，比上年决算增加13.77万元，增长4.83%，主要原因是：在职人员工资调增，增加绩效奖、结亲路费等。</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7.</w:t>
      </w:r>
      <w:r>
        <w:rPr>
          <w:rFonts w:ascii="仿宋_GB2312" w:eastAsia="仿宋_GB2312"/>
          <w:b w:val="0"/>
          <w:sz w:val="32"/>
          <w:szCs w:val="32"/>
        </w:rPr>
        <w:t>农林水支出（类）农业农村（款）科技转化与推广服务（项）：支出决算数为0.00万元，比上年决算减少20.00万元，下降100.00%，主要原因是：</w:t>
      </w:r>
      <w:r>
        <w:rPr>
          <w:rFonts w:hint="eastAsia" w:ascii="仿宋_GB2312" w:eastAsia="仿宋_GB2312"/>
          <w:b w:val="0"/>
          <w:sz w:val="32"/>
          <w:szCs w:val="32"/>
          <w:lang w:eastAsia="zh-CN"/>
        </w:rPr>
        <w:t>本年减少了</w:t>
      </w:r>
      <w:r>
        <w:rPr>
          <w:rFonts w:ascii="仿宋_GB2312" w:eastAsia="仿宋_GB2312"/>
          <w:b w:val="0"/>
          <w:sz w:val="32"/>
          <w:szCs w:val="32"/>
        </w:rPr>
        <w:t>天山英才项目。</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8.</w:t>
      </w:r>
      <w:r>
        <w:rPr>
          <w:rFonts w:ascii="仿宋_GB2312" w:eastAsia="仿宋_GB2312"/>
          <w:b w:val="0"/>
          <w:sz w:val="32"/>
          <w:szCs w:val="32"/>
        </w:rPr>
        <w:t>农林水支出（类）农业农村（款）病虫害控制（项）：支出决算数为0.00万元，比上年决算减少756.00万元，下降100.00%，主要原因是：</w:t>
      </w:r>
      <w:r>
        <w:rPr>
          <w:rFonts w:hint="eastAsia" w:ascii="仿宋_GB2312" w:eastAsia="仿宋_GB2312"/>
          <w:b w:val="0"/>
          <w:sz w:val="32"/>
          <w:szCs w:val="32"/>
          <w:lang w:eastAsia="zh-CN"/>
        </w:rPr>
        <w:t>本年减少了</w:t>
      </w:r>
      <w:r>
        <w:rPr>
          <w:rFonts w:ascii="仿宋_GB2312" w:eastAsia="仿宋_GB2312"/>
          <w:b w:val="0"/>
          <w:sz w:val="32"/>
          <w:szCs w:val="32"/>
        </w:rPr>
        <w:t>新疆维吾尔自治区农药风险监测站点项目。</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9.</w:t>
      </w:r>
      <w:r>
        <w:rPr>
          <w:rFonts w:ascii="仿宋_GB2312" w:eastAsia="仿宋_GB2312"/>
          <w:b w:val="0"/>
          <w:sz w:val="32"/>
          <w:szCs w:val="32"/>
        </w:rPr>
        <w:t>农林水支出（类）农业农村（款）农业生产发展（项）：支出决算数为307.00万元，比上年决算增加62.00万元，增长25.31%，主要原因是：</w:t>
      </w:r>
      <w:r>
        <w:rPr>
          <w:rFonts w:hint="eastAsia" w:ascii="仿宋_GB2312" w:eastAsia="仿宋_GB2312"/>
          <w:b w:val="0"/>
          <w:sz w:val="32"/>
          <w:szCs w:val="32"/>
          <w:lang w:eastAsia="zh-CN"/>
        </w:rPr>
        <w:t>年中追加</w:t>
      </w:r>
      <w:r>
        <w:rPr>
          <w:rFonts w:ascii="仿宋_GB2312" w:eastAsia="仿宋_GB2312"/>
          <w:b w:val="0"/>
          <w:sz w:val="32"/>
          <w:szCs w:val="32"/>
        </w:rPr>
        <w:t>农产品质量安全项目</w:t>
      </w:r>
      <w:r>
        <w:rPr>
          <w:rFonts w:hint="eastAsia" w:ascii="仿宋_GB2312" w:eastAsia="仿宋_GB2312"/>
          <w:b w:val="0"/>
          <w:sz w:val="32"/>
          <w:szCs w:val="32"/>
          <w:lang w:eastAsia="zh-CN"/>
        </w:rPr>
        <w:t>，比上年新增导致增加</w:t>
      </w:r>
      <w:r>
        <w:rPr>
          <w:rFonts w:ascii="仿宋_GB2312" w:eastAsia="仿宋_GB2312"/>
          <w:b w:val="0"/>
          <w:sz w:val="32"/>
          <w:szCs w:val="32"/>
        </w:rPr>
        <w:t>。</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10.</w:t>
      </w:r>
      <w:r>
        <w:rPr>
          <w:rFonts w:ascii="仿宋_GB2312" w:eastAsia="仿宋_GB2312"/>
          <w:b w:val="0"/>
          <w:sz w:val="32"/>
          <w:szCs w:val="32"/>
        </w:rPr>
        <w:t>农林水支出（类）林业和草原（款）动植物保护（项）：支出决算数为36.00万元，比上年决算增加36.00万元，增长100.00%，主要原因是：</w:t>
      </w:r>
      <w:r>
        <w:rPr>
          <w:rFonts w:hint="eastAsia" w:ascii="仿宋_GB2312" w:eastAsia="仿宋_GB2312"/>
          <w:b w:val="0"/>
          <w:sz w:val="32"/>
          <w:szCs w:val="32"/>
          <w:lang w:eastAsia="zh-CN"/>
        </w:rPr>
        <w:t>本年增加了</w:t>
      </w:r>
      <w:r>
        <w:rPr>
          <w:rFonts w:ascii="仿宋_GB2312" w:eastAsia="仿宋_GB2312"/>
          <w:b w:val="0"/>
          <w:sz w:val="32"/>
          <w:szCs w:val="32"/>
        </w:rPr>
        <w:t>新疆维吾尔自治区农药风险监测站点项目。</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11.</w:t>
      </w:r>
      <w:r>
        <w:rPr>
          <w:rFonts w:ascii="仿宋_GB2312" w:eastAsia="仿宋_GB2312"/>
          <w:b w:val="0"/>
          <w:sz w:val="32"/>
          <w:szCs w:val="32"/>
        </w:rPr>
        <w:t>住房保障支出（类）住房改革支出（款）住房公积金（项）：支出决算数为29.08万元，比上年决算增加1.32万元，增长4.76%，主要原因是：在职人员住房公积金缴费基数调增，支出增加。</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420.37万元，其中：人员经费396.03万元，包括：基本工资、津贴补贴、奖金、绩效工资、机关事业单位基本养老保险缴费、职工基本医疗保险缴费、公务员医疗补助缴费、其他社会保障缴费、住房公积金、其他工资福利支出、退休费、奖励金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公用经费24.34万元，包括：办公费、咨询费、水费、电费、邮电费、差旅费、维修（护）费、专用材料费、委托业务费、工会经费、福利费、公务用车运行维护费、其他交通费用和其他商品和服务支出。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w:t>
      </w:r>
      <w:r>
        <w:rPr>
          <w:rFonts w:hint="eastAsia" w:ascii="仿宋_GB2312" w:eastAsia="仿宋_GB2312"/>
          <w:b w:val="0"/>
          <w:sz w:val="32"/>
          <w:szCs w:val="32"/>
          <w:lang w:eastAsia="zh-CN"/>
        </w:rPr>
        <w:t>、</w:t>
      </w:r>
      <w:r>
        <w:rPr>
          <w:rFonts w:ascii="仿宋_GB2312" w:eastAsia="仿宋_GB2312"/>
          <w:b w:val="0"/>
          <w:sz w:val="32"/>
          <w:szCs w:val="32"/>
        </w:rPr>
        <w:t>支出及结转和结余</w:t>
      </w:r>
      <w:r>
        <w:rPr>
          <w:rFonts w:hint="eastAsia" w:ascii="仿宋_GB2312" w:eastAsia="仿宋_GB2312"/>
          <w:b w:val="0"/>
          <w:sz w:val="32"/>
          <w:szCs w:val="32"/>
          <w:lang w:eastAsia="zh-CN"/>
        </w:rPr>
        <w:t>，</w:t>
      </w:r>
      <w:r>
        <w:rPr>
          <w:rFonts w:ascii="仿宋_GB2312" w:eastAsia="仿宋_GB2312"/>
          <w:b w:val="0"/>
          <w:sz w:val="32"/>
          <w:szCs w:val="32"/>
        </w:rPr>
        <w:t>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2024年度财政拨款“三公”经费支出4.30万元，</w:t>
      </w:r>
      <w:r>
        <w:rPr>
          <w:rFonts w:hint="eastAsia" w:ascii="仿宋_GB2312" w:eastAsia="仿宋_GB2312"/>
          <w:b w:val="0"/>
          <w:sz w:val="32"/>
          <w:szCs w:val="32"/>
          <w:lang w:eastAsia="zh-CN"/>
        </w:rPr>
        <w:t>比</w:t>
      </w:r>
      <w:r>
        <w:rPr>
          <w:rFonts w:ascii="仿宋_GB2312" w:eastAsia="仿宋_GB2312"/>
          <w:b w:val="0"/>
          <w:sz w:val="32"/>
          <w:szCs w:val="32"/>
        </w:rPr>
        <w:t>上年</w:t>
      </w:r>
      <w:r>
        <w:rPr>
          <w:rFonts w:hint="eastAsia" w:ascii="仿宋_GB2312" w:eastAsia="仿宋_GB2312"/>
          <w:b w:val="0"/>
          <w:sz w:val="32"/>
          <w:szCs w:val="32"/>
          <w:lang w:eastAsia="zh-CN"/>
        </w:rPr>
        <w:t>增加</w:t>
      </w:r>
      <w:r>
        <w:rPr>
          <w:rFonts w:ascii="仿宋_GB2312" w:eastAsia="仿宋_GB2312"/>
          <w:b w:val="0"/>
          <w:sz w:val="32"/>
          <w:szCs w:val="32"/>
        </w:rPr>
        <w:t>0.00</w:t>
      </w:r>
      <w:r>
        <w:rPr>
          <w:rFonts w:hint="eastAsia" w:ascii="仿宋_GB2312" w:eastAsia="仿宋_GB2312"/>
          <w:b w:val="0"/>
          <w:sz w:val="32"/>
          <w:szCs w:val="32"/>
          <w:lang w:val="en-US" w:eastAsia="zh-CN"/>
        </w:rPr>
        <w:t>万元，增长</w:t>
      </w:r>
      <w:r>
        <w:rPr>
          <w:rFonts w:ascii="仿宋_GB2312" w:eastAsia="仿宋_GB2312"/>
          <w:b w:val="0"/>
          <w:sz w:val="32"/>
          <w:szCs w:val="32"/>
        </w:rPr>
        <w:t>0.00</w:t>
      </w:r>
      <w:r>
        <w:rPr>
          <w:rFonts w:hint="eastAsia" w:ascii="仿宋_GB2312" w:eastAsia="仿宋_GB2312"/>
          <w:b w:val="0"/>
          <w:sz w:val="32"/>
          <w:szCs w:val="32"/>
          <w:lang w:val="en-US" w:eastAsia="zh-CN"/>
        </w:rPr>
        <w:t>%</w:t>
      </w:r>
      <w:r>
        <w:rPr>
          <w:rFonts w:ascii="仿宋_GB2312" w:eastAsia="仿宋_GB2312"/>
          <w:b w:val="0"/>
          <w:sz w:val="32"/>
          <w:szCs w:val="32"/>
        </w:rPr>
        <w:t>，主要原因是：</w:t>
      </w:r>
      <w:r>
        <w:rPr>
          <w:rFonts w:hint="eastAsia" w:ascii="仿宋_GB2312" w:eastAsia="仿宋_GB2312"/>
          <w:b w:val="0"/>
          <w:sz w:val="32"/>
          <w:szCs w:val="32"/>
          <w:lang w:eastAsia="zh-CN"/>
        </w:rPr>
        <w:t>我单位财政拨款“三公”经费与上年一致无变化</w:t>
      </w:r>
      <w:r>
        <w:rPr>
          <w:rFonts w:ascii="仿宋_GB2312" w:eastAsia="仿宋_GB2312"/>
          <w:b w:val="0"/>
          <w:sz w:val="32"/>
          <w:szCs w:val="32"/>
        </w:rPr>
        <w:t>。其中：因公出国（境）费支出</w:t>
      </w:r>
      <w:bookmarkStart w:id="1" w:name="OLE_LINK2"/>
      <w:r>
        <w:rPr>
          <w:rFonts w:ascii="仿宋_GB2312" w:eastAsia="仿宋_GB2312"/>
          <w:b w:val="0"/>
          <w:sz w:val="32"/>
          <w:szCs w:val="32"/>
        </w:rPr>
        <w:t>0.00</w:t>
      </w:r>
      <w:bookmarkEnd w:id="1"/>
      <w:r>
        <w:rPr>
          <w:rFonts w:ascii="仿宋_GB2312" w:eastAsia="仿宋_GB2312"/>
          <w:b w:val="0"/>
          <w:sz w:val="32"/>
          <w:szCs w:val="32"/>
        </w:rPr>
        <w:t>万元,占0.00%，</w:t>
      </w:r>
      <w:r>
        <w:rPr>
          <w:rFonts w:hint="eastAsia" w:ascii="仿宋_GB2312" w:eastAsia="仿宋_GB2312"/>
          <w:b w:val="0"/>
          <w:sz w:val="32"/>
          <w:szCs w:val="32"/>
          <w:lang w:eastAsia="zh-CN"/>
        </w:rPr>
        <w:t>比</w:t>
      </w:r>
      <w:r>
        <w:rPr>
          <w:rFonts w:ascii="仿宋_GB2312" w:eastAsia="仿宋_GB2312"/>
          <w:b w:val="0"/>
          <w:sz w:val="32"/>
          <w:szCs w:val="32"/>
        </w:rPr>
        <w:t>上年</w:t>
      </w:r>
      <w:r>
        <w:rPr>
          <w:rFonts w:hint="eastAsia" w:ascii="仿宋_GB2312" w:eastAsia="仿宋_GB2312"/>
          <w:b w:val="0"/>
          <w:sz w:val="32"/>
          <w:szCs w:val="32"/>
          <w:lang w:eastAsia="zh-CN"/>
        </w:rPr>
        <w:t>增加</w:t>
      </w:r>
      <w:r>
        <w:rPr>
          <w:rFonts w:ascii="仿宋_GB2312" w:eastAsia="仿宋_GB2312"/>
          <w:b w:val="0"/>
          <w:sz w:val="32"/>
          <w:szCs w:val="32"/>
        </w:rPr>
        <w:t>0.00</w:t>
      </w:r>
      <w:r>
        <w:rPr>
          <w:rFonts w:hint="eastAsia" w:ascii="仿宋_GB2312" w:eastAsia="仿宋_GB2312"/>
          <w:b w:val="0"/>
          <w:sz w:val="32"/>
          <w:szCs w:val="32"/>
          <w:lang w:val="en-US" w:eastAsia="zh-CN"/>
        </w:rPr>
        <w:t>万元，增长</w:t>
      </w:r>
      <w:r>
        <w:rPr>
          <w:rFonts w:ascii="仿宋_GB2312" w:eastAsia="仿宋_GB2312"/>
          <w:b w:val="0"/>
          <w:sz w:val="32"/>
          <w:szCs w:val="32"/>
        </w:rPr>
        <w:t>0.00</w:t>
      </w:r>
      <w:r>
        <w:rPr>
          <w:rFonts w:hint="eastAsia" w:ascii="仿宋_GB2312" w:eastAsia="仿宋_GB2312"/>
          <w:b w:val="0"/>
          <w:sz w:val="32"/>
          <w:szCs w:val="32"/>
          <w:lang w:val="en-US" w:eastAsia="zh-CN"/>
        </w:rPr>
        <w:t>%</w:t>
      </w:r>
      <w:r>
        <w:rPr>
          <w:rFonts w:ascii="仿宋_GB2312" w:eastAsia="仿宋_GB2312"/>
          <w:b w:val="0"/>
          <w:sz w:val="32"/>
          <w:szCs w:val="32"/>
        </w:rPr>
        <w:t>，主要原因是：我单位无因公出国（境）费；公务用车购置及运行维护费支出4.30万元，占100.00%，</w:t>
      </w:r>
      <w:r>
        <w:rPr>
          <w:rFonts w:hint="eastAsia" w:ascii="仿宋_GB2312" w:eastAsia="仿宋_GB2312"/>
          <w:b w:val="0"/>
          <w:sz w:val="32"/>
          <w:szCs w:val="32"/>
          <w:lang w:eastAsia="zh-CN"/>
        </w:rPr>
        <w:t>比</w:t>
      </w:r>
      <w:r>
        <w:rPr>
          <w:rFonts w:ascii="仿宋_GB2312" w:eastAsia="仿宋_GB2312"/>
          <w:b w:val="0"/>
          <w:sz w:val="32"/>
          <w:szCs w:val="32"/>
        </w:rPr>
        <w:t>上年</w:t>
      </w:r>
      <w:r>
        <w:rPr>
          <w:rFonts w:hint="eastAsia" w:ascii="仿宋_GB2312" w:eastAsia="仿宋_GB2312"/>
          <w:b w:val="0"/>
          <w:sz w:val="32"/>
          <w:szCs w:val="32"/>
          <w:lang w:eastAsia="zh-CN"/>
        </w:rPr>
        <w:t>增加</w:t>
      </w:r>
      <w:r>
        <w:rPr>
          <w:rFonts w:ascii="仿宋_GB2312" w:eastAsia="仿宋_GB2312"/>
          <w:b w:val="0"/>
          <w:sz w:val="32"/>
          <w:szCs w:val="32"/>
        </w:rPr>
        <w:t>0.00</w:t>
      </w:r>
      <w:r>
        <w:rPr>
          <w:rFonts w:hint="eastAsia" w:ascii="仿宋_GB2312" w:eastAsia="仿宋_GB2312"/>
          <w:b w:val="0"/>
          <w:sz w:val="32"/>
          <w:szCs w:val="32"/>
          <w:lang w:val="en-US" w:eastAsia="zh-CN"/>
        </w:rPr>
        <w:t>万元，增长</w:t>
      </w:r>
      <w:r>
        <w:rPr>
          <w:rFonts w:ascii="仿宋_GB2312" w:eastAsia="仿宋_GB2312"/>
          <w:b w:val="0"/>
          <w:sz w:val="32"/>
          <w:szCs w:val="32"/>
        </w:rPr>
        <w:t>0.00</w:t>
      </w:r>
      <w:r>
        <w:rPr>
          <w:rFonts w:hint="eastAsia" w:ascii="仿宋_GB2312" w:eastAsia="仿宋_GB2312"/>
          <w:b w:val="0"/>
          <w:sz w:val="32"/>
          <w:szCs w:val="32"/>
          <w:lang w:val="en-US" w:eastAsia="zh-CN"/>
        </w:rPr>
        <w:t>%</w:t>
      </w:r>
      <w:r>
        <w:rPr>
          <w:rFonts w:ascii="仿宋_GB2312" w:eastAsia="仿宋_GB2312"/>
          <w:b w:val="0"/>
          <w:sz w:val="32"/>
          <w:szCs w:val="32"/>
        </w:rPr>
        <w:t>，主要原因是：</w:t>
      </w:r>
      <w:r>
        <w:rPr>
          <w:rFonts w:hint="eastAsia" w:ascii="仿宋_GB2312" w:eastAsia="仿宋_GB2312"/>
          <w:b w:val="0"/>
          <w:sz w:val="32"/>
          <w:szCs w:val="32"/>
          <w:lang w:eastAsia="zh-CN"/>
        </w:rPr>
        <w:t>我单位公务用车运行维护费与上年一致无变化</w:t>
      </w:r>
      <w:r>
        <w:rPr>
          <w:rFonts w:ascii="仿宋_GB2312" w:eastAsia="仿宋_GB2312"/>
          <w:b w:val="0"/>
          <w:sz w:val="32"/>
          <w:szCs w:val="32"/>
        </w:rPr>
        <w:t>；公务接待费支出0.00万元，占0.00%，</w:t>
      </w:r>
      <w:r>
        <w:rPr>
          <w:rFonts w:hint="eastAsia" w:ascii="仿宋_GB2312" w:eastAsia="仿宋_GB2312"/>
          <w:b w:val="0"/>
          <w:sz w:val="32"/>
          <w:szCs w:val="32"/>
          <w:lang w:eastAsia="zh-CN"/>
        </w:rPr>
        <w:t>比</w:t>
      </w:r>
      <w:r>
        <w:rPr>
          <w:rFonts w:ascii="仿宋_GB2312" w:eastAsia="仿宋_GB2312"/>
          <w:b w:val="0"/>
          <w:sz w:val="32"/>
          <w:szCs w:val="32"/>
        </w:rPr>
        <w:t>上年</w:t>
      </w:r>
      <w:r>
        <w:rPr>
          <w:rFonts w:hint="eastAsia" w:ascii="仿宋_GB2312" w:eastAsia="仿宋_GB2312"/>
          <w:b w:val="0"/>
          <w:sz w:val="32"/>
          <w:szCs w:val="32"/>
          <w:lang w:eastAsia="zh-CN"/>
        </w:rPr>
        <w:t>增加</w:t>
      </w:r>
      <w:r>
        <w:rPr>
          <w:rFonts w:ascii="仿宋_GB2312" w:eastAsia="仿宋_GB2312"/>
          <w:b w:val="0"/>
          <w:sz w:val="32"/>
          <w:szCs w:val="32"/>
        </w:rPr>
        <w:t>0.00</w:t>
      </w:r>
      <w:r>
        <w:rPr>
          <w:rFonts w:hint="eastAsia" w:ascii="仿宋_GB2312" w:eastAsia="仿宋_GB2312"/>
          <w:b w:val="0"/>
          <w:sz w:val="32"/>
          <w:szCs w:val="32"/>
          <w:lang w:val="en-US" w:eastAsia="zh-CN"/>
        </w:rPr>
        <w:t>万元，增长</w:t>
      </w:r>
      <w:r>
        <w:rPr>
          <w:rFonts w:ascii="仿宋_GB2312" w:eastAsia="仿宋_GB2312"/>
          <w:b w:val="0"/>
          <w:sz w:val="32"/>
          <w:szCs w:val="32"/>
        </w:rPr>
        <w:t>0.00</w:t>
      </w:r>
      <w:r>
        <w:rPr>
          <w:rFonts w:hint="eastAsia" w:ascii="仿宋_GB2312" w:eastAsia="仿宋_GB2312"/>
          <w:b w:val="0"/>
          <w:sz w:val="32"/>
          <w:szCs w:val="32"/>
          <w:lang w:val="en-US" w:eastAsia="zh-CN"/>
        </w:rPr>
        <w:t>%</w:t>
      </w:r>
      <w:r>
        <w:rPr>
          <w:rFonts w:ascii="仿宋_GB2312" w:eastAsia="仿宋_GB2312"/>
          <w:b w:val="0"/>
          <w:sz w:val="32"/>
          <w:szCs w:val="32"/>
        </w:rPr>
        <w:t>，主要原因是：我单位无公务接待费。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eastAsia="zh-CN"/>
        </w:rPr>
        <w:t>无因公出国（境）费</w:t>
      </w:r>
      <w:r>
        <w:rPr>
          <w:rFonts w:ascii="仿宋_GB2312" w:eastAsia="仿宋_GB2312"/>
          <w:b w:val="0"/>
          <w:sz w:val="32"/>
          <w:szCs w:val="32"/>
        </w:rPr>
        <w:t>。单位全年安排的因公出国（境）团组0个，因公出国（境）0人次。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4.30万元，其中：公务用车购置费0.00万元，公务用车运行维护费4.30万元。公务用车运行维护费开支内容包括单位按规定保留的公务用车燃料费、维修费、过路费、保险费等。公务用车购置数0辆，公务用车保有量2辆。国有资产占用情况中固定资产车辆2辆，与公务用车保有量差异原因是：固定资产车辆与公务用车保有量一致。</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eastAsia="zh-CN"/>
        </w:rPr>
        <w:t>无</w:t>
      </w:r>
      <w:r>
        <w:rPr>
          <w:rFonts w:ascii="仿宋_GB2312" w:eastAsia="仿宋_GB2312"/>
          <w:b w:val="0"/>
          <w:sz w:val="32"/>
          <w:szCs w:val="32"/>
        </w:rPr>
        <w:t>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与全年预算相比，财政拨款“三公”经费支出全年预算数4.30万元，决算数4.30万元，预决算差异率0.00%，主要原因是：</w:t>
      </w:r>
      <w:r>
        <w:rPr>
          <w:rFonts w:hint="eastAsia" w:ascii="仿宋_GB2312" w:eastAsia="仿宋_GB2312"/>
          <w:b w:val="0"/>
          <w:sz w:val="32"/>
          <w:szCs w:val="32"/>
          <w:lang w:eastAsia="zh-CN"/>
        </w:rPr>
        <w:t>严格按照预算执行，预决算无差异</w:t>
      </w:r>
      <w:r>
        <w:rPr>
          <w:rFonts w:ascii="仿宋_GB2312" w:eastAsia="仿宋_GB2312"/>
          <w:b w:val="0"/>
          <w:sz w:val="32"/>
          <w:szCs w:val="32"/>
        </w:rPr>
        <w:t>。其中：因公出国（境）费全年预算数0.00万元，决算数0.00万元，预决算差异率0.00%，主要原因是：我单位无因公出国（境）费</w:t>
      </w:r>
      <w:r>
        <w:rPr>
          <w:rFonts w:hint="eastAsia" w:ascii="仿宋_GB2312" w:eastAsia="仿宋_GB2312"/>
          <w:b w:val="0"/>
          <w:sz w:val="32"/>
          <w:szCs w:val="32"/>
          <w:lang w:eastAsia="zh-CN"/>
        </w:rPr>
        <w:t>；</w:t>
      </w:r>
      <w:r>
        <w:rPr>
          <w:rFonts w:ascii="仿宋_GB2312" w:eastAsia="仿宋_GB2312"/>
          <w:b w:val="0"/>
          <w:sz w:val="32"/>
          <w:szCs w:val="32"/>
        </w:rPr>
        <w:t>公务用车购置费全年预算数0.00万元，决算数0.00万元，预决算差异率0.00%，主要原因是：我单位无公务用车购置费</w:t>
      </w:r>
      <w:r>
        <w:rPr>
          <w:rFonts w:hint="eastAsia" w:ascii="仿宋_GB2312" w:eastAsia="仿宋_GB2312"/>
          <w:b w:val="0"/>
          <w:sz w:val="32"/>
          <w:szCs w:val="32"/>
          <w:lang w:eastAsia="zh-CN"/>
        </w:rPr>
        <w:t>；</w:t>
      </w:r>
      <w:r>
        <w:rPr>
          <w:rFonts w:ascii="仿宋_GB2312" w:eastAsia="仿宋_GB2312"/>
          <w:b w:val="0"/>
          <w:sz w:val="32"/>
          <w:szCs w:val="32"/>
        </w:rPr>
        <w:t>公务用车运行维护费全年预算数4.30万元，决算数4.30万元，预决算差异率0.00%，主要原因是：</w:t>
      </w:r>
      <w:r>
        <w:rPr>
          <w:rFonts w:hint="eastAsia" w:ascii="仿宋_GB2312" w:eastAsia="仿宋_GB2312"/>
          <w:b w:val="0"/>
          <w:sz w:val="32"/>
          <w:szCs w:val="32"/>
          <w:lang w:eastAsia="zh-CN"/>
        </w:rPr>
        <w:t>严格按照预算执行，预决算无差异；</w:t>
      </w:r>
      <w:r>
        <w:rPr>
          <w:rFonts w:ascii="仿宋_GB2312" w:eastAsia="仿宋_GB2312"/>
          <w:b w:val="0"/>
          <w:sz w:val="32"/>
          <w:szCs w:val="32"/>
        </w:rPr>
        <w:t>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rPr>
      </w:pPr>
      <w:r>
        <w:rPr>
          <w:rFonts w:ascii="仿宋_GB2312" w:eastAsia="仿宋_GB2312"/>
          <w:b/>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w:t>
      </w:r>
      <w:r>
        <w:rPr>
          <w:rFonts w:hint="eastAsia" w:ascii="仿宋_GB2312" w:eastAsia="仿宋_GB2312"/>
          <w:b w:val="0"/>
          <w:sz w:val="32"/>
          <w:szCs w:val="32"/>
          <w:lang w:eastAsia="zh-CN"/>
        </w:rPr>
        <w:t>新疆维吾尔自治区农药检定所单位（事业单位）</w:t>
      </w:r>
      <w:r>
        <w:rPr>
          <w:rFonts w:ascii="仿宋_GB2312" w:eastAsia="仿宋_GB2312"/>
          <w:b w:val="0"/>
          <w:sz w:val="32"/>
          <w:szCs w:val="32"/>
        </w:rPr>
        <w:t>公用经费支出24.34万元，比上年增加0.00万元，增长0.00%，主要原因是：本年无人员变化。</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rPr>
      </w:pPr>
      <w:r>
        <w:rPr>
          <w:rFonts w:ascii="仿宋_GB2312" w:eastAsia="仿宋_GB2312"/>
          <w:b/>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2024年度政府采购支出总额216.79万元，其中：政府采购货物支出138.51万元、政府采购工程支出10.40万元、政府采购服务支出67.88万元。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授予中小企业合同金额216.79万元，占政府采购支出总额的100.00%，其中：授予小微企业合同金额216.79万元，占政府采购支出总额的100.00%。</w:t>
      </w:r>
    </w:p>
    <w:p>
      <w:pPr>
        <w:widowControl/>
        <w:spacing w:before="0" w:beforeLines="0" w:beforeAutospacing="0" w:after="0" w:afterLines="0" w:afterAutospacing="0" w:line="240" w:lineRule="auto"/>
        <w:ind w:firstLine="642" w:firstLineChars="200"/>
        <w:jc w:val="left"/>
        <w:outlineLvl w:val="2"/>
        <w:rPr>
          <w:rFonts w:ascii="仿宋_GB2312" w:eastAsia="仿宋_GB2312"/>
          <w:sz w:val="32"/>
          <w:szCs w:val="32"/>
        </w:rPr>
      </w:pPr>
      <w:r>
        <w:rPr>
          <w:rFonts w:ascii="仿宋_GB2312" w:eastAsia="仿宋_GB2312"/>
          <w:b/>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2辆，价值43.85万元，其中：副部（省）级及以上领导用车0辆、主要负责人用车0辆、机要通信用车0辆、应急保障用车0辆、执法执勤用车0辆、特种专业技术用车1辆、离退休干部服务用车0辆、其他用车1辆，其他用车主要是：一般公务用车;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pStyle w:val="3"/>
        <w:keepNext w:val="0"/>
        <w:keepLines w:val="0"/>
        <w:pageBreakBefore w:val="0"/>
        <w:widowControl w:val="0"/>
        <w:kinsoku/>
        <w:wordWrap/>
        <w:overflowPunct/>
        <w:topLinePunct w:val="0"/>
        <w:autoSpaceDE/>
        <w:autoSpaceDN/>
        <w:bidi w:val="0"/>
        <w:spacing w:after="0" w:line="500" w:lineRule="exact"/>
        <w:ind w:firstLine="640" w:firstLineChars="200"/>
        <w:textAlignment w:val="auto"/>
        <w:rPr>
          <w:rFonts w:ascii="仿宋_GB2312" w:eastAsia="仿宋_GB2312"/>
          <w:sz w:val="32"/>
          <w:szCs w:val="32"/>
        </w:rPr>
      </w:pPr>
      <w:r>
        <w:rPr>
          <w:rFonts w:hint="eastAsia" w:ascii="Times New Roman" w:hAnsi="Times New Roman" w:eastAsia="仿宋_GB2312" w:cs="Times New Roman"/>
          <w:kern w:val="2"/>
          <w:sz w:val="32"/>
          <w:szCs w:val="32"/>
          <w:lang w:val="en-US" w:eastAsia="zh-CN" w:bidi="ar-SA"/>
        </w:rPr>
        <w:t>根据预算绩效管理要求，本单位2024年度预算绩效评价项目1个，全年预算数264万元，全年执行数264万元。预算绩效管理取得的成效：</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bCs/>
          <w:sz w:val="32"/>
          <w:szCs w:val="32"/>
        </w:rPr>
        <w:t>强化制度建设，保障依法行政。</w:t>
      </w:r>
      <w:r>
        <w:rPr>
          <w:rFonts w:hint="eastAsia" w:ascii="Times New Roman" w:hAnsi="Times New Roman" w:eastAsia="仿宋_GB2312" w:cs="Times New Roman"/>
          <w:sz w:val="32"/>
          <w:szCs w:val="32"/>
        </w:rPr>
        <w:t>不断</w:t>
      </w:r>
      <w:r>
        <w:rPr>
          <w:rFonts w:ascii="Times New Roman" w:hAnsi="Times New Roman" w:eastAsia="仿宋_GB2312" w:cs="Times New Roman"/>
          <w:sz w:val="32"/>
          <w:szCs w:val="32"/>
        </w:rPr>
        <w:t>健全完善农药行政管理制度，保障农药行政管理依法有序开展。结合新疆维吾尔自治区行政审批平台更新，对我区农药行政许可审批流程及事项进行重新审核，细化了农药广告审批表。</w:t>
      </w:r>
      <w:r>
        <w:rPr>
          <w:rFonts w:ascii="Times New Roman" w:hAnsi="Times New Roman" w:eastAsia="仿宋_GB2312" w:cs="Times New Roman"/>
          <w:sz w:val="32"/>
          <w:szCs w:val="32"/>
          <w:lang w:val="zh-CN"/>
        </w:rPr>
        <w:t>严格执行农药经营许可条件，从严控制新增农药经营门店，主动通知第一批办理农药生产经营许可的企业，及时办理许可延续。</w:t>
      </w:r>
      <w:r>
        <w:rPr>
          <w:rFonts w:ascii="Times New Roman" w:hAnsi="Times New Roman" w:eastAsia="仿宋_GB2312" w:cs="Times New Roman"/>
          <w:sz w:val="32"/>
          <w:szCs w:val="32"/>
        </w:rPr>
        <w:t>2024年</w:t>
      </w:r>
      <w:r>
        <w:rPr>
          <w:rFonts w:ascii="Times New Roman" w:hAnsi="Times New Roman" w:eastAsia="仿宋_GB2312" w:cs="Times New Roman"/>
          <w:sz w:val="32"/>
          <w:szCs w:val="32"/>
          <w:lang w:val="zh-CN"/>
        </w:rPr>
        <w:t>共办理农药登记初审产品2个，生产企业许可证延续2家，限制使用农药经营门店许可及延续1</w:t>
      </w:r>
      <w:r>
        <w:rPr>
          <w:rFonts w:ascii="Times New Roman" w:hAnsi="Times New Roman" w:eastAsia="仿宋_GB2312" w:cs="Times New Roman"/>
          <w:sz w:val="32"/>
          <w:szCs w:val="32"/>
        </w:rPr>
        <w:t>2</w:t>
      </w:r>
      <w:r>
        <w:rPr>
          <w:rFonts w:ascii="Times New Roman" w:hAnsi="Times New Roman" w:eastAsia="仿宋_GB2312" w:cs="Times New Roman"/>
          <w:sz w:val="32"/>
          <w:szCs w:val="32"/>
          <w:lang w:val="zh-CN"/>
        </w:rPr>
        <w:t>家（分支机构审查</w:t>
      </w:r>
      <w:r>
        <w:rPr>
          <w:rFonts w:ascii="Times New Roman" w:hAnsi="Times New Roman" w:eastAsia="仿宋_GB2312" w:cs="Times New Roman"/>
          <w:sz w:val="32"/>
          <w:szCs w:val="32"/>
        </w:rPr>
        <w:t>50家</w:t>
      </w:r>
      <w:r>
        <w:rPr>
          <w:rFonts w:hint="eastAsia" w:ascii="Times New Roman" w:hAnsi="Times New Roman" w:eastAsia="仿宋_GB2312" w:cs="Times New Roman"/>
          <w:sz w:val="32"/>
          <w:szCs w:val="32"/>
          <w:lang w:val="zh-CN"/>
        </w:rPr>
        <w:t>）</w:t>
      </w:r>
      <w:r>
        <w:rPr>
          <w:rFonts w:ascii="Times New Roman" w:hAnsi="Times New Roman" w:eastAsia="仿宋_GB2312" w:cs="Times New Roman"/>
          <w:sz w:val="32"/>
          <w:szCs w:val="32"/>
          <w:lang w:val="zh-CN"/>
        </w:rPr>
        <w:t>。</w:t>
      </w:r>
      <w:r>
        <w:rPr>
          <w:rFonts w:hint="eastAsia" w:ascii="仿宋_GB2312" w:hAnsi="仿宋_GB2312" w:eastAsia="仿宋_GB2312" w:cs="仿宋_GB2312"/>
          <w:b/>
          <w:bCs/>
          <w:sz w:val="32"/>
          <w:szCs w:val="32"/>
          <w:lang w:val="zh-CN" w:eastAsia="zh-CN"/>
        </w:rPr>
        <w:t>二是</w:t>
      </w:r>
      <w:r>
        <w:rPr>
          <w:rFonts w:hint="eastAsia" w:ascii="仿宋_GB2312" w:hAnsi="仿宋_GB2312" w:eastAsia="仿宋_GB2312" w:cs="仿宋_GB2312"/>
          <w:b/>
          <w:bCs/>
          <w:sz w:val="32"/>
          <w:szCs w:val="32"/>
          <w:lang w:val="en-US" w:eastAsia="zh-CN"/>
        </w:rPr>
        <w:t>加强</w:t>
      </w:r>
      <w:r>
        <w:rPr>
          <w:rFonts w:hint="eastAsia" w:ascii="仿宋_GB2312" w:hAnsi="仿宋_GB2312" w:eastAsia="仿宋_GB2312" w:cs="仿宋_GB2312"/>
          <w:b/>
          <w:bCs/>
          <w:sz w:val="32"/>
          <w:szCs w:val="32"/>
          <w:lang w:eastAsia="zh-CN"/>
        </w:rPr>
        <w:t>市场</w:t>
      </w:r>
      <w:r>
        <w:rPr>
          <w:rFonts w:hint="eastAsia" w:ascii="仿宋_GB2312" w:hAnsi="仿宋_GB2312" w:eastAsia="仿宋_GB2312" w:cs="仿宋_GB2312"/>
          <w:b/>
          <w:bCs/>
          <w:sz w:val="32"/>
          <w:szCs w:val="32"/>
        </w:rPr>
        <w:t>管理，</w:t>
      </w:r>
      <w:r>
        <w:rPr>
          <w:rFonts w:hint="eastAsia" w:ascii="仿宋_GB2312" w:hAnsi="仿宋_GB2312" w:eastAsia="仿宋_GB2312" w:cs="仿宋_GB2312"/>
          <w:b/>
          <w:bCs/>
          <w:sz w:val="32"/>
          <w:szCs w:val="32"/>
          <w:lang w:eastAsia="zh-CN"/>
        </w:rPr>
        <w:t>确保规范运行</w:t>
      </w:r>
      <w:r>
        <w:rPr>
          <w:rFonts w:hint="eastAsia" w:ascii="仿宋_GB2312" w:hAnsi="仿宋_GB2312" w:eastAsia="仿宋_GB2312" w:cs="仿宋_GB2312"/>
          <w:b/>
          <w:bCs/>
          <w:sz w:val="32"/>
          <w:szCs w:val="32"/>
        </w:rPr>
        <w:t>。</w:t>
      </w:r>
      <w:r>
        <w:rPr>
          <w:rFonts w:ascii="Times New Roman" w:hAnsi="Times New Roman" w:eastAsia="仿宋_GB2312" w:cs="Times New Roman"/>
          <w:sz w:val="32"/>
          <w:szCs w:val="32"/>
        </w:rPr>
        <w:t>根据农业农村部“县级全覆盖、省级不低于10%”的监督检查要求，印发各类文件，明确监督检查重点，切实提升全区农药监督力度。2024年</w:t>
      </w:r>
      <w:r>
        <w:rPr>
          <w:rFonts w:hint="eastAsia" w:ascii="Times New Roman" w:hAnsi="Times New Roman" w:eastAsia="仿宋_GB2312" w:cs="Times New Roman"/>
          <w:sz w:val="32"/>
          <w:szCs w:val="32"/>
        </w:rPr>
        <w:t>我</w:t>
      </w:r>
      <w:r>
        <w:rPr>
          <w:rFonts w:ascii="Times New Roman" w:hAnsi="Times New Roman" w:eastAsia="仿宋_GB2312" w:cs="Times New Roman"/>
          <w:sz w:val="32"/>
          <w:szCs w:val="32"/>
        </w:rPr>
        <w:t>厅先后</w:t>
      </w:r>
      <w:r>
        <w:rPr>
          <w:rFonts w:ascii="Times New Roman" w:hAnsi="Times New Roman" w:eastAsia="仿宋_GB2312" w:cs="Times New Roman"/>
          <w:spacing w:val="8"/>
          <w:sz w:val="32"/>
          <w:szCs w:val="32"/>
        </w:rPr>
        <w:t>赴14个地州500余家农资经营门店和5家农药生产企业进行检查，处理违规案件7起。</w:t>
      </w:r>
      <w:r>
        <w:rPr>
          <w:rFonts w:hint="eastAsia" w:ascii="Times New Roman" w:hAnsi="Times New Roman" w:eastAsia="仿宋_GB2312" w:cs="Times New Roman"/>
          <w:b w:val="0"/>
          <w:bCs w:val="0"/>
          <w:sz w:val="32"/>
          <w:szCs w:val="32"/>
          <w:lang w:val="en-US" w:eastAsia="zh-CN"/>
        </w:rPr>
        <w:t>同时</w:t>
      </w:r>
      <w:r>
        <w:rPr>
          <w:rFonts w:ascii="Times New Roman" w:hAnsi="Times New Roman" w:eastAsia="仿宋_GB2312" w:cs="Times New Roman"/>
          <w:b w:val="0"/>
          <w:bCs w:val="0"/>
          <w:sz w:val="32"/>
          <w:szCs w:val="32"/>
        </w:rPr>
        <w:t>加强对登记试验单位监管</w:t>
      </w:r>
      <w:r>
        <w:rPr>
          <w:rFonts w:hint="eastAsia" w:ascii="Times New Roman" w:hAnsi="Times New Roman" w:eastAsia="仿宋_GB2312" w:cs="Times New Roman"/>
          <w:b w:val="0"/>
          <w:bCs w:val="0"/>
          <w:sz w:val="32"/>
          <w:szCs w:val="32"/>
          <w:lang w:eastAsia="zh-CN"/>
        </w:rPr>
        <w:t>，</w:t>
      </w:r>
      <w:r>
        <w:rPr>
          <w:rFonts w:ascii="Times New Roman" w:hAnsi="Times New Roman" w:eastAsia="仿宋_GB2312" w:cs="Times New Roman"/>
          <w:sz w:val="32"/>
          <w:szCs w:val="32"/>
        </w:rPr>
        <w:t>根据农业农村部对药效试验单位监管要求，组织专业技术人员对我区农药登记试验单位的工作开展跟踪监测、指导服务和监督检查。</w:t>
      </w:r>
      <w:r>
        <w:rPr>
          <w:rFonts w:hint="eastAsia" w:ascii="仿宋_GB2312" w:hAnsi="仿宋_GB2312" w:eastAsia="仿宋_GB2312" w:cs="仿宋_GB2312"/>
          <w:b/>
          <w:bCs/>
          <w:sz w:val="32"/>
          <w:szCs w:val="32"/>
          <w:lang w:val="zh-CN" w:eastAsia="zh-CN"/>
        </w:rPr>
        <w:t>三是加</w:t>
      </w:r>
      <w:r>
        <w:rPr>
          <w:rFonts w:hint="eastAsia" w:ascii="仿宋_GB2312" w:hAnsi="仿宋_GB2312" w:eastAsia="仿宋_GB2312" w:cs="仿宋_GB2312"/>
          <w:b/>
          <w:bCs/>
          <w:sz w:val="32"/>
          <w:szCs w:val="32"/>
        </w:rPr>
        <w:t>强农药产品质量监督抽查，</w:t>
      </w:r>
      <w:r>
        <w:rPr>
          <w:rFonts w:hint="eastAsia" w:ascii="仿宋_GB2312" w:hAnsi="仿宋_GB2312" w:eastAsia="仿宋_GB2312" w:cs="仿宋_GB2312"/>
          <w:b/>
          <w:bCs/>
          <w:sz w:val="32"/>
          <w:szCs w:val="32"/>
          <w:lang w:eastAsia="zh-CN"/>
        </w:rPr>
        <w:t>保障质量安全</w:t>
      </w:r>
      <w:r>
        <w:rPr>
          <w:rFonts w:hint="eastAsia" w:ascii="仿宋_GB2312" w:hAnsi="仿宋_GB2312" w:eastAsia="仿宋_GB2312" w:cs="仿宋_GB2312"/>
          <w:b/>
          <w:bCs/>
          <w:sz w:val="32"/>
          <w:szCs w:val="32"/>
        </w:rPr>
        <w:t>。</w:t>
      </w:r>
      <w:r>
        <w:rPr>
          <w:rFonts w:hint="default" w:ascii="Times New Roman" w:hAnsi="Times New Roman" w:eastAsia="仿宋_GB2312" w:cs="Times New Roman"/>
          <w:sz w:val="32"/>
          <w:szCs w:val="32"/>
          <w:lang w:val="en-US" w:eastAsia="zh-CN"/>
        </w:rPr>
        <w:t>下发</w:t>
      </w:r>
      <w:r>
        <w:rPr>
          <w:rFonts w:hint="default" w:ascii="Times New Roman" w:hAnsi="Times New Roman" w:eastAsia="仿宋_GB2312" w:cs="Times New Roman"/>
          <w:color w:val="auto"/>
          <w:sz w:val="32"/>
          <w:szCs w:val="32"/>
          <w:lang w:eastAsia="zh-CN"/>
        </w:rPr>
        <w:t>《关于落实2024年农业农村部农药监督抽查工作的通知》《关于开展2024年度自治区农药监督抽查工作的通知 》</w:t>
      </w:r>
      <w:r>
        <w:rPr>
          <w:rFonts w:hint="default" w:ascii="Times New Roman" w:hAnsi="Times New Roman" w:eastAsia="仿宋_GB2312" w:cs="Times New Roman"/>
          <w:sz w:val="32"/>
          <w:szCs w:val="32"/>
          <w:lang w:val="en-US" w:eastAsia="zh-CN"/>
        </w:rPr>
        <w:t>在全区范围内开展</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20批次农药产品监督抽查任务，</w:t>
      </w:r>
      <w:r>
        <w:rPr>
          <w:rFonts w:hint="eastAsia" w:ascii="Times New Roman" w:hAnsi="Times New Roman" w:eastAsia="仿宋_GB2312" w:cs="Times New Roman"/>
          <w:sz w:val="32"/>
          <w:szCs w:val="32"/>
          <w:lang w:val="en-US" w:eastAsia="zh-CN"/>
        </w:rPr>
        <w:t>其中完成自治区级</w:t>
      </w:r>
      <w:r>
        <w:rPr>
          <w:rFonts w:hint="default" w:ascii="Times New Roman" w:hAnsi="Times New Roman" w:eastAsia="仿宋_GB2312" w:cs="Times New Roman"/>
          <w:sz w:val="32"/>
          <w:szCs w:val="32"/>
          <w:lang w:val="en-US" w:eastAsia="zh-CN"/>
        </w:rPr>
        <w:t>400批次质量检测，合格率达98.3%</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落实农业农村部100批次监督抽查任务，质量合格率99%。要求各地对2023年及2024年发现的15个不合格产品进行检查，做到发现一个，下架一个，查处一个。</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b/>
          <w:bCs/>
          <w:sz w:val="32"/>
          <w:szCs w:val="32"/>
          <w:lang w:eastAsia="zh-CN"/>
        </w:rPr>
        <w:t>化行业指导，推进产业发展。</w:t>
      </w:r>
      <w:r>
        <w:rPr>
          <w:rStyle w:val="6"/>
          <w:rFonts w:ascii="Times New Roman" w:hAnsi="Times New Roman" w:eastAsia="仿宋_GB2312"/>
          <w:spacing w:val="8"/>
          <w:sz w:val="32"/>
          <w:szCs w:val="32"/>
        </w:rPr>
        <w:t>2024年调整农药使用安全风险监测项目承担单位，进一步提升新疆农药使用安全风险监测项目质量。在全疆9个地州17个县市建立监测点开展风险监测工作，累计收集农药使用安全风险信息49条。同时印发《关于做好2024年农药使用安全性风险监测工作的通知》，在全区收集监测情况报告33份，</w:t>
      </w:r>
      <w:r>
        <w:rPr>
          <w:rFonts w:ascii="Times New Roman" w:hAnsi="Times New Roman" w:eastAsia="仿宋_GB2312"/>
          <w:sz w:val="32"/>
          <w:szCs w:val="32"/>
        </w:rPr>
        <w:t>开展农药安全使用宣传活动1000余场次，培训农民1.5万余人次，印发宣传材料1.1万余份，全年无重大农药使用安全风险事故发生</w:t>
      </w:r>
      <w:r>
        <w:rPr>
          <w:rFonts w:hint="eastAsia" w:ascii="Times New Roman" w:hAnsi="Times New Roman" w:eastAsia="仿宋_GB2312"/>
          <w:sz w:val="32"/>
          <w:szCs w:val="32"/>
          <w:lang w:eastAsia="zh-CN"/>
        </w:rPr>
        <w:t>；</w:t>
      </w:r>
      <w:r>
        <w:rPr>
          <w:rStyle w:val="6"/>
          <w:rFonts w:ascii="Times New Roman" w:hAnsi="Times New Roman" w:eastAsia="仿宋_GB2312"/>
          <w:spacing w:val="8"/>
          <w:sz w:val="32"/>
          <w:szCs w:val="32"/>
          <w:lang w:val="zh-CN"/>
        </w:rPr>
        <w:t>加强宣传力度，发放《禁限用农药名录》《科学使用生物农药》《农药相关产业政策》等宣传册、手册、书籍共2万份</w:t>
      </w:r>
      <w:r>
        <w:rPr>
          <w:rStyle w:val="6"/>
          <w:rFonts w:hint="eastAsia" w:ascii="Times New Roman" w:hAnsi="Times New Roman" w:eastAsia="仿宋_GB2312"/>
          <w:spacing w:val="8"/>
          <w:sz w:val="32"/>
          <w:szCs w:val="32"/>
          <w:lang w:val="zh-CN"/>
        </w:rPr>
        <w:t>。</w:t>
      </w:r>
      <w:r>
        <w:rPr>
          <w:rFonts w:hint="eastAsia" w:ascii="仿宋_GB2312" w:hAnsi="仿宋_GB2312" w:eastAsia="仿宋_GB2312" w:cs="仿宋_GB2312"/>
          <w:b/>
          <w:bCs/>
          <w:sz w:val="32"/>
          <w:szCs w:val="32"/>
          <w:lang w:val="zh-CN" w:eastAsia="zh-CN"/>
        </w:rPr>
        <w:t>五是</w:t>
      </w:r>
      <w:r>
        <w:rPr>
          <w:rFonts w:hint="eastAsia" w:ascii="仿宋_GB2312" w:hAnsi="仿宋_GB2312" w:eastAsia="仿宋_GB2312" w:cs="仿宋_GB2312"/>
          <w:b/>
          <w:bCs/>
          <w:sz w:val="32"/>
          <w:szCs w:val="32"/>
          <w:lang w:val="en-US" w:eastAsia="zh-CN"/>
        </w:rPr>
        <w:t>保</w:t>
      </w:r>
      <w:r>
        <w:rPr>
          <w:rFonts w:hint="eastAsia" w:ascii="仿宋_GB2312" w:hAnsi="仿宋_GB2312" w:eastAsia="仿宋_GB2312" w:cs="仿宋_GB2312"/>
          <w:b/>
          <w:bCs/>
          <w:kern w:val="2"/>
          <w:sz w:val="32"/>
          <w:szCs w:val="32"/>
          <w:lang w:val="en-US" w:eastAsia="zh-CN" w:bidi="ar-SA"/>
        </w:rPr>
        <w:t>障百姓餐桌安全。</w:t>
      </w:r>
      <w:r>
        <w:rPr>
          <w:rFonts w:hint="default" w:ascii="Times New Roman" w:hAnsi="Times New Roman" w:eastAsia="仿宋_GB2312" w:cs="Times New Roman"/>
          <w:kern w:val="2"/>
          <w:sz w:val="32"/>
          <w:szCs w:val="32"/>
          <w:lang w:val="en-US" w:eastAsia="zh-CN" w:bidi="ar-SA"/>
        </w:rPr>
        <w:t>根据《自治区2024年度农产品质量安全检验检测工作方案》，分别对乌鲁木齐市、阿勒泰地区11个县（市）的农产品开展监督抽查和例行监测，对吐鲁番市、哈密市6个县市开展重点区域监督检查，对巴州5个县市开展“药食同源”农产品质量专项监测，共计抽检农产品3300批次，并按时完成全区畜禽产品质量汇总和分析报告。</w:t>
      </w:r>
      <w:r>
        <w:rPr>
          <w:rFonts w:hint="eastAsia" w:ascii="仿宋_GB2312" w:hAnsi="仿宋_GB2312" w:eastAsia="仿宋_GB2312" w:cs="仿宋_GB2312"/>
          <w:b/>
          <w:bCs/>
          <w:sz w:val="32"/>
          <w:szCs w:val="32"/>
          <w:lang w:val="en-US" w:eastAsia="zh-CN"/>
        </w:rPr>
        <w:t>六是提</w:t>
      </w:r>
      <w:r>
        <w:rPr>
          <w:rFonts w:hint="eastAsia" w:ascii="仿宋_GB2312" w:hAnsi="仿宋_GB2312" w:eastAsia="仿宋_GB2312" w:cs="仿宋_GB2312"/>
          <w:b/>
          <w:bCs/>
          <w:kern w:val="2"/>
          <w:sz w:val="32"/>
          <w:szCs w:val="32"/>
          <w:lang w:val="en-US" w:eastAsia="zh-CN" w:bidi="ar-SA"/>
        </w:rPr>
        <w:t>升质量检测服务支撑能力。</w:t>
      </w:r>
      <w:r>
        <w:rPr>
          <w:rFonts w:hint="default" w:ascii="Times New Roman" w:hAnsi="Times New Roman" w:eastAsia="仿宋_GB2312" w:cs="Times New Roman"/>
          <w:kern w:val="0"/>
          <w:sz w:val="32"/>
          <w:szCs w:val="32"/>
          <w:lang w:val="en-US" w:eastAsia="zh-CN" w:bidi="ar"/>
        </w:rPr>
        <w:t>5月顺利通过实验室“双认证”评审和扩项工作，检验检测能力达530项（个），其中，农药残留检测参数154项，兽残监测参数86项，重金属参数5项，农药产品146个，农药参数137项，其他2项。</w:t>
      </w:r>
      <w:r>
        <w:rPr>
          <w:rFonts w:hint="eastAsia" w:ascii="仿宋_GB2312" w:hAnsi="仿宋_GB2312" w:eastAsia="仿宋_GB2312" w:cs="仿宋_GB2312"/>
          <w:kern w:val="0"/>
          <w:sz w:val="32"/>
          <w:szCs w:val="32"/>
          <w:lang w:val="en-US" w:eastAsia="zh-CN" w:bidi="ar"/>
        </w:rPr>
        <w:t>积极参加并顺利通过厅农产品质量安全监管处组织的2024年自治区农产品质量安全检测技术能力验证和自治区市场监督管理局组织的检验检测机构能力飞行检查等机构能力考核。</w:t>
      </w:r>
      <w:r>
        <w:rPr>
          <w:rFonts w:hint="eastAsia" w:ascii="仿宋_GB2312" w:hAnsi="仿宋_GB2312" w:eastAsia="仿宋_GB2312" w:cs="仿宋_GB2312"/>
          <w:b/>
          <w:bCs/>
          <w:sz w:val="32"/>
          <w:szCs w:val="32"/>
          <w:lang w:val="en-US" w:eastAsia="zh-CN"/>
        </w:rPr>
        <w:t>七是提</w:t>
      </w:r>
      <w:r>
        <w:rPr>
          <w:rFonts w:hint="eastAsia" w:ascii="仿宋_GB2312" w:hAnsi="仿宋_GB2312" w:eastAsia="仿宋_GB2312" w:cs="仿宋_GB2312"/>
          <w:b/>
          <w:bCs/>
          <w:kern w:val="2"/>
          <w:sz w:val="32"/>
          <w:szCs w:val="32"/>
          <w:lang w:val="en-US" w:eastAsia="zh-CN" w:bidi="ar-SA"/>
        </w:rPr>
        <w:t>升质量检测服务支撑能力。</w:t>
      </w:r>
      <w:r>
        <w:rPr>
          <w:rFonts w:hint="default" w:ascii="Times New Roman" w:hAnsi="Times New Roman" w:eastAsia="仿宋_GB2312" w:cs="Times New Roman"/>
          <w:kern w:val="0"/>
          <w:sz w:val="32"/>
          <w:szCs w:val="32"/>
          <w:lang w:val="en-US" w:eastAsia="zh-CN" w:bidi="ar"/>
        </w:rPr>
        <w:t>5月顺利通过实验室“双认证”评审和扩项工作，检验检测能力达530项（个），其中，农药残留检测参数154项，兽残监测参数86项，重金属参数5项，农药产品146个，农药参数137项，其他2项。</w:t>
      </w:r>
      <w:r>
        <w:rPr>
          <w:rFonts w:hint="eastAsia" w:ascii="仿宋_GB2312" w:hAnsi="仿宋_GB2312" w:eastAsia="仿宋_GB2312" w:cs="仿宋_GB2312"/>
          <w:kern w:val="0"/>
          <w:sz w:val="32"/>
          <w:szCs w:val="32"/>
          <w:lang w:val="en-US" w:eastAsia="zh-CN" w:bidi="ar"/>
        </w:rPr>
        <w:t>积极参加并顺利通过厅农产品质量安全监管处组织的2024年自治区农产品质量安全检测技术能力验证和自治区市场监督管理局组织的检验检测机构能力飞行检查等机构能力考核。</w:t>
      </w:r>
      <w:r>
        <w:rPr>
          <w:rFonts w:hint="eastAsia" w:ascii="仿宋_GB2312" w:hAnsi="仿宋_GB2312" w:eastAsia="仿宋_GB2312" w:cs="仿宋_GB2312"/>
          <w:b/>
          <w:bCs/>
          <w:kern w:val="0"/>
          <w:sz w:val="32"/>
          <w:szCs w:val="32"/>
          <w:lang w:val="en-US" w:eastAsia="zh-CN" w:bidi="ar"/>
        </w:rPr>
        <w:t>八</w:t>
      </w:r>
      <w:r>
        <w:rPr>
          <w:rFonts w:hint="eastAsia" w:ascii="Times New Roman" w:hAnsi="Times New Roman" w:eastAsia="仿宋_GB2312" w:cs="Times New Roman"/>
          <w:b/>
          <w:bCs/>
          <w:kern w:val="0"/>
          <w:sz w:val="32"/>
          <w:szCs w:val="32"/>
          <w:lang w:val="en-US" w:eastAsia="zh-CN" w:bidi="ar"/>
        </w:rPr>
        <w:t>是</w:t>
      </w:r>
      <w:r>
        <w:rPr>
          <w:rFonts w:hint="eastAsia" w:ascii="仿宋_GB2312" w:eastAsia="仿宋_GB2312"/>
          <w:b/>
          <w:bCs/>
          <w:sz w:val="32"/>
          <w:szCs w:val="32"/>
          <w:lang w:val="en-US" w:eastAsia="zh-CN"/>
        </w:rPr>
        <w:t>举办全区农产品质量检验检测技术培训班。</w:t>
      </w:r>
      <w:r>
        <w:rPr>
          <w:rFonts w:hint="eastAsia" w:ascii="仿宋_GB2312" w:hAnsi="Verdana" w:eastAsia="仿宋_GB2312" w:cs="Times New Roman"/>
          <w:color w:val="000000"/>
          <w:kern w:val="2"/>
          <w:sz w:val="32"/>
          <w:szCs w:val="32"/>
          <w:lang w:val="en-US" w:eastAsia="zh-CN"/>
        </w:rPr>
        <w:t>为</w:t>
      </w:r>
      <w:r>
        <w:rPr>
          <w:rFonts w:hint="eastAsia" w:ascii="仿宋_GB2312" w:hAnsi="Verdana" w:eastAsia="仿宋_GB2312" w:cs="Times New Roman"/>
          <w:color w:val="000000"/>
          <w:kern w:val="2"/>
          <w:sz w:val="32"/>
          <w:szCs w:val="32"/>
          <w:lang w:eastAsia="zh-CN"/>
        </w:rPr>
        <w:t>贯彻落实中央</w:t>
      </w:r>
      <w:r>
        <w:rPr>
          <w:rFonts w:hint="eastAsia" w:ascii="仿宋_GB2312" w:hAnsi="Verdana" w:eastAsia="仿宋_GB2312" w:cs="Times New Roman"/>
          <w:color w:val="000000"/>
          <w:kern w:val="2"/>
          <w:sz w:val="32"/>
          <w:szCs w:val="32"/>
          <w:lang w:val="en-US" w:eastAsia="zh-CN"/>
        </w:rPr>
        <w:t>1号文件、自治区农村工作会议精神，</w:t>
      </w:r>
      <w:r>
        <w:rPr>
          <w:rFonts w:hint="eastAsia" w:ascii="仿宋_GB2312" w:hAnsi="Verdana" w:eastAsia="仿宋_GB2312" w:cs="Times New Roman"/>
          <w:color w:val="000000"/>
          <w:kern w:val="2"/>
          <w:sz w:val="32"/>
          <w:szCs w:val="32"/>
        </w:rPr>
        <w:t>加强食用农产品产地质量安全控制和产品检测</w:t>
      </w:r>
      <w:r>
        <w:rPr>
          <w:rFonts w:hint="eastAsia" w:ascii="仿宋_GB2312" w:hAnsi="Verdana" w:eastAsia="仿宋_GB2312" w:cs="Times New Roman"/>
          <w:color w:val="000000"/>
          <w:kern w:val="2"/>
          <w:sz w:val="32"/>
          <w:szCs w:val="32"/>
          <w:lang w:eastAsia="zh-CN"/>
        </w:rPr>
        <w:t>工作要求，</w:t>
      </w:r>
      <w:r>
        <w:rPr>
          <w:rFonts w:hint="eastAsia" w:ascii="仿宋_GB2312" w:hAnsi="Verdana" w:eastAsia="仿宋_GB2312" w:cs="Times New Roman"/>
          <w:color w:val="000000"/>
          <w:kern w:val="2"/>
          <w:sz w:val="32"/>
          <w:szCs w:val="32"/>
          <w:lang w:val="en-US" w:eastAsia="zh-CN"/>
        </w:rPr>
        <w:t>在乌鲁木齐市</w:t>
      </w:r>
      <w:r>
        <w:rPr>
          <w:rFonts w:hint="eastAsia" w:ascii="仿宋_GB2312" w:hAnsi="Verdana" w:eastAsia="仿宋_GB2312" w:cs="Times New Roman"/>
          <w:color w:val="000000"/>
          <w:kern w:val="2"/>
          <w:sz w:val="32"/>
          <w:szCs w:val="32"/>
          <w:lang w:eastAsia="zh-CN"/>
        </w:rPr>
        <w:t>举办全区农产品质量检验检测技术培训班，就实验室体系运行、仪器设备操作及农产品质量安全相关法律法规等内容开展培训，参训人员</w:t>
      </w:r>
      <w:r>
        <w:rPr>
          <w:rFonts w:hint="eastAsia" w:ascii="仿宋_GB2312" w:hAnsi="Verdana" w:eastAsia="仿宋_GB2312" w:cs="Times New Roman"/>
          <w:color w:val="000000"/>
          <w:kern w:val="2"/>
          <w:sz w:val="32"/>
          <w:szCs w:val="32"/>
          <w:lang w:val="en-US" w:eastAsia="zh-CN"/>
        </w:rPr>
        <w:t>49人。</w:t>
      </w:r>
      <w:r>
        <w:rPr>
          <w:rFonts w:hint="eastAsia" w:ascii="仿宋_GB2312" w:hAnsi="仿宋_GB2312" w:eastAsia="仿宋_GB2312" w:cs="仿宋_GB2312"/>
          <w:b/>
          <w:bCs/>
          <w:sz w:val="32"/>
          <w:szCs w:val="32"/>
          <w:lang w:val="en-US" w:eastAsia="zh-CN"/>
        </w:rPr>
        <w:t>九是</w:t>
      </w:r>
      <w:r>
        <w:rPr>
          <w:rFonts w:hint="eastAsia" w:ascii="仿宋" w:hAnsi="仿宋" w:eastAsia="仿宋" w:cs="仿宋"/>
          <w:b/>
          <w:bCs/>
          <w:sz w:val="32"/>
          <w:szCs w:val="32"/>
          <w:lang w:val="en-US" w:eastAsia="zh-CN"/>
        </w:rPr>
        <w:t>做好基层检测技术服务工作。</w:t>
      </w:r>
      <w:r>
        <w:rPr>
          <w:rFonts w:hint="default" w:ascii="Times New Roman" w:hAnsi="Times New Roman" w:eastAsia="仿宋_GB2312" w:cs="Times New Roman"/>
          <w:kern w:val="0"/>
          <w:sz w:val="32"/>
          <w:szCs w:val="32"/>
          <w:lang w:val="en-US" w:eastAsia="zh-CN" w:bidi="ar"/>
        </w:rPr>
        <w:t>先后派出技术干部20余人次赴南北疆16个县市开展实验室运行和检验检测技术培训工作，指导基层</w:t>
      </w:r>
      <w:r>
        <w:rPr>
          <w:rFonts w:hint="default" w:ascii="Times New Roman" w:hAnsi="Times New Roman" w:eastAsia="仿宋_GB2312" w:cs="Times New Roman"/>
          <w:color w:val="auto"/>
          <w:kern w:val="2"/>
          <w:sz w:val="32"/>
          <w:szCs w:val="32"/>
          <w:lang w:val="en-US" w:eastAsia="zh-CN" w:bidi="ar"/>
        </w:rPr>
        <w:t>结合当地农产品质量安全监管和优势特色产业发展的需要，增加特色产品质量安全检测。配合厅农产品质量安全监管处完成新和县等6个县市农检中心实验室评审工作，承担第五届新疆维吾尔自治区农产品质量安全检测人员技能竞赛畜禽产品组考核项目，选拔一批优秀检测人员，为新疆农业农村高质量发展做好服务</w:t>
      </w:r>
      <w:r>
        <w:rPr>
          <w:rFonts w:ascii="仿宋_GB2312" w:eastAsia="仿宋_GB2312"/>
          <w:b w:val="0"/>
          <w:sz w:val="32"/>
          <w:szCs w:val="32"/>
        </w:rPr>
        <w:t>；发现的问题及原因：一是绩效理念尚未牢固树立。项目具体实施人员对绩效管理工作的认识有待进一步提高，认为绩效评价工作是财务人员的事，因专业性不强导致绩效工作质量不高，重投入轻管理、重支出轻绩效的意识仍然存在；二是预算管理水平有待加强。在全面实施预算绩效管理工作过程中，因对全面实施预算绩效管理认识、理解不到位，在制定预算指标设置与实施过程中存在偏差，导致资金使用进度和工作时效不对应，影响单位资金支出进度；下一步改进措施：一是树立全员绩效管理意识，健全绩效管理制度。牢固树立全员绩效管理意识，压实责任，落实到人，建立健全与本单位配套的绩效评价流程制度，提升单位预算绩效管理；二是牢固树立绩效管理理念，加强培训力度，提升单位项目实施管理人员的绩效业务水平，合理规划预算绩效管理指标，以完善工作措施为着力点，不断提高预算绩效管理水平。具体项目</w:t>
      </w:r>
      <w:r>
        <w:rPr>
          <w:rFonts w:hint="eastAsia" w:ascii="仿宋_GB2312" w:eastAsia="仿宋_GB2312"/>
          <w:b w:val="0"/>
          <w:sz w:val="32"/>
          <w:szCs w:val="32"/>
          <w:lang w:eastAsia="zh-CN"/>
        </w:rPr>
        <w:t>自评情况附</w:t>
      </w:r>
      <w:r>
        <w:rPr>
          <w:rFonts w:ascii="仿宋_GB2312" w:eastAsia="仿宋_GB2312"/>
          <w:b w:val="0"/>
          <w:sz w:val="32"/>
          <w:szCs w:val="32"/>
        </w:rPr>
        <w:t>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w:t>
      </w:r>
      <w:bookmarkStart w:id="2" w:name="_GoBack"/>
      <w:bookmarkEnd w:id="2"/>
      <w:r>
        <w:rPr>
          <w:rFonts w:ascii="仿宋_GB2312" w:eastAsia="仿宋_GB2312"/>
          <w:b w:val="0"/>
          <w:sz w:val="32"/>
          <w:szCs w:val="32"/>
        </w:rPr>
        <w:t>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UKK TZK2">
    <w:altName w:val="国标宋体-超大字符集扩"/>
    <w:panose1 w:val="00000000000000000000"/>
    <w:charset w:val="00"/>
    <w:family w:val="auto"/>
    <w:pitch w:val="default"/>
    <w:sig w:usb0="00000000" w:usb1="00000000" w:usb2="00000000" w:usb3="00000000" w:csb0="000001FF" w:csb1="00000000"/>
  </w:font>
  <w:font w:name="仿宋_GB2312">
    <w:altName w:val="方正仿宋_GBK"/>
    <w:panose1 w:val="00000000000000000000"/>
    <w:charset w:val="00"/>
    <w:family w:val="auto"/>
    <w:pitch w:val="default"/>
    <w:sig w:usb0="00000000" w:usb1="00000000" w:usb2="00000000" w:usb3="00000000" w:csb0="00000000" w:csb1="00000000"/>
  </w:font>
  <w:font w:name="Verdana">
    <w:altName w:val="DejaVu Sans"/>
    <w:panose1 w:val="020B0604030504040204"/>
    <w:charset w:val="00"/>
    <w:family w:val="swiss"/>
    <w:pitch w:val="default"/>
    <w:sig w:usb0="00000000" w:usb1="00000000" w:usb2="00000010" w:usb3="00000000" w:csb0="2000019F"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国标宋体-超大字符集扩">
    <w:panose1 w:val="000005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D468D"/>
    <w:rsid w:val="0B1620B1"/>
    <w:rsid w:val="0C5B011C"/>
    <w:rsid w:val="11B40789"/>
    <w:rsid w:val="1C120211"/>
    <w:rsid w:val="2A606C2B"/>
    <w:rsid w:val="2F527A8F"/>
    <w:rsid w:val="33E73452"/>
    <w:rsid w:val="3BF840E5"/>
    <w:rsid w:val="49DA52AD"/>
    <w:rsid w:val="4ABD7E16"/>
    <w:rsid w:val="4B9C2AC3"/>
    <w:rsid w:val="4E192EE4"/>
    <w:rsid w:val="50F33233"/>
    <w:rsid w:val="545E06C6"/>
    <w:rsid w:val="5BFE4DEA"/>
    <w:rsid w:val="5C3D0D41"/>
    <w:rsid w:val="67FC60ED"/>
    <w:rsid w:val="6F5D22D4"/>
    <w:rsid w:val="71114F3A"/>
    <w:rsid w:val="74A94E93"/>
    <w:rsid w:val="778E16DA"/>
    <w:rsid w:val="78A72411"/>
    <w:rsid w:val="D7DE5A5E"/>
    <w:rsid w:val="F6A7B2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sz w:val="21"/>
      <w:szCs w:val="22"/>
    </w:rPr>
  </w:style>
  <w:style w:type="paragraph" w:styleId="2">
    <w:name w:val="heading 2"/>
    <w:basedOn w:val="1"/>
    <w:next w:val="1"/>
    <w:unhideWhenUsed/>
    <w:qFormat/>
    <w:uiPriority w:val="0"/>
    <w:pPr>
      <w:spacing w:line="0" w:lineRule="atLeast"/>
      <w:jc w:val="center"/>
      <w:outlineLvl w:val="1"/>
    </w:pPr>
    <w:rPr>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line="288" w:lineRule="auto"/>
    </w:pPr>
    <w:rPr>
      <w:rFonts w:ascii="UKK TZK2" w:hAnsi="UKK TZK2" w:eastAsia="宋体" w:cs="UKK TZK2"/>
    </w:rPr>
  </w:style>
  <w:style w:type="character" w:customStyle="1" w:styleId="6">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40</TotalTime>
  <ScaleCrop>false</ScaleCrop>
  <LinksUpToDate>false</LinksUpToDate>
  <Application>WPS Office_11.8.2.10290_F1E327BC-269C-435d-A152-05C5408002CA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2025-08-14T02:46:00Z</dcterms:created>
  <dc:creator>admin02</dc:creator>
  <cp:lastModifiedBy>user</cp:lastModifiedBy>
  <dcterms:modified xsi:type="dcterms:W3CDTF">2025-09-24T19:24:04Z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