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新疆维吾尔自治区农业农村厅哈密植物检疫工作站</w:t>
      </w: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负责全国农业植物检疫性有害生物在新疆范围内的监测预警、封锁、控制、消灭和防治。确定新疆范围内的地方补充农业植物检疫性有害生物名录,负责其在新疆范围内的监测预警、封锁、控制、消灭和防治。针对农业植物检疫性有害生物,指导地县植物检疫机构开展产地检疫、源头检疫、公路检疫和市场准入调查。沿国内进出疆通道,建立范围适度的监测预警带,在重点区域设立直属监测工作站;探索在当前重大农业植物检疫性有害生物冀延区构建缓冲阻裁带、沿国境线建立进境植物检疫性有害生物监测带。开展农业植物检疫性有害生物防治措施的实验、研究、试验推广等。</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新疆维吾尔自治区农业农村厅哈密植物检疫工作站2024年度，实有人数32人，其中：在职人员17人，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；退休人员15人，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单位</w:t>
      </w:r>
      <w:r>
        <w:rPr>
          <w:rFonts w:ascii="仿宋_GB2312" w:eastAsia="仿宋_GB2312"/>
          <w:b w:val="0"/>
          <w:sz w:val="32"/>
          <w:szCs w:val="32"/>
        </w:rPr>
        <w:t>无下属预算单位，下设5个科室，分别是：办公室、 实验室、综合技术科、监测预警科、检疫科。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2024年度收入总计566.90万元，其中：本年收入合计466.71万元，使用非财政拨款结余（含专用结余）0.00万元，年初结转和结余100.19万元。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2024年度支出总计566.90万元，其中：本年支出合计478.21万元，结余分配0.00万元，年末结转和结余88.69万元。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收入支出总体与上年相比，减少55.29万元，下降8.89%，主要原因是：</w:t>
      </w:r>
      <w:r>
        <w:rPr>
          <w:rFonts w:hint="eastAsia" w:ascii="仿宋_GB2312" w:eastAsia="仿宋_GB2312"/>
          <w:b w:val="0"/>
          <w:sz w:val="32"/>
          <w:szCs w:val="32"/>
          <w:lang w:eastAsia="zh-CN"/>
        </w:rPr>
        <w:t>本年度</w:t>
      </w:r>
      <w:r>
        <w:rPr>
          <w:rFonts w:hint="eastAsia" w:ascii="仿宋_GB2312" w:eastAsia="仿宋_GB2312"/>
          <w:b w:val="0"/>
          <w:sz w:val="32"/>
          <w:szCs w:val="32"/>
        </w:rPr>
        <w:t>病虫害检疫调查经费</w:t>
      </w:r>
      <w:r>
        <w:rPr>
          <w:rFonts w:hint="eastAsia" w:ascii="仿宋_GB2312" w:eastAsia="仿宋_GB2312"/>
          <w:b w:val="0"/>
          <w:sz w:val="32"/>
          <w:szCs w:val="32"/>
          <w:lang w:eastAsia="zh-CN"/>
        </w:rPr>
        <w:t>减少</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本年收入466.71万元，其中：财政拨款收入464.02万元,占99.42%；上级补助收入0.00万元,占0.00%；事业收入0.00万元，占0.00%；经营收入0.00万元,占0.00%；附属单位上缴收入0.00万元，占0.00%；其他收入2.70万元，占0.58%。</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本年支出478.21万元，其中：基本支出424.02万元，占88.67%；项目支出54.19万元，占11.33%；上缴上级支出0.00万元，占0.00%；经营支出0.00万元，占0.00%；对附属单位补助支出0.00万元，占0.00%。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2024年度财政拨款收入总计528.03万元，其中：年初财政拨款结转和结余64.01万元，本年财政拨款收入464.02万元。财政拨款支出总计528.03万元，其中：年末财政拨款结转和结余64.01万元，本年财政拨款支出464.02万元。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财政拨款收入支出总体与上年相比，增加29.96万元，增长6.02%，主要原因是：</w:t>
      </w:r>
      <w:r>
        <w:rPr>
          <w:rFonts w:hint="eastAsia" w:ascii="仿宋_GB2312" w:eastAsia="仿宋_GB2312"/>
          <w:b w:val="0"/>
          <w:sz w:val="32"/>
          <w:szCs w:val="32"/>
          <w:lang w:eastAsia="zh-CN"/>
        </w:rPr>
        <w:t>本年度在职人员工资调增，社保、公积金基数相应调增，增加</w:t>
      </w:r>
      <w:r>
        <w:rPr>
          <w:rFonts w:ascii="仿宋_GB2312" w:eastAsia="仿宋_GB2312"/>
          <w:b w:val="0"/>
          <w:sz w:val="32"/>
          <w:szCs w:val="32"/>
        </w:rPr>
        <w:t>“民族团结一家亲”结亲路费</w:t>
      </w:r>
      <w:r>
        <w:rPr>
          <w:rFonts w:hint="eastAsia" w:ascii="仿宋_GB2312" w:eastAsia="仿宋_GB2312"/>
          <w:b w:val="0"/>
          <w:sz w:val="32"/>
          <w:szCs w:val="32"/>
          <w:lang w:eastAsia="zh-CN"/>
        </w:rPr>
        <w:t>、</w:t>
      </w:r>
      <w:r>
        <w:rPr>
          <w:rFonts w:ascii="仿宋_GB2312" w:eastAsia="仿宋_GB2312"/>
          <w:b w:val="0"/>
          <w:sz w:val="32"/>
          <w:szCs w:val="32"/>
        </w:rPr>
        <w:t>在职人员绩效奖</w:t>
      </w:r>
      <w:r>
        <w:rPr>
          <w:rFonts w:hint="eastAsia" w:ascii="仿宋_GB2312" w:eastAsia="仿宋_GB2312"/>
          <w:b w:val="0"/>
          <w:sz w:val="32"/>
          <w:szCs w:val="32"/>
          <w:lang w:eastAsia="zh-CN"/>
        </w:rPr>
        <w:t>和</w:t>
      </w:r>
      <w:r>
        <w:rPr>
          <w:rFonts w:ascii="仿宋_GB2312" w:eastAsia="仿宋_GB2312"/>
          <w:b w:val="0"/>
          <w:sz w:val="32"/>
          <w:szCs w:val="32"/>
        </w:rPr>
        <w:t>退休人员职业年金等。与年初预算相比，年初预算数433.95万元，决算数528.03万元，预决算差异率21.68%，主要原因是：</w:t>
      </w:r>
      <w:r>
        <w:rPr>
          <w:rFonts w:hint="eastAsia" w:ascii="仿宋_GB2312" w:eastAsia="仿宋_GB2312"/>
          <w:b w:val="0"/>
          <w:sz w:val="32"/>
          <w:szCs w:val="32"/>
          <w:lang w:eastAsia="zh-CN"/>
        </w:rPr>
        <w:t>年中追加了</w:t>
      </w:r>
      <w:r>
        <w:rPr>
          <w:rFonts w:ascii="仿宋_GB2312" w:eastAsia="仿宋_GB2312"/>
          <w:b w:val="0"/>
          <w:sz w:val="32"/>
          <w:szCs w:val="32"/>
        </w:rPr>
        <w:t>“民族团结一家亲”结亲路费</w:t>
      </w:r>
      <w:r>
        <w:rPr>
          <w:rFonts w:hint="eastAsia" w:ascii="仿宋_GB2312" w:eastAsia="仿宋_GB2312"/>
          <w:b w:val="0"/>
          <w:sz w:val="32"/>
          <w:szCs w:val="32"/>
          <w:lang w:eastAsia="zh-CN"/>
        </w:rPr>
        <w:t>、</w:t>
      </w:r>
      <w:r>
        <w:rPr>
          <w:rFonts w:ascii="仿宋_GB2312" w:eastAsia="仿宋_GB2312"/>
          <w:b w:val="0"/>
          <w:sz w:val="32"/>
          <w:szCs w:val="32"/>
        </w:rPr>
        <w:t>在职人员绩效奖</w:t>
      </w:r>
      <w:r>
        <w:rPr>
          <w:rFonts w:hint="eastAsia" w:ascii="仿宋_GB2312" w:eastAsia="仿宋_GB2312"/>
          <w:b w:val="0"/>
          <w:sz w:val="32"/>
          <w:szCs w:val="32"/>
          <w:lang w:eastAsia="zh-CN"/>
        </w:rPr>
        <w:t>和</w:t>
      </w:r>
      <w:r>
        <w:rPr>
          <w:rFonts w:ascii="仿宋_GB2312" w:eastAsia="仿宋_GB2312"/>
          <w:b w:val="0"/>
          <w:sz w:val="32"/>
          <w:szCs w:val="32"/>
        </w:rPr>
        <w:t>退休人员职业年金等。</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2024年度一般公共预算财政拨款支出464.02万元，占本年支出合计的97.03%。与上年相比，增加29.96万元，增长6.90%，主要原因是：</w:t>
      </w:r>
      <w:r>
        <w:rPr>
          <w:rFonts w:hint="eastAsia" w:ascii="仿宋_GB2312" w:eastAsia="仿宋_GB2312"/>
          <w:b w:val="0"/>
          <w:sz w:val="32"/>
          <w:szCs w:val="32"/>
          <w:lang w:eastAsia="zh-CN"/>
        </w:rPr>
        <w:t>本年度在职人员工资调增，社保、公积金基数相应调增，增加</w:t>
      </w:r>
      <w:r>
        <w:rPr>
          <w:rFonts w:ascii="仿宋_GB2312" w:eastAsia="仿宋_GB2312"/>
          <w:b w:val="0"/>
          <w:sz w:val="32"/>
          <w:szCs w:val="32"/>
        </w:rPr>
        <w:t>“民族团结一家亲”结亲路费</w:t>
      </w:r>
      <w:r>
        <w:rPr>
          <w:rFonts w:hint="eastAsia" w:ascii="仿宋_GB2312" w:eastAsia="仿宋_GB2312"/>
          <w:b w:val="0"/>
          <w:sz w:val="32"/>
          <w:szCs w:val="32"/>
          <w:lang w:eastAsia="zh-CN"/>
        </w:rPr>
        <w:t>、</w:t>
      </w:r>
      <w:r>
        <w:rPr>
          <w:rFonts w:ascii="仿宋_GB2312" w:eastAsia="仿宋_GB2312"/>
          <w:b w:val="0"/>
          <w:sz w:val="32"/>
          <w:szCs w:val="32"/>
        </w:rPr>
        <w:t>在职人员绩效奖</w:t>
      </w:r>
      <w:r>
        <w:rPr>
          <w:rFonts w:hint="eastAsia" w:ascii="仿宋_GB2312" w:eastAsia="仿宋_GB2312"/>
          <w:b w:val="0"/>
          <w:sz w:val="32"/>
          <w:szCs w:val="32"/>
          <w:lang w:eastAsia="zh-CN"/>
        </w:rPr>
        <w:t>和</w:t>
      </w:r>
      <w:r>
        <w:rPr>
          <w:rFonts w:ascii="仿宋_GB2312" w:eastAsia="仿宋_GB2312"/>
          <w:b w:val="0"/>
          <w:sz w:val="32"/>
          <w:szCs w:val="32"/>
        </w:rPr>
        <w:t>退休人员职业年金等。与年初预算相比，年初预算数433.95万元，决算数464.02万元，预决算差异率6.93%，主要原因是：</w:t>
      </w:r>
      <w:r>
        <w:rPr>
          <w:rFonts w:hint="eastAsia" w:ascii="仿宋_GB2312" w:eastAsia="仿宋_GB2312"/>
          <w:b w:val="0"/>
          <w:sz w:val="32"/>
          <w:szCs w:val="32"/>
          <w:lang w:eastAsia="zh-CN"/>
        </w:rPr>
        <w:t>年中追加了</w:t>
      </w:r>
      <w:r>
        <w:rPr>
          <w:rFonts w:ascii="仿宋_GB2312" w:eastAsia="仿宋_GB2312"/>
          <w:b w:val="0"/>
          <w:sz w:val="32"/>
          <w:szCs w:val="32"/>
        </w:rPr>
        <w:t>“民族团结一家亲”结亲路费</w:t>
      </w:r>
      <w:r>
        <w:rPr>
          <w:rFonts w:hint="eastAsia" w:ascii="仿宋_GB2312" w:eastAsia="仿宋_GB2312"/>
          <w:b w:val="0"/>
          <w:sz w:val="32"/>
          <w:szCs w:val="32"/>
          <w:lang w:eastAsia="zh-CN"/>
        </w:rPr>
        <w:t>、</w:t>
      </w:r>
      <w:r>
        <w:rPr>
          <w:rFonts w:ascii="仿宋_GB2312" w:eastAsia="仿宋_GB2312"/>
          <w:b w:val="0"/>
          <w:sz w:val="32"/>
          <w:szCs w:val="32"/>
        </w:rPr>
        <w:t>在职人员绩效奖</w:t>
      </w:r>
      <w:r>
        <w:rPr>
          <w:rFonts w:hint="eastAsia" w:ascii="仿宋_GB2312" w:eastAsia="仿宋_GB2312"/>
          <w:b w:val="0"/>
          <w:sz w:val="32"/>
          <w:szCs w:val="32"/>
          <w:lang w:eastAsia="zh-CN"/>
        </w:rPr>
        <w:t>和</w:t>
      </w:r>
      <w:r>
        <w:rPr>
          <w:rFonts w:ascii="仿宋_GB2312" w:eastAsia="仿宋_GB2312"/>
          <w:b w:val="0"/>
          <w:sz w:val="32"/>
          <w:szCs w:val="32"/>
        </w:rPr>
        <w:t>退休人员职业年金等。</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社会保障和就业支出（类）78.65万元，占16.95%。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卫生健康支出（类）32.39万元，占6.98%。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农林水支出（类）326.17万元，占70.29%。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住房保障支出（类）26.81万元，占5.78%。</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w:t>
      </w:r>
      <w:r>
        <w:rPr>
          <w:rFonts w:hint="eastAsia" w:ascii="仿宋_GB2312" w:eastAsia="仿宋_GB2312"/>
          <w:b w:val="0"/>
          <w:sz w:val="32"/>
          <w:szCs w:val="32"/>
          <w:lang w:eastAsia="zh-CN"/>
        </w:rPr>
        <w:t>（</w:t>
      </w:r>
      <w:r>
        <w:rPr>
          <w:rFonts w:ascii="仿宋_GB2312" w:eastAsia="仿宋_GB2312"/>
          <w:b w:val="0"/>
          <w:sz w:val="32"/>
          <w:szCs w:val="32"/>
        </w:rPr>
        <w:t>款）事业单位离退休（项）：支出决算数为33.57万元，比上年决算增加7.43万元，增长28.42%，主要原因是：本年度</w:t>
      </w:r>
      <w:r>
        <w:rPr>
          <w:rFonts w:hint="eastAsia" w:ascii="仿宋_GB2312" w:eastAsia="仿宋_GB2312"/>
          <w:b w:val="0"/>
          <w:sz w:val="32"/>
          <w:szCs w:val="32"/>
          <w:lang w:eastAsia="zh-CN"/>
        </w:rPr>
        <w:t>退休人员绩效奖增加</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社会保障和就业支出（类）行政事业单位养老支出（款）机关事业单位基本养老保险缴费支出（项）：支出决算数为35.74万元，比上年决算增加0.83万元，增长2.38%，主要原因是：本年度工资调增，</w:t>
      </w:r>
      <w:r>
        <w:rPr>
          <w:rFonts w:hint="eastAsia" w:ascii="仿宋_GB2312" w:eastAsia="仿宋_GB2312"/>
          <w:b w:val="0"/>
          <w:sz w:val="32"/>
          <w:szCs w:val="32"/>
          <w:lang w:eastAsia="zh-CN"/>
        </w:rPr>
        <w:t>养老保险</w:t>
      </w:r>
      <w:r>
        <w:rPr>
          <w:rFonts w:ascii="仿宋_GB2312" w:eastAsia="仿宋_GB2312"/>
          <w:b w:val="0"/>
          <w:sz w:val="32"/>
          <w:szCs w:val="32"/>
        </w:rPr>
        <w:t>基数调增。</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社会保障和就业支出（类）行政事业单位养老支出（款）机关事业单位职业年金缴费支出（项）：支出决算数为9.34万元，比上年决算增加0.66万元，增长7.60%，主要原因是：本年度</w:t>
      </w:r>
      <w:r>
        <w:rPr>
          <w:rFonts w:hint="eastAsia" w:ascii="仿宋_GB2312" w:eastAsia="仿宋_GB2312"/>
          <w:b w:val="0"/>
          <w:sz w:val="32"/>
          <w:szCs w:val="32"/>
          <w:lang w:eastAsia="zh-CN"/>
        </w:rPr>
        <w:t>退休人员死亡</w:t>
      </w:r>
      <w:r>
        <w:rPr>
          <w:rFonts w:hint="eastAsia" w:ascii="仿宋_GB2312" w:eastAsia="仿宋_GB2312"/>
          <w:b w:val="0"/>
          <w:sz w:val="32"/>
          <w:szCs w:val="32"/>
          <w:lang w:val="en-US" w:eastAsia="zh-CN"/>
        </w:rPr>
        <w:t>1人，在职转退休1人</w:t>
      </w:r>
      <w:r>
        <w:rPr>
          <w:rFonts w:ascii="仿宋_GB2312" w:eastAsia="仿宋_GB2312"/>
          <w:b w:val="0"/>
          <w:sz w:val="32"/>
          <w:szCs w:val="32"/>
        </w:rPr>
        <w:t>，</w:t>
      </w:r>
      <w:r>
        <w:rPr>
          <w:rFonts w:hint="eastAsia" w:ascii="仿宋_GB2312" w:eastAsia="仿宋_GB2312"/>
          <w:b w:val="0"/>
          <w:sz w:val="32"/>
          <w:szCs w:val="32"/>
          <w:lang w:eastAsia="zh-CN"/>
        </w:rPr>
        <w:t>导致职业年金缴费增加</w:t>
      </w:r>
      <w:r>
        <w:rPr>
          <w:rFonts w:ascii="仿宋_GB2312" w:eastAsia="仿宋_GB2312"/>
          <w:b w:val="0"/>
          <w:sz w:val="32"/>
          <w:szCs w:val="32"/>
        </w:rPr>
        <w:t>。</w:t>
      </w:r>
      <w:bookmarkStart w:id="0" w:name="_GoBack"/>
      <w:bookmarkEnd w:id="0"/>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卫生健康支出（类）行政事业单位医疗（款）事业单位医疗（项）：支出决算数为16.76万元，比上年决算增加0.21万元，增长1.27%，主要原因是：本年度工资调增，</w:t>
      </w:r>
      <w:r>
        <w:rPr>
          <w:rFonts w:hint="eastAsia" w:ascii="仿宋_GB2312" w:eastAsia="仿宋_GB2312"/>
          <w:b w:val="0"/>
          <w:sz w:val="32"/>
          <w:szCs w:val="32"/>
          <w:lang w:eastAsia="zh-CN"/>
        </w:rPr>
        <w:t>医疗保险缴费增加</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卫生健康支出（类）行政事业单位医疗（款）公务员医疗补助（项）：支出决算数为15.64万元，比上年决算增加15.64万元，增长100.00%，主要原因是：</w:t>
      </w:r>
      <w:r>
        <w:rPr>
          <w:rFonts w:hint="eastAsia" w:ascii="仿宋_GB2312" w:eastAsia="仿宋_GB2312"/>
          <w:b w:val="0"/>
          <w:sz w:val="32"/>
          <w:szCs w:val="32"/>
          <w:lang w:eastAsia="zh-CN"/>
        </w:rPr>
        <w:t>本科度科目调整</w:t>
      </w:r>
      <w:r>
        <w:rPr>
          <w:rFonts w:ascii="仿宋_GB2312" w:eastAsia="仿宋_GB2312"/>
          <w:b w:val="0"/>
          <w:sz w:val="32"/>
          <w:szCs w:val="32"/>
        </w:rPr>
        <w:t>，</w:t>
      </w:r>
      <w:r>
        <w:rPr>
          <w:rFonts w:hint="eastAsia" w:ascii="仿宋_GB2312" w:eastAsia="仿宋_GB2312"/>
          <w:b w:val="0"/>
          <w:sz w:val="32"/>
          <w:szCs w:val="32"/>
          <w:lang w:eastAsia="zh-CN"/>
        </w:rPr>
        <w:t>公务员医疗补助增加，上年在主科目列支，本年单独科目列支</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农林水支出（类）农业农村（款）事业运行（项）：支出决算数为286.17万元，比上年决算增加11.86万元，增长4.32%，主要原因是：</w:t>
      </w:r>
      <w:r>
        <w:rPr>
          <w:rFonts w:hint="eastAsia" w:ascii="仿宋_GB2312" w:eastAsia="仿宋_GB2312"/>
          <w:b w:val="0"/>
          <w:sz w:val="32"/>
          <w:szCs w:val="32"/>
          <w:lang w:eastAsia="zh-CN"/>
        </w:rPr>
        <w:t>本年度人员工资调增、考核奖增加，事业运行比上年决算增加</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农林水支出（类）农业农村（款）农业生产发展（项）：支出决算数为0.00万元，比上年决算减少7.00万元，下降100.00%，主要原因是</w:t>
      </w:r>
      <w:r>
        <w:rPr>
          <w:rFonts w:hint="eastAsia" w:ascii="仿宋_GB2312" w:eastAsia="仿宋_GB2312"/>
          <w:b w:val="0"/>
          <w:sz w:val="32"/>
          <w:szCs w:val="32"/>
          <w:lang w:eastAsia="zh-CN"/>
        </w:rPr>
        <w:t>：本年度减少了农业生产发展资金（农业可持续发展）项目。</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农林水支出（类）农业农村（款）其他农业农村支出（项）：支出决算数为40.00万元，与上年相比无变化，主要原因是：</w:t>
      </w:r>
      <w:r>
        <w:rPr>
          <w:rFonts w:hint="eastAsia" w:ascii="仿宋_GB2312" w:eastAsia="仿宋_GB2312"/>
          <w:b w:val="0"/>
          <w:sz w:val="32"/>
          <w:szCs w:val="32"/>
          <w:lang w:eastAsia="zh-CN"/>
        </w:rPr>
        <w:t>本年度</w:t>
      </w:r>
      <w:r>
        <w:rPr>
          <w:rFonts w:hint="eastAsia" w:ascii="仿宋_GB2312" w:eastAsia="仿宋_GB2312"/>
          <w:b w:val="0"/>
          <w:sz w:val="32"/>
          <w:szCs w:val="32"/>
        </w:rPr>
        <w:t>自治区农业生产发展资金（重大植物疫情监测、防控和阻截）</w:t>
      </w:r>
      <w:r>
        <w:rPr>
          <w:rFonts w:hint="eastAsia" w:ascii="仿宋_GB2312" w:eastAsia="仿宋_GB2312"/>
          <w:b w:val="0"/>
          <w:sz w:val="32"/>
          <w:szCs w:val="32"/>
          <w:lang w:eastAsia="zh-CN"/>
        </w:rPr>
        <w:t>项目资金与上年一致无变化</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住房保障支出（类）住房改革支出（款）住房公积金（项）：支出决算数为26.81万元，比上年决算增加0.34万元，增长1.28%，主要原因是：本年度工资调增，住房公积金缴费基数调增。</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424.02万元，其中：人员经费397.59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公用经费26.43万元，包括：办公费、水费、电费、邮电费、差旅费、委托业务费、工会经费、福利费、公务用车运行维护费和其他商品和服务支出。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2024年度财政拨款“三公”经费支出3.00万元，</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三公”经费与上年一致，无变化。其中：因公出国（境）费支出0.00万元,占0.00%，与上年相比无变化，主要原因是：我单位未安排此项经费支出；公务用车购置及运行维护费支出3.00万元，占100.00%，与上年相比无变化，主要原因是：公务用车购置及运行维护费支出 与上年一致，无变化；公务接待费支出0.00万元，占0.00%，与上年相比无变化，主要原因是：本年度我单位无公务接待费。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本</w:t>
      </w:r>
      <w:r>
        <w:rPr>
          <w:rFonts w:hint="eastAsia" w:ascii="仿宋_GB2312" w:eastAsia="仿宋_GB2312"/>
          <w:b w:val="0"/>
          <w:sz w:val="32"/>
          <w:szCs w:val="32"/>
        </w:rPr>
        <w:t>单位</w:t>
      </w:r>
      <w:r>
        <w:rPr>
          <w:rFonts w:hint="eastAsia" w:ascii="仿宋_GB2312" w:eastAsia="仿宋_GB2312"/>
          <w:b w:val="0"/>
          <w:sz w:val="32"/>
          <w:szCs w:val="32"/>
          <w:lang w:eastAsia="zh-CN"/>
        </w:rPr>
        <w:t>无因</w:t>
      </w:r>
      <w:r>
        <w:rPr>
          <w:rFonts w:hint="eastAsia" w:ascii="仿宋_GB2312" w:eastAsia="仿宋_GB2312"/>
          <w:b w:val="0"/>
          <w:sz w:val="32"/>
          <w:szCs w:val="32"/>
        </w:rPr>
        <w:t>公出国（境）费</w:t>
      </w:r>
      <w:r>
        <w:rPr>
          <w:rFonts w:ascii="仿宋_GB2312" w:eastAsia="仿宋_GB2312"/>
          <w:b w:val="0"/>
          <w:sz w:val="32"/>
          <w:szCs w:val="32"/>
        </w:rPr>
        <w:t>。单位全年安排的因公出国（境）团组0个，因公出国（境）0人次。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3.00万元，其中：公务用车购置费0.00万元，公务用车运行维护费3.00万元。公务用车运行维护费开支内容包括车辆保险、车辆维修和车辆加油等费用。公务用车购置数0辆，公务用车保有量2辆。国有资产占用情况中固定资产车辆2辆，与公务用车保有量差异原因是：</w:t>
      </w:r>
      <w:r>
        <w:rPr>
          <w:rFonts w:hint="eastAsia" w:ascii="仿宋_GB2312" w:eastAsia="仿宋_GB2312"/>
          <w:b w:val="0"/>
          <w:sz w:val="32"/>
          <w:szCs w:val="32"/>
          <w:lang w:eastAsia="zh-CN"/>
        </w:rPr>
        <w:t>本</w:t>
      </w:r>
      <w:r>
        <w:rPr>
          <w:rFonts w:ascii="仿宋_GB2312" w:eastAsia="仿宋_GB2312"/>
          <w:b w:val="0"/>
          <w:sz w:val="32"/>
          <w:szCs w:val="32"/>
        </w:rPr>
        <w:t>单位</w:t>
      </w:r>
      <w:r>
        <w:rPr>
          <w:rFonts w:hint="eastAsia" w:ascii="仿宋_GB2312" w:eastAsia="仿宋_GB2312"/>
          <w:b w:val="0"/>
          <w:sz w:val="32"/>
          <w:szCs w:val="32"/>
          <w:lang w:eastAsia="zh-CN"/>
        </w:rPr>
        <w:t>固定资产车辆与公务用车保有量一致无差异</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本</w:t>
      </w:r>
      <w:r>
        <w:rPr>
          <w:rFonts w:hint="eastAsia" w:ascii="仿宋_GB2312" w:eastAsia="仿宋_GB2312"/>
          <w:b w:val="0"/>
          <w:sz w:val="32"/>
          <w:szCs w:val="32"/>
        </w:rPr>
        <w:t>单位</w:t>
      </w:r>
      <w:r>
        <w:rPr>
          <w:rFonts w:hint="eastAsia" w:ascii="仿宋_GB2312" w:eastAsia="仿宋_GB2312"/>
          <w:b w:val="0"/>
          <w:sz w:val="32"/>
          <w:szCs w:val="32"/>
          <w:lang w:eastAsia="zh-CN"/>
        </w:rPr>
        <w:t>无</w:t>
      </w:r>
      <w:r>
        <w:rPr>
          <w:rFonts w:hint="eastAsia" w:ascii="仿宋_GB2312" w:eastAsia="仿宋_GB2312"/>
          <w:b w:val="0"/>
          <w:sz w:val="32"/>
          <w:szCs w:val="32"/>
        </w:rPr>
        <w:t>公务接待费</w:t>
      </w:r>
      <w:r>
        <w:rPr>
          <w:rFonts w:ascii="仿宋_GB2312" w:eastAsia="仿宋_GB2312"/>
          <w:b w:val="0"/>
          <w:sz w:val="32"/>
          <w:szCs w:val="32"/>
        </w:rPr>
        <w:t>。单位全年安排的国内公务接待0批次，0人次。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3.00万元，决算数3.00万元，预决算差异率0.00%，主要原因是：财政拨款“三公”经费支出预决算一致无差异。其中：因公出国（境）费全年预算数0.00万元，决算数0.00万元，预决算差异率0.00%，主要原因是：未安排此项经费支出</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公务用车购置费全年预算数0.00万元，决算数0.00万元，预决算差异率0.00%，主要原因是：未安排此项支出</w:t>
      </w:r>
      <w:r>
        <w:rPr>
          <w:rFonts w:hint="eastAsia" w:ascii="仿宋_GB2312" w:eastAsia="仿宋_GB2312"/>
          <w:b w:val="0"/>
          <w:sz w:val="32"/>
          <w:szCs w:val="32"/>
          <w:lang w:eastAsia="zh-CN"/>
        </w:rPr>
        <w:t>；</w:t>
      </w:r>
      <w:r>
        <w:rPr>
          <w:rFonts w:ascii="仿宋_GB2312" w:eastAsia="仿宋_GB2312"/>
          <w:b w:val="0"/>
          <w:sz w:val="32"/>
          <w:szCs w:val="32"/>
        </w:rPr>
        <w:t>公务用车运行维护费全年预算数3.00万元，决算数3.00万元，预决算差异率0.00%，主要原因是：公务用车运行费预决算一致，无差异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公务接待费全年预算数0.00万元，决算数0.00万元，预决算差异率0.00%，主要原因是：未安排此项经费支出。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2024年度新疆维吾尔自治区农业农村厅哈密植物检疫工作站</w:t>
      </w:r>
      <w:r>
        <w:rPr>
          <w:rFonts w:hint="eastAsia" w:ascii="仿宋_GB2312" w:eastAsia="仿宋_GB2312"/>
          <w:b w:val="0"/>
          <w:sz w:val="32"/>
          <w:szCs w:val="32"/>
          <w:lang w:eastAsia="zh-CN"/>
        </w:rPr>
        <w:t>单位（事业单位）</w:t>
      </w:r>
      <w:r>
        <w:rPr>
          <w:rFonts w:ascii="仿宋_GB2312" w:eastAsia="仿宋_GB2312"/>
          <w:b w:val="0"/>
          <w:sz w:val="32"/>
          <w:szCs w:val="32"/>
        </w:rPr>
        <w:t>公用经费支出26.43万元，比上年减少1.31万元，下降4.72%，主要原因是：</w:t>
      </w:r>
      <w:r>
        <w:rPr>
          <w:rFonts w:hint="eastAsia" w:ascii="仿宋_GB2312" w:eastAsia="仿宋_GB2312"/>
          <w:b w:val="0"/>
          <w:sz w:val="32"/>
          <w:szCs w:val="32"/>
          <w:lang w:eastAsia="zh-CN"/>
        </w:rPr>
        <w:t>本单位在职人员岗位变动，差旅费减少，相应公用经费减少</w:t>
      </w:r>
      <w:r>
        <w:rPr>
          <w:rFonts w:ascii="仿宋_GB2312" w:eastAsia="仿宋_GB2312"/>
          <w:b w:val="0"/>
          <w:sz w:val="32"/>
          <w:szCs w:val="32"/>
        </w:rPr>
        <w:t>。</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2024年度政府采购支出总额10.50万元，其中：政府采购货物支出1.69万元、政府采购工程支出0.00万元、政府采购服务支出8.81万元。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授予中小企业合同金额9.50万元，占政府采购支出总额的90.48%，其中：授予小微企业合同金额9.50万元，占政府采购支出总额的90.48%。</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4,013.27平方米，价值432.47万元。车辆2辆，价值97.74万元，其中：副部（省）级及以上领导用车0辆、主要负责人用车0辆、机要通信用车0辆、应急保障用车0辆、执法执勤用车1辆、特种专业技术用车0辆、离退休干部服务用车0辆、其他用车1辆，其他用车主要是：一般公务用 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150.00万元，全年执行数54.19万元，预算绩效管理取得的成效：一是构建全面实施预算绩效管理体系框架。通过不断完善工作机制和相关制度，逐步形成从目标编审到绩效跟踪、绩效自评、第三方评价等贯穿预算管理全过程的绩效管理工作制度。二是推动预算绩效深度融合，促进预算管理改革。将绩效目标管理融入部门预算编制的各个环节，做到绩效目标与预算编制同步申报、同步审核、同步批复，推动预算绩效深度融合；发现的问题及原因：一是预算内容不完整，未将以前年度结转结余项目资金纳入预算管理，不能全面反映预算单位的真实收支内容。二是预算指标数不合理，差旅费支出存在很大不确定性；下一步改进措施：一是精确 做好单位预算工作；做好经费年度使用计划；二是落实项目 执行责任人，加强项目资金使用管理，严格按项目要求加快 项目经费支出，严格按照中央八项规定和自治区十项规定执 行。具体项目</w:t>
      </w:r>
      <w:r>
        <w:rPr>
          <w:rFonts w:hint="eastAsia" w:ascii="仿宋_GB2312" w:eastAsia="仿宋_GB2312"/>
          <w:b w:val="0"/>
          <w:sz w:val="32"/>
          <w:szCs w:val="32"/>
          <w:lang w:eastAsia="zh-CN"/>
        </w:rPr>
        <w:t>自评情况附</w:t>
      </w:r>
      <w:r>
        <w:rPr>
          <w:rFonts w:ascii="仿宋_GB2312" w:eastAsia="仿宋_GB2312"/>
          <w:b w:val="0"/>
          <w:sz w:val="32"/>
          <w:szCs w:val="32"/>
        </w:rPr>
        <w:t>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compat>
    <w:useFELayout/>
    <w:compatSetting w:name="compatibilityMode" w:uri="http://schemas.microsoft.com/office/word" w:val="12"/>
    <w:compatSetting w:name="overrideTableStyleFontSizeAndJustification" w:uri="http://schemas.microsoft.com/office/word" w:val="1"/>
  </w:compat>
  <w:rsids>
    <w:rsidRoot w:val="00000000"/>
    <w:rsid w:val="071E49FC"/>
    <w:rsid w:val="09906690"/>
    <w:rsid w:val="0EB22B4B"/>
    <w:rsid w:val="17A934A6"/>
    <w:rsid w:val="1A141D7E"/>
    <w:rsid w:val="22645455"/>
    <w:rsid w:val="28221B0A"/>
    <w:rsid w:val="31667E06"/>
    <w:rsid w:val="47C762E2"/>
    <w:rsid w:val="529C0587"/>
    <w:rsid w:val="540957A8"/>
    <w:rsid w:val="54DF5F73"/>
    <w:rsid w:val="6F2E1A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12">
    <w:name w:val="Emphasis"/>
    <w:basedOn w:val="11"/>
    <w:qFormat/>
    <w:uiPriority w:val="20"/>
    <w:rPr>
      <w:i/>
      <w:iCs/>
    </w:rPr>
  </w:style>
  <w:style w:type="character" w:styleId="13">
    <w:name w:val="Hyperlink"/>
    <w:basedOn w:val="11"/>
    <w:unhideWhenUsed/>
    <w:qFormat/>
    <w:uiPriority w:val="99"/>
    <w:rPr>
      <w:color w:val="0000FF" w:themeColor="hyperlink"/>
      <w:u w:val="single"/>
    </w:rPr>
  </w:style>
  <w:style w:type="table" w:styleId="15">
    <w:name w:val="Table Grid"/>
    <w:basedOn w:val="1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6">
    <w:name w:val="Header Char"/>
    <w:basedOn w:val="11"/>
    <w:link w:val="8"/>
    <w:qFormat/>
    <w:uiPriority w:val="99"/>
  </w:style>
  <w:style w:type="character" w:customStyle="1" w:styleId="17">
    <w:name w:val="Heading 1 Char"/>
    <w:basedOn w:val="11"/>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1"/>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1"/>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1"/>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1"/>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1"/>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5663</Words>
  <Characters>6241</Characters>
  <TotalTime>20</TotalTime>
  <ScaleCrop>false</ScaleCrop>
  <LinksUpToDate>false</LinksUpToDate>
  <CharactersWithSpaces>6248</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2025-08-14T09:32:00Z</dcterms:created>
  <dc:creator>Administrator</dc:creator>
  <cp:lastModifiedBy>Administrator</cp:lastModifiedBy>
  <dcterms:modified xsi:type="dcterms:W3CDTF">2025-08-27T11:42:45Z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eyJoZGlkIjoiODYzNmVmNWFjNWNiYmY4OWU2NzZkODg3MDk0ZTQ1MjAiLCJ1c2VySWQiOiI0NTI1NjE5MjkifQ==</vt:lpwstr>
  </property>
  <property fmtid="{D5CDD505-2E9C-101B-9397-08002B2CF9AE}" pid="3" name="KSOProductBuildVer">
    <vt:lpwstr>2052-10.8.2.6837</vt:lpwstr>
  </property>
  <property fmtid="{D5CDD505-2E9C-101B-9397-08002B2CF9AE}" pid="4" name="ICV">
    <vt:lpwstr>BE876F9C25494A3E93FED783A31136C3_12</vt:lpwstr>
  </property>
</Properties>
</file>