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FF5160">
      <w:pPr>
        <w:widowControl/>
        <w:jc w:val="left"/>
        <w:rPr>
          <w:rFonts w:ascii="宋体" w:eastAsia="宋体"/>
          <w:sz w:val="32"/>
          <w:szCs w:val="32"/>
        </w:rPr>
      </w:pPr>
    </w:p>
    <w:p w14:paraId="795F09CD">
      <w:pPr>
        <w:widowControl/>
        <w:jc w:val="left"/>
        <w:rPr>
          <w:rFonts w:ascii="宋体" w:eastAsia="宋体"/>
          <w:sz w:val="44"/>
          <w:szCs w:val="44"/>
        </w:rPr>
      </w:pPr>
    </w:p>
    <w:p w14:paraId="731B386A">
      <w:pPr>
        <w:widowControl/>
        <w:jc w:val="left"/>
        <w:rPr>
          <w:rFonts w:ascii="宋体" w:eastAsia="宋体"/>
          <w:sz w:val="44"/>
          <w:szCs w:val="44"/>
        </w:rPr>
      </w:pPr>
    </w:p>
    <w:p w14:paraId="61586149">
      <w:pPr>
        <w:jc w:val="center"/>
        <w:rPr>
          <w:rFonts w:ascii="宋体" w:eastAsia="宋体"/>
          <w:sz w:val="44"/>
          <w:szCs w:val="44"/>
        </w:rPr>
      </w:pPr>
    </w:p>
    <w:p w14:paraId="08A11F4B">
      <w:pPr>
        <w:jc w:val="center"/>
        <w:rPr>
          <w:rFonts w:ascii="方正小标宋_GBK" w:hAnsi="宋体" w:eastAsia="方正小标宋_GBK" w:cs="Times New Roman"/>
          <w:kern w:val="2"/>
          <w:sz w:val="44"/>
          <w:szCs w:val="44"/>
        </w:rPr>
      </w:pPr>
      <w:r>
        <w:rPr>
          <w:rFonts w:hint="eastAsia" w:ascii="方正小标宋_GBK" w:hAnsi="宋体" w:eastAsia="方正小标宋_GBK" w:cs="Times New Roman"/>
          <w:kern w:val="2"/>
          <w:sz w:val="44"/>
          <w:szCs w:val="44"/>
        </w:rPr>
        <w:t>新疆维吾尔自治区农业规划研究院</w:t>
      </w:r>
    </w:p>
    <w:p w14:paraId="7CBBAC3D">
      <w:pPr>
        <w:jc w:val="center"/>
        <w:rPr>
          <w:rFonts w:ascii="方正小标宋_GBK" w:hAnsi="宋体" w:eastAsia="方正小标宋_GBK" w:cs="Times New Roman"/>
          <w:kern w:val="2"/>
          <w:sz w:val="44"/>
          <w:szCs w:val="44"/>
        </w:rPr>
      </w:pPr>
      <w:r>
        <w:rPr>
          <w:rFonts w:hint="eastAsia" w:ascii="方正小标宋_GBK" w:hAnsi="宋体" w:eastAsia="方正小标宋_GBK" w:cs="Times New Roman"/>
          <w:kern w:val="2"/>
          <w:sz w:val="44"/>
          <w:szCs w:val="44"/>
        </w:rPr>
        <w:t>2024年度部门决算公开说明</w:t>
      </w:r>
    </w:p>
    <w:p w14:paraId="5E8E7E43">
      <w:pPr>
        <w:jc w:val="center"/>
      </w:pPr>
      <w:r>
        <w:rPr>
          <w:rFonts w:hint="eastAsia" w:ascii="方正小标宋_GBK" w:hAnsi="宋体" w:eastAsia="方正小标宋_GBK" w:cs="Times New Roman"/>
          <w:kern w:val="2"/>
          <w:sz w:val="44"/>
          <w:szCs w:val="44"/>
        </w:rPr>
        <w:br w:type="page"/>
      </w:r>
    </w:p>
    <w:p w14:paraId="02332FEE">
      <w:pPr>
        <w:jc w:val="center"/>
        <w:rPr>
          <w:rFonts w:ascii="仿宋_GB2312" w:hAnsi="仿宋_GB2312" w:eastAsia="仿宋_GB2312" w:cs="仿宋_GB2312"/>
          <w:b/>
          <w:sz w:val="36"/>
          <w:szCs w:val="36"/>
        </w:rPr>
      </w:pPr>
      <w:r>
        <w:rPr>
          <w:rFonts w:hint="eastAsia" w:ascii="仿宋_GB2312" w:hAnsi="仿宋_GB2312" w:eastAsia="仿宋_GB2312" w:cs="仿宋_GB2312"/>
          <w:b/>
          <w:sz w:val="36"/>
          <w:szCs w:val="36"/>
        </w:rPr>
        <w:t>目录</w:t>
      </w:r>
    </w:p>
    <w:p w14:paraId="0450922D">
      <w:pPr>
        <w:widowControl/>
        <w:jc w:val="left"/>
        <w:rPr>
          <w:rFonts w:ascii="仿宋_GB2312" w:eastAsia="仿宋_GB2312"/>
          <w:sz w:val="32"/>
          <w:szCs w:val="32"/>
        </w:rPr>
      </w:pPr>
      <w:r>
        <w:rPr>
          <w:rFonts w:ascii="仿宋_GB2312" w:eastAsia="仿宋_GB2312"/>
          <w:b/>
          <w:sz w:val="32"/>
          <w:szCs w:val="32"/>
        </w:rPr>
        <w:t>第一部分单位概况</w:t>
      </w:r>
    </w:p>
    <w:p w14:paraId="403CAEA1">
      <w:pPr>
        <w:widowControl/>
        <w:jc w:val="left"/>
        <w:rPr>
          <w:rFonts w:ascii="仿宋_GB2312" w:eastAsia="仿宋_GB2312"/>
          <w:sz w:val="32"/>
          <w:szCs w:val="32"/>
        </w:rPr>
      </w:pPr>
      <w:r>
        <w:rPr>
          <w:rFonts w:ascii="仿宋_GB2312" w:eastAsia="仿宋_GB2312"/>
          <w:sz w:val="32"/>
          <w:szCs w:val="32"/>
        </w:rPr>
        <w:t>一、主要职能</w:t>
      </w:r>
    </w:p>
    <w:p w14:paraId="765E02A3">
      <w:pPr>
        <w:widowControl/>
        <w:jc w:val="left"/>
        <w:rPr>
          <w:rFonts w:ascii="仿宋_GB2312" w:eastAsia="仿宋_GB2312"/>
          <w:sz w:val="32"/>
          <w:szCs w:val="32"/>
        </w:rPr>
      </w:pPr>
      <w:r>
        <w:rPr>
          <w:rFonts w:ascii="仿宋_GB2312" w:eastAsia="仿宋_GB2312"/>
          <w:sz w:val="32"/>
          <w:szCs w:val="32"/>
        </w:rPr>
        <w:t>二、机构设置及人员情况</w:t>
      </w:r>
    </w:p>
    <w:p w14:paraId="27BBF999">
      <w:pPr>
        <w:widowControl/>
        <w:jc w:val="left"/>
        <w:rPr>
          <w:rFonts w:ascii="仿宋_GB2312" w:eastAsia="仿宋_GB2312"/>
          <w:sz w:val="32"/>
          <w:szCs w:val="32"/>
        </w:rPr>
      </w:pPr>
      <w:r>
        <w:rPr>
          <w:rFonts w:ascii="仿宋_GB2312" w:eastAsia="仿宋_GB2312"/>
          <w:b/>
          <w:sz w:val="32"/>
          <w:szCs w:val="32"/>
        </w:rPr>
        <w:t>第二部分部门决算情况说明</w:t>
      </w:r>
    </w:p>
    <w:p w14:paraId="1963252A">
      <w:pPr>
        <w:widowControl/>
        <w:jc w:val="left"/>
        <w:rPr>
          <w:rFonts w:ascii="仿宋_GB2312" w:eastAsia="仿宋_GB2312"/>
          <w:sz w:val="32"/>
          <w:szCs w:val="32"/>
        </w:rPr>
      </w:pPr>
      <w:r>
        <w:rPr>
          <w:rFonts w:ascii="仿宋_GB2312" w:eastAsia="仿宋_GB2312"/>
          <w:sz w:val="32"/>
          <w:szCs w:val="32"/>
        </w:rPr>
        <w:t>一、收入支出决算总体情况说明</w:t>
      </w:r>
    </w:p>
    <w:p w14:paraId="40F40276">
      <w:pPr>
        <w:widowControl/>
        <w:jc w:val="left"/>
        <w:rPr>
          <w:rFonts w:ascii="仿宋_GB2312" w:eastAsia="仿宋_GB2312"/>
          <w:sz w:val="32"/>
          <w:szCs w:val="32"/>
        </w:rPr>
      </w:pPr>
      <w:r>
        <w:rPr>
          <w:rFonts w:ascii="仿宋_GB2312" w:eastAsia="仿宋_GB2312"/>
          <w:sz w:val="32"/>
          <w:szCs w:val="32"/>
        </w:rPr>
        <w:t>二、收入决算情况说明</w:t>
      </w:r>
    </w:p>
    <w:p w14:paraId="4786196B">
      <w:pPr>
        <w:widowControl/>
        <w:jc w:val="left"/>
        <w:rPr>
          <w:rFonts w:ascii="仿宋_GB2312" w:eastAsia="仿宋_GB2312"/>
          <w:sz w:val="32"/>
          <w:szCs w:val="32"/>
        </w:rPr>
      </w:pPr>
      <w:r>
        <w:rPr>
          <w:rFonts w:ascii="仿宋_GB2312" w:eastAsia="仿宋_GB2312"/>
          <w:sz w:val="32"/>
          <w:szCs w:val="32"/>
        </w:rPr>
        <w:t>三、支出决算情况说明</w:t>
      </w:r>
    </w:p>
    <w:p w14:paraId="3A93ADDD">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63D8EC42">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55991299">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5FAADA5">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2536658B">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7B0BEC8F">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3190CD2B">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4A0FF1FE">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2F969067">
      <w:pPr>
        <w:widowControl/>
        <w:jc w:val="left"/>
        <w:rPr>
          <w:rFonts w:ascii="仿宋_GB2312" w:eastAsia="仿宋_GB2312"/>
          <w:sz w:val="32"/>
          <w:szCs w:val="32"/>
        </w:rPr>
      </w:pPr>
      <w:r>
        <w:rPr>
          <w:rFonts w:ascii="仿宋_GB2312" w:eastAsia="仿宋_GB2312"/>
          <w:sz w:val="32"/>
          <w:szCs w:val="32"/>
        </w:rPr>
        <w:t>九、财政拨款“三公”经费支出决算情况说明</w:t>
      </w:r>
    </w:p>
    <w:p w14:paraId="4362E459">
      <w:pPr>
        <w:widowControl/>
        <w:jc w:val="left"/>
        <w:rPr>
          <w:rFonts w:ascii="仿宋_GB2312" w:eastAsia="仿宋_GB2312"/>
          <w:sz w:val="32"/>
          <w:szCs w:val="32"/>
        </w:rPr>
      </w:pPr>
      <w:r>
        <w:rPr>
          <w:rFonts w:ascii="仿宋_GB2312" w:eastAsia="仿宋_GB2312"/>
          <w:sz w:val="32"/>
          <w:szCs w:val="32"/>
        </w:rPr>
        <w:t>十、其他重要事项的情况说明</w:t>
      </w:r>
    </w:p>
    <w:p w14:paraId="07334CB9">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513ADAB">
      <w:pPr>
        <w:widowControl/>
        <w:jc w:val="left"/>
        <w:rPr>
          <w:rFonts w:ascii="仿宋_GB2312" w:eastAsia="仿宋_GB2312"/>
          <w:sz w:val="32"/>
          <w:szCs w:val="32"/>
        </w:rPr>
      </w:pPr>
      <w:r>
        <w:rPr>
          <w:rFonts w:ascii="仿宋_GB2312" w:eastAsia="仿宋_GB2312"/>
          <w:sz w:val="32"/>
          <w:szCs w:val="32"/>
        </w:rPr>
        <w:t>（二）政府采购情况</w:t>
      </w:r>
    </w:p>
    <w:p w14:paraId="53537EAA">
      <w:pPr>
        <w:widowControl/>
        <w:jc w:val="left"/>
        <w:rPr>
          <w:rFonts w:ascii="仿宋_GB2312" w:eastAsia="仿宋_GB2312"/>
          <w:sz w:val="32"/>
          <w:szCs w:val="32"/>
        </w:rPr>
      </w:pPr>
      <w:r>
        <w:rPr>
          <w:rFonts w:ascii="仿宋_GB2312" w:eastAsia="仿宋_GB2312"/>
          <w:sz w:val="32"/>
          <w:szCs w:val="32"/>
        </w:rPr>
        <w:t>（三）国有资产占用情况说明</w:t>
      </w:r>
    </w:p>
    <w:p w14:paraId="53713754">
      <w:pPr>
        <w:widowControl/>
        <w:jc w:val="left"/>
        <w:rPr>
          <w:rFonts w:ascii="仿宋_GB2312" w:eastAsia="仿宋_GB2312"/>
          <w:sz w:val="32"/>
          <w:szCs w:val="32"/>
        </w:rPr>
      </w:pPr>
      <w:r>
        <w:rPr>
          <w:rFonts w:ascii="仿宋_GB2312" w:eastAsia="仿宋_GB2312"/>
          <w:sz w:val="32"/>
          <w:szCs w:val="32"/>
        </w:rPr>
        <w:t>十一、预算绩效的情况说明</w:t>
      </w:r>
    </w:p>
    <w:p w14:paraId="62F5CF6E">
      <w:pPr>
        <w:widowControl/>
        <w:jc w:val="left"/>
        <w:rPr>
          <w:rFonts w:ascii="仿宋_GB2312" w:eastAsia="仿宋_GB2312"/>
          <w:sz w:val="32"/>
          <w:szCs w:val="32"/>
        </w:rPr>
      </w:pPr>
      <w:r>
        <w:rPr>
          <w:rFonts w:ascii="仿宋_GB2312" w:eastAsia="仿宋_GB2312"/>
          <w:sz w:val="32"/>
          <w:szCs w:val="32"/>
        </w:rPr>
        <w:t>十二、其他需说明的事项</w:t>
      </w:r>
    </w:p>
    <w:p w14:paraId="50D4E18B">
      <w:pPr>
        <w:widowControl/>
        <w:jc w:val="left"/>
        <w:rPr>
          <w:rFonts w:ascii="仿宋_GB2312" w:eastAsia="仿宋_GB2312"/>
          <w:sz w:val="32"/>
          <w:szCs w:val="32"/>
        </w:rPr>
      </w:pPr>
      <w:r>
        <w:rPr>
          <w:rFonts w:ascii="仿宋_GB2312" w:eastAsia="仿宋_GB2312"/>
          <w:b/>
          <w:sz w:val="32"/>
          <w:szCs w:val="32"/>
        </w:rPr>
        <w:t>第三部分专业名词解释</w:t>
      </w:r>
    </w:p>
    <w:p w14:paraId="7A0898DF">
      <w:pPr>
        <w:widowControl/>
        <w:jc w:val="left"/>
        <w:rPr>
          <w:rFonts w:ascii="仿宋_GB2312" w:eastAsia="仿宋_GB2312"/>
          <w:sz w:val="32"/>
          <w:szCs w:val="32"/>
        </w:rPr>
      </w:pPr>
      <w:r>
        <w:rPr>
          <w:rFonts w:ascii="仿宋_GB2312" w:eastAsia="仿宋_GB2312"/>
          <w:b/>
          <w:sz w:val="32"/>
          <w:szCs w:val="32"/>
        </w:rPr>
        <w:t>第四部分部门决算报表（见附表）</w:t>
      </w:r>
    </w:p>
    <w:p w14:paraId="56F18024">
      <w:pPr>
        <w:widowControl/>
        <w:jc w:val="left"/>
        <w:rPr>
          <w:rFonts w:ascii="仿宋_GB2312" w:eastAsia="仿宋_GB2312"/>
          <w:sz w:val="32"/>
          <w:szCs w:val="32"/>
        </w:rPr>
      </w:pPr>
      <w:r>
        <w:rPr>
          <w:rFonts w:ascii="仿宋_GB2312" w:eastAsia="仿宋_GB2312"/>
          <w:sz w:val="32"/>
          <w:szCs w:val="32"/>
        </w:rPr>
        <w:t>一、《收入支出决算总表》</w:t>
      </w:r>
    </w:p>
    <w:p w14:paraId="0AAE0C64">
      <w:pPr>
        <w:widowControl/>
        <w:jc w:val="left"/>
        <w:rPr>
          <w:rFonts w:ascii="仿宋_GB2312" w:eastAsia="仿宋_GB2312"/>
          <w:sz w:val="32"/>
          <w:szCs w:val="32"/>
        </w:rPr>
      </w:pPr>
      <w:r>
        <w:rPr>
          <w:rFonts w:ascii="仿宋_GB2312" w:eastAsia="仿宋_GB2312"/>
          <w:sz w:val="32"/>
          <w:szCs w:val="32"/>
        </w:rPr>
        <w:t>二、《收入决算表》</w:t>
      </w:r>
    </w:p>
    <w:p w14:paraId="3E5F21BE">
      <w:pPr>
        <w:widowControl/>
        <w:jc w:val="left"/>
        <w:rPr>
          <w:rFonts w:ascii="仿宋_GB2312" w:eastAsia="仿宋_GB2312"/>
          <w:sz w:val="32"/>
          <w:szCs w:val="32"/>
        </w:rPr>
      </w:pPr>
      <w:r>
        <w:rPr>
          <w:rFonts w:ascii="仿宋_GB2312" w:eastAsia="仿宋_GB2312"/>
          <w:sz w:val="32"/>
          <w:szCs w:val="32"/>
        </w:rPr>
        <w:t>三、《支出决算表》</w:t>
      </w:r>
    </w:p>
    <w:p w14:paraId="15944DCB">
      <w:pPr>
        <w:widowControl/>
        <w:jc w:val="left"/>
        <w:rPr>
          <w:rFonts w:ascii="仿宋_GB2312" w:eastAsia="仿宋_GB2312"/>
          <w:sz w:val="32"/>
          <w:szCs w:val="32"/>
        </w:rPr>
      </w:pPr>
      <w:r>
        <w:rPr>
          <w:rFonts w:ascii="仿宋_GB2312" w:eastAsia="仿宋_GB2312"/>
          <w:sz w:val="32"/>
          <w:szCs w:val="32"/>
        </w:rPr>
        <w:t>四、《财政拨款收入支出决算总表》</w:t>
      </w:r>
    </w:p>
    <w:p w14:paraId="12ED0939">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2B7DB575">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667C8423">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52CF18CA">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65FADA22">
      <w:pPr>
        <w:widowControl/>
        <w:jc w:val="left"/>
        <w:rPr>
          <w:rFonts w:ascii="仿宋_GB2312" w:eastAsia="仿宋_GB2312"/>
          <w:sz w:val="32"/>
          <w:szCs w:val="32"/>
        </w:rPr>
      </w:pPr>
      <w:r>
        <w:rPr>
          <w:rFonts w:ascii="仿宋_GB2312" w:eastAsia="仿宋_GB2312"/>
          <w:sz w:val="32"/>
          <w:szCs w:val="32"/>
        </w:rPr>
        <w:t>九、《财政拨款“三公”经费支出决算表》</w:t>
      </w:r>
    </w:p>
    <w:p w14:paraId="3AE38C4D">
      <w:pPr>
        <w:widowControl/>
      </w:pPr>
      <w:r>
        <w:rPr>
          <w:sz w:val="0"/>
          <w:szCs w:val="0"/>
        </w:rPr>
        <w:br w:type="page"/>
      </w:r>
    </w:p>
    <w:p w14:paraId="590322F0">
      <w:pPr>
        <w:jc w:val="center"/>
        <w:outlineLvl w:val="0"/>
        <w:rPr>
          <w:rFonts w:ascii="黑体" w:hAnsi="黑体" w:eastAsia="黑体" w:cs="Times New Roman"/>
          <w:kern w:val="2"/>
          <w:sz w:val="32"/>
          <w:szCs w:val="32"/>
        </w:rPr>
      </w:pPr>
      <w:r>
        <w:rPr>
          <w:rFonts w:hint="eastAsia" w:ascii="黑体" w:hAnsi="黑体" w:eastAsia="黑体" w:cs="Times New Roman"/>
          <w:kern w:val="2"/>
          <w:sz w:val="32"/>
          <w:szCs w:val="32"/>
        </w:rPr>
        <w:t>第一部分单位概况</w:t>
      </w:r>
    </w:p>
    <w:p w14:paraId="5DA1E3D3">
      <w:pPr>
        <w:ind w:firstLine="640" w:firstLineChars="200"/>
        <w:outlineLvl w:val="1"/>
        <w:rPr>
          <w:rFonts w:ascii="黑体" w:hAnsi="黑体" w:eastAsia="黑体" w:cs="宋体"/>
          <w:bCs/>
          <w:sz w:val="32"/>
          <w:szCs w:val="32"/>
        </w:rPr>
      </w:pPr>
      <w:r>
        <w:rPr>
          <w:rFonts w:hint="eastAsia" w:ascii="黑体" w:hAnsi="黑体" w:eastAsia="黑体" w:cs="宋体"/>
          <w:bCs/>
          <w:sz w:val="32"/>
          <w:szCs w:val="32"/>
        </w:rPr>
        <w:t>一、主要职能</w:t>
      </w:r>
    </w:p>
    <w:p w14:paraId="1EF63639">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开展农业和农村发展政策及产业促进研究，编制农业综合发展规划和各专项规划；承担农村能源与环境保护工程、设施农业和特色农作物工程、农产品加工工程有关技术、设施的研究与推广工作；收集、整理农业区划资料等。</w:t>
      </w:r>
    </w:p>
    <w:p w14:paraId="6C457C78">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14:paraId="5DAB1E7F">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新疆维吾尔自治区农业规划研究院2024年度，实有人数17人，其中：在职人员13人，较上年无变化；离休人员0人，较上年无变化；退休人员4人，较上年无变化；</w:t>
      </w:r>
    </w:p>
    <w:p w14:paraId="210F81C3">
      <w:pPr>
        <w:ind w:firstLine="640" w:firstLineChars="200"/>
        <w:rPr>
          <w:rFonts w:ascii="仿宋_GB2312" w:eastAsia="仿宋_GB2312"/>
          <w:sz w:val="32"/>
          <w:szCs w:val="32"/>
        </w:rPr>
      </w:pPr>
      <w:r>
        <w:rPr>
          <w:rFonts w:hint="eastAsia" w:ascii="仿宋_GB2312" w:hAnsi="Times New Roman" w:eastAsia="仿宋_GB2312" w:cs="Times New Roman"/>
          <w:kern w:val="2"/>
          <w:sz w:val="32"/>
          <w:szCs w:val="32"/>
        </w:rPr>
        <w:t>新疆维吾尔自治区农业规划研究院无下属预算单位，下设1个处室，分别是：办公室。</w:t>
      </w:r>
    </w:p>
    <w:p w14:paraId="09BD5D4F">
      <w:pPr>
        <w:widowControl/>
      </w:pPr>
      <w:r>
        <w:rPr>
          <w:sz w:val="0"/>
          <w:szCs w:val="0"/>
        </w:rPr>
        <w:br w:type="page"/>
      </w:r>
    </w:p>
    <w:p w14:paraId="08EFF1BE">
      <w:pPr>
        <w:widowControl/>
        <w:jc w:val="center"/>
        <w:outlineLvl w:val="0"/>
        <w:rPr>
          <w:rFonts w:ascii="黑体" w:eastAsia="黑体"/>
          <w:sz w:val="32"/>
          <w:szCs w:val="32"/>
        </w:rPr>
      </w:pPr>
      <w:r>
        <w:rPr>
          <w:rFonts w:ascii="黑体" w:eastAsia="黑体"/>
          <w:sz w:val="32"/>
          <w:szCs w:val="32"/>
        </w:rPr>
        <w:t>第二部分部门决算情况说明</w:t>
      </w:r>
    </w:p>
    <w:p w14:paraId="61EB0B37">
      <w:pPr>
        <w:ind w:firstLine="640" w:firstLineChars="200"/>
        <w:outlineLvl w:val="1"/>
        <w:rPr>
          <w:rFonts w:ascii="黑体" w:hAnsi="黑体" w:eastAsia="黑体" w:cs="宋体"/>
          <w:bCs/>
          <w:sz w:val="32"/>
          <w:szCs w:val="32"/>
        </w:rPr>
      </w:pPr>
      <w:r>
        <w:rPr>
          <w:rFonts w:hint="eastAsia" w:ascii="黑体" w:hAnsi="黑体" w:eastAsia="黑体" w:cs="宋体"/>
          <w:bCs/>
          <w:sz w:val="32"/>
          <w:szCs w:val="32"/>
        </w:rPr>
        <w:t>一、收入支出决算总体情况说明</w:t>
      </w:r>
    </w:p>
    <w:p w14:paraId="2147152E">
      <w:pPr>
        <w:widowControl/>
        <w:ind w:firstLine="643" w:firstLineChars="200"/>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2024年度收入总计400.21万元</w:t>
      </w:r>
      <w:r>
        <w:rPr>
          <w:rFonts w:ascii="仿宋_GB2312" w:eastAsia="仿宋_GB2312"/>
          <w:sz w:val="32"/>
          <w:szCs w:val="32"/>
        </w:rPr>
        <w:t>，</w:t>
      </w:r>
      <w:r>
        <w:rPr>
          <w:rFonts w:hint="eastAsia" w:ascii="仿宋_GB2312" w:hAnsi="Times New Roman" w:eastAsia="仿宋_GB2312" w:cs="Times New Roman"/>
          <w:kern w:val="2"/>
          <w:sz w:val="32"/>
          <w:szCs w:val="32"/>
        </w:rPr>
        <w:t>其中：本年收入合计343.86万元，使用非财政拨款结余（含专用结余）0.00万元，年初结转和结余56.35万元。</w:t>
      </w:r>
    </w:p>
    <w:p w14:paraId="22CF4B8E">
      <w:pPr>
        <w:widowControl/>
        <w:ind w:firstLine="643" w:firstLineChars="200"/>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2024年度支出总计400.21万元，</w:t>
      </w:r>
      <w:r>
        <w:rPr>
          <w:rFonts w:hint="eastAsia" w:ascii="仿宋_GB2312" w:hAnsi="Times New Roman" w:eastAsia="仿宋_GB2312" w:cs="Times New Roman"/>
          <w:kern w:val="2"/>
          <w:sz w:val="32"/>
          <w:szCs w:val="32"/>
        </w:rPr>
        <w:t>其中：本年支出合计360.15万元，结余分配0.00万元，年末结转和结余40.06万元。</w:t>
      </w:r>
    </w:p>
    <w:p w14:paraId="16DAF020">
      <w:pPr>
        <w:widowControl/>
        <w:ind w:firstLine="643" w:firstLineChars="200"/>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收入支出总体与上年相比，</w:t>
      </w:r>
      <w:r>
        <w:rPr>
          <w:rFonts w:hint="eastAsia" w:ascii="仿宋_GB2312" w:hAnsi="Times New Roman" w:eastAsia="仿宋_GB2312" w:cs="Times New Roman"/>
          <w:kern w:val="2"/>
          <w:sz w:val="32"/>
          <w:szCs w:val="32"/>
        </w:rPr>
        <w:t>增加51.01万元，增长14.61%，主要原因是：一是本年在职职工正常晋升、基本工资调增，致基本收入增加；二是本年承担着产业集群、产业强镇项目绩效工作，财政追加项目经费。</w:t>
      </w:r>
    </w:p>
    <w:p w14:paraId="74D79743">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14:paraId="2970C563">
      <w:pPr>
        <w:widowControl/>
        <w:ind w:firstLine="643" w:firstLineChars="200"/>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本年收入343.86万元，</w:t>
      </w:r>
      <w:r>
        <w:rPr>
          <w:rFonts w:hint="eastAsia" w:ascii="仿宋_GB2312" w:hAnsi="Times New Roman" w:eastAsia="仿宋_GB2312" w:cs="Times New Roman"/>
          <w:kern w:val="2"/>
          <w:sz w:val="32"/>
          <w:szCs w:val="32"/>
        </w:rPr>
        <w:t>其中：财政拨款收入341.91万元,占99.43%；上级补助收入0.00万元,占0.00%；事业收入0.00万元，占0.00%；经营收入0.00万元,占0.00%；附属单位上缴收入0.00万元，占0.00%；其他收入1.95万元，占0.57%。</w:t>
      </w:r>
    </w:p>
    <w:p w14:paraId="70EDA50B">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14:paraId="333B1043">
      <w:pPr>
        <w:widowControl/>
        <w:ind w:firstLine="643" w:firstLineChars="200"/>
        <w:rPr>
          <w:rFonts w:ascii="仿宋_GB2312" w:eastAsia="仿宋_GB2312"/>
          <w:sz w:val="32"/>
          <w:szCs w:val="32"/>
        </w:rPr>
      </w:pPr>
      <w:r>
        <w:rPr>
          <w:rFonts w:hint="eastAsia" w:ascii="仿宋_GB2312" w:hAnsi="Times New Roman" w:eastAsia="仿宋_GB2312" w:cs="Times New Roman"/>
          <w:b/>
          <w:bCs/>
          <w:kern w:val="2"/>
          <w:sz w:val="32"/>
          <w:szCs w:val="32"/>
        </w:rPr>
        <w:t>本年支出360.15万元，</w:t>
      </w:r>
      <w:r>
        <w:rPr>
          <w:rFonts w:hint="eastAsia" w:ascii="仿宋_GB2312" w:hAnsi="Times New Roman" w:eastAsia="仿宋_GB2312" w:cs="Times New Roman"/>
          <w:kern w:val="2"/>
          <w:sz w:val="32"/>
          <w:szCs w:val="32"/>
        </w:rPr>
        <w:t>其中：基本支出256.44万元，占71.20%；项目支出103.72万元，占28.80%；上缴上级支出0.00万元，占0.00%；经营支出0.00万元，占0.00%；对附属单位补助支出0.00万元，占0.00%。</w:t>
      </w:r>
    </w:p>
    <w:p w14:paraId="3E359B46">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3D4BA6FF">
      <w:pPr>
        <w:widowControl/>
        <w:ind w:firstLine="643" w:firstLineChars="200"/>
        <w:rPr>
          <w:rFonts w:ascii="仿宋_GB2312" w:eastAsia="仿宋_GB2312"/>
          <w:sz w:val="32"/>
          <w:szCs w:val="32"/>
        </w:rPr>
      </w:pPr>
      <w:r>
        <w:rPr>
          <w:rFonts w:hint="eastAsia" w:ascii="仿宋_GB2312" w:hAnsi="Times New Roman" w:eastAsia="仿宋_GB2312" w:cs="Times New Roman"/>
          <w:b/>
          <w:bCs/>
          <w:kern w:val="2"/>
          <w:sz w:val="32"/>
          <w:szCs w:val="32"/>
        </w:rPr>
        <w:t>2024年度财政拨款收入总计349.05万元，</w:t>
      </w:r>
      <w:r>
        <w:rPr>
          <w:rFonts w:hint="eastAsia" w:ascii="仿宋_GB2312" w:hAnsi="Times New Roman" w:eastAsia="仿宋_GB2312" w:cs="Times New Roman"/>
          <w:kern w:val="2"/>
          <w:sz w:val="32"/>
          <w:szCs w:val="32"/>
        </w:rPr>
        <w:t>其中：年初财政拨款结转和结余7.14万元，本年财政拨款收入341.91万元。</w:t>
      </w:r>
      <w:r>
        <w:rPr>
          <w:rFonts w:hint="eastAsia" w:ascii="仿宋_GB2312" w:hAnsi="Times New Roman" w:eastAsia="仿宋_GB2312" w:cs="Times New Roman"/>
          <w:b/>
          <w:bCs/>
          <w:kern w:val="2"/>
          <w:sz w:val="32"/>
          <w:szCs w:val="32"/>
        </w:rPr>
        <w:t>财政拨款支出总计349.05万元，</w:t>
      </w:r>
      <w:r>
        <w:rPr>
          <w:rFonts w:hint="eastAsia" w:ascii="仿宋_GB2312" w:hAnsi="Times New Roman" w:eastAsia="仿宋_GB2312" w:cs="Times New Roman"/>
          <w:kern w:val="2"/>
          <w:sz w:val="32"/>
          <w:szCs w:val="32"/>
        </w:rPr>
        <w:t>其中：年末财政拨款结转和结余5.07万元，本年财政拨款支出343.98万元。</w:t>
      </w:r>
    </w:p>
    <w:p w14:paraId="606F1117">
      <w:pPr>
        <w:widowControl/>
        <w:ind w:firstLine="643" w:firstLineChars="200"/>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财政拨款收入支出总体与上年相比，</w:t>
      </w:r>
      <w:r>
        <w:rPr>
          <w:rFonts w:hint="eastAsia" w:ascii="仿宋_GB2312" w:hAnsi="Times New Roman" w:eastAsia="仿宋_GB2312" w:cs="Times New Roman"/>
          <w:kern w:val="2"/>
          <w:sz w:val="32"/>
          <w:szCs w:val="32"/>
        </w:rPr>
        <w:t>增加49.06万元，增长16.35%，主要原因是：本年承担着产业集群、产业强镇项目绩效工作，财政追加项目经费。</w:t>
      </w:r>
      <w:r>
        <w:rPr>
          <w:rFonts w:hint="eastAsia" w:ascii="仿宋_GB2312" w:hAnsi="Times New Roman" w:eastAsia="仿宋_GB2312" w:cs="Times New Roman"/>
          <w:b/>
          <w:bCs/>
          <w:kern w:val="2"/>
          <w:sz w:val="32"/>
          <w:szCs w:val="32"/>
        </w:rPr>
        <w:t>与年初预算相比，</w:t>
      </w:r>
      <w:r>
        <w:rPr>
          <w:rFonts w:hint="eastAsia" w:ascii="仿宋_GB2312" w:hAnsi="Times New Roman" w:eastAsia="仿宋_GB2312" w:cs="Times New Roman"/>
          <w:kern w:val="2"/>
          <w:sz w:val="32"/>
          <w:szCs w:val="32"/>
        </w:rPr>
        <w:t>年初预算数398.88万元，决算数349.05万元，预决算差异率-12.49%，主要原因是：本年承担着产业集群、产业强镇项目，因机构改革，该单位13名职工全部分流至其他单位，造成该项目未及时实施，项目资金结余。</w:t>
      </w:r>
    </w:p>
    <w:p w14:paraId="083231B1">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7477C54C">
      <w:pPr>
        <w:ind w:firstLine="640" w:firstLineChars="200"/>
        <w:outlineLvl w:val="2"/>
        <w:rPr>
          <w:rFonts w:ascii="黑体" w:hAnsi="黑体" w:eastAsia="黑体" w:cs="Times New Roman"/>
          <w:kern w:val="2"/>
          <w:sz w:val="32"/>
          <w:szCs w:val="32"/>
        </w:rPr>
      </w:pPr>
      <w:r>
        <w:rPr>
          <w:rFonts w:hint="eastAsia" w:ascii="黑体" w:hAnsi="黑体" w:eastAsia="黑体" w:cs="Times New Roman"/>
          <w:kern w:val="2"/>
          <w:sz w:val="32"/>
          <w:szCs w:val="32"/>
        </w:rPr>
        <w:t>（一）一般公共预算财政拨款支出决算总体情况</w:t>
      </w:r>
    </w:p>
    <w:p w14:paraId="3008CC84">
      <w:pPr>
        <w:widowControl/>
        <w:ind w:firstLine="643" w:firstLineChars="200"/>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2024年度一般公共预算财政拨款支出343.98万元，</w:t>
      </w:r>
      <w:r>
        <w:rPr>
          <w:rFonts w:hint="eastAsia" w:ascii="仿宋_GB2312" w:hAnsi="Times New Roman" w:eastAsia="仿宋_GB2312" w:cs="Times New Roman"/>
          <w:kern w:val="2"/>
          <w:sz w:val="32"/>
          <w:szCs w:val="32"/>
        </w:rPr>
        <w:t>占本年支出合计的95.51%。</w:t>
      </w:r>
      <w:r>
        <w:rPr>
          <w:rFonts w:hint="eastAsia" w:ascii="仿宋_GB2312" w:hAnsi="Times New Roman" w:eastAsia="仿宋_GB2312" w:cs="Times New Roman"/>
          <w:b/>
          <w:bCs/>
          <w:kern w:val="2"/>
          <w:sz w:val="32"/>
          <w:szCs w:val="32"/>
        </w:rPr>
        <w:t>与上年相比，</w:t>
      </w:r>
      <w:r>
        <w:rPr>
          <w:rFonts w:hint="eastAsia" w:ascii="仿宋_GB2312" w:hAnsi="Times New Roman" w:eastAsia="仿宋_GB2312" w:cs="Times New Roman"/>
          <w:kern w:val="2"/>
          <w:sz w:val="32"/>
          <w:szCs w:val="32"/>
        </w:rPr>
        <w:t>增加51.13万元，增长17.46%，主要原因是：本年承担着产业集群、产业强镇项目绩效工作，财政追加项目经费。</w:t>
      </w:r>
      <w:r>
        <w:rPr>
          <w:rFonts w:hint="eastAsia" w:ascii="仿宋_GB2312" w:hAnsi="Times New Roman" w:eastAsia="仿宋_GB2312" w:cs="Times New Roman"/>
          <w:b/>
          <w:bCs/>
          <w:kern w:val="2"/>
          <w:sz w:val="32"/>
          <w:szCs w:val="32"/>
        </w:rPr>
        <w:t>与年初预算相比，</w:t>
      </w:r>
      <w:r>
        <w:rPr>
          <w:rFonts w:hint="eastAsia" w:ascii="仿宋_GB2312" w:hAnsi="Times New Roman" w:eastAsia="仿宋_GB2312" w:cs="Times New Roman"/>
          <w:kern w:val="2"/>
          <w:sz w:val="32"/>
          <w:szCs w:val="32"/>
        </w:rPr>
        <w:t>年初预算数398.88万元，决算数343.98万元，预决算差异率-13.76%，主要原因是：本年承担着产业集群、产业强镇项目，因机构改革，该单位13名职工全部分流至其他单位，造成该项目未及时实施，项目资金结余。</w:t>
      </w:r>
    </w:p>
    <w:p w14:paraId="6BDCD0AF">
      <w:pPr>
        <w:ind w:firstLine="640" w:firstLineChars="200"/>
        <w:outlineLvl w:val="2"/>
        <w:rPr>
          <w:rFonts w:ascii="黑体" w:hAnsi="黑体" w:eastAsia="黑体" w:cs="Times New Roman"/>
          <w:kern w:val="2"/>
          <w:sz w:val="32"/>
          <w:szCs w:val="32"/>
        </w:rPr>
      </w:pPr>
      <w:r>
        <w:rPr>
          <w:rFonts w:hint="eastAsia" w:ascii="黑体" w:hAnsi="黑体" w:eastAsia="黑体" w:cs="Times New Roman"/>
          <w:kern w:val="2"/>
          <w:sz w:val="32"/>
          <w:szCs w:val="32"/>
        </w:rPr>
        <w:t>（二）一般公共预算财政拨款支出决算结构情况</w:t>
      </w:r>
    </w:p>
    <w:p w14:paraId="3117B395">
      <w:pPr>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1.社会保障和就业支出（类）36.09万元，占10.49%。</w:t>
      </w:r>
    </w:p>
    <w:p w14:paraId="4954C73D">
      <w:pPr>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2.卫生健康支出（类）21.20万元，占6.16%。</w:t>
      </w:r>
    </w:p>
    <w:p w14:paraId="3766352E">
      <w:pPr>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3.农林水支出（类）268.70万元，占78.12%。</w:t>
      </w:r>
    </w:p>
    <w:p w14:paraId="630D6A69">
      <w:pPr>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4.住房保障支出（类）18.00万元，占5.23%。</w:t>
      </w:r>
    </w:p>
    <w:p w14:paraId="718C1E81">
      <w:pPr>
        <w:ind w:firstLine="640" w:firstLineChars="200"/>
        <w:outlineLvl w:val="2"/>
        <w:rPr>
          <w:rFonts w:ascii="黑体" w:hAnsi="黑体" w:eastAsia="黑体" w:cs="Times New Roman"/>
          <w:kern w:val="2"/>
          <w:sz w:val="32"/>
          <w:szCs w:val="32"/>
        </w:rPr>
      </w:pPr>
      <w:r>
        <w:rPr>
          <w:rFonts w:hint="eastAsia" w:ascii="黑体" w:hAnsi="黑体" w:eastAsia="黑体" w:cs="Times New Roman"/>
          <w:kern w:val="2"/>
          <w:sz w:val="32"/>
          <w:szCs w:val="32"/>
        </w:rPr>
        <w:t>（三）一般公共预算财政拨款支出决算具体情况</w:t>
      </w:r>
    </w:p>
    <w:p w14:paraId="5E9CC6F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1.社会保障和就业支出（类）行政事业单位养老支出（款）事业单位离退休（项）：支出决算数为9.10万元，比上年决算增加1.05万元，增长13.04%，主要原因是：退休人员绩效调增，人员经费增加。</w:t>
      </w:r>
    </w:p>
    <w:p w14:paraId="249422D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26.99万元，比上年决算增加8.27万元，增长44.18%，主要原因是：在职人员正常晋升，工资调标，致养老金缴费基数较上年增加，支出相应增加。</w:t>
      </w:r>
    </w:p>
    <w:p w14:paraId="4716224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卫生健康支出（类）行政事业单位医疗（款）事业单位医疗（项）：支出决算数为11.52万元，比上年决算增加2.03万元，增长21.39%，主要原因是：在职人员正常晋升，工资调标，致事业单位医疗缴费基数较上年增加，支出相应增加。</w:t>
      </w:r>
    </w:p>
    <w:p w14:paraId="7CC820C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卫生健康支出（类）行政事业单位医疗（款）公务员医疗补助（项）：支出决算数为9.68万元，比上年决算增加0.74万元，增长8.28%，主要原因是：在职人员正常晋升，工资调标，致公务员医疗补助缴费基数较上年增加，支出相应增加。</w:t>
      </w:r>
    </w:p>
    <w:p w14:paraId="08EBAF8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5.农林水支出（类）农业农村（款）事业运行（项）：支出决算数为181.15万元，比上年决算增加1.61万元，增长0.90%，主要原因是：本年在职人员正常晋升，工资调标等，致事业运行较上年增加，支出相应增加。</w:t>
      </w:r>
    </w:p>
    <w:p w14:paraId="0AE5108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6.农林水支出（类）农业农村（款）农业生产发展（项）：支出决算数为87.54万元，比上年决算增加36.54万元，增长71.65%，主要原因是：本年承担着产业集群、产业强镇项目绩效工作，财政追加项目经费。</w:t>
      </w:r>
    </w:p>
    <w:p w14:paraId="64EF774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住房保障支出（类）住房改革支出（款）住房公积金（项）：支出决算数为18.00万元，比上年决算增加0.90万元，增长5.26%，主要原因是：本年在职人员正常晋升，工资调标等，住房公积金缴费基数较上年增加，支出相应增加。</w:t>
      </w:r>
    </w:p>
    <w:p w14:paraId="427CF2AF">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10AD8854">
      <w:pPr>
        <w:widowControl/>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2024年度一般公共预算财政拨款基本支出256.44万元，其中：</w:t>
      </w:r>
      <w:r>
        <w:rPr>
          <w:rFonts w:hint="eastAsia" w:ascii="仿宋_GB2312" w:hAnsi="Times New Roman" w:eastAsia="仿宋_GB2312" w:cs="Times New Roman"/>
          <w:b/>
          <w:bCs/>
          <w:kern w:val="2"/>
          <w:sz w:val="32"/>
          <w:szCs w:val="32"/>
        </w:rPr>
        <w:t>人员经费245.75万元，</w:t>
      </w:r>
      <w:r>
        <w:rPr>
          <w:rFonts w:hint="eastAsia" w:ascii="仿宋_GB2312" w:hAnsi="Times New Roman" w:eastAsia="仿宋_GB2312" w:cs="Times New Roman"/>
          <w:kern w:val="2"/>
          <w:sz w:val="32"/>
          <w:szCs w:val="32"/>
        </w:rPr>
        <w:t>包括：基本工资、津贴补贴、奖金、绩效工资、机关事业单位基本养老保险缴费、职工基本医疗保险缴费、公务员医疗补助缴费、其他社会保障缴费、住房公积金、其他工资福利支出、退休费和其他对个人和家庭的补助。</w:t>
      </w:r>
    </w:p>
    <w:p w14:paraId="76957482">
      <w:pPr>
        <w:widowControl/>
        <w:ind w:firstLine="643" w:firstLineChars="200"/>
        <w:rPr>
          <w:rFonts w:ascii="仿宋_GB2312" w:eastAsia="仿宋_GB2312"/>
          <w:sz w:val="32"/>
          <w:szCs w:val="32"/>
        </w:rPr>
      </w:pPr>
      <w:r>
        <w:rPr>
          <w:rFonts w:hint="eastAsia" w:ascii="仿宋_GB2312" w:hAnsi="Times New Roman" w:eastAsia="仿宋_GB2312" w:cs="Times New Roman"/>
          <w:b/>
          <w:bCs/>
          <w:kern w:val="2"/>
          <w:sz w:val="32"/>
          <w:szCs w:val="32"/>
        </w:rPr>
        <w:t>公用经费10.68万元，</w:t>
      </w:r>
      <w:r>
        <w:rPr>
          <w:rFonts w:hint="eastAsia" w:ascii="仿宋_GB2312" w:hAnsi="Times New Roman" w:eastAsia="仿宋_GB2312" w:cs="Times New Roman"/>
          <w:kern w:val="2"/>
          <w:sz w:val="32"/>
          <w:szCs w:val="32"/>
        </w:rPr>
        <w:t>包括：办公费、水费、电费、邮电费、取暖费、差旅费、工会经费、福利费、公务用车运行维护费、其他交通费用和其他商品和服务支出。</w:t>
      </w:r>
    </w:p>
    <w:p w14:paraId="0EB04DE3">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1D48BE95">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本单位本年度无政府性基金预算财政拨款收入支出及结转和结余政府性基金预算财政拨款收入支出决算表为空表。</w:t>
      </w:r>
    </w:p>
    <w:p w14:paraId="318171A4">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24923076">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本单位本年度无国有资本经营预算财政拨款收入、支出及结转和结余，国有资本经营预算财政拨款收入支出决算表为空表。</w:t>
      </w:r>
    </w:p>
    <w:p w14:paraId="675793BC">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63972ED6">
      <w:pPr>
        <w:widowControl/>
        <w:ind w:firstLine="643" w:firstLineChars="200"/>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2024年度财政拨款“三公”经费支出1.30万元，</w:t>
      </w:r>
      <w:r>
        <w:rPr>
          <w:rFonts w:hint="eastAsia" w:ascii="仿宋_GB2312" w:hAnsi="Times New Roman" w:eastAsia="仿宋_GB2312" w:cs="Times New Roman"/>
          <w:kern w:val="2"/>
          <w:sz w:val="32"/>
          <w:szCs w:val="32"/>
        </w:rPr>
        <w:t>与上年相比无变化，主要原因是：</w:t>
      </w:r>
      <w:r>
        <w:rPr>
          <w:rFonts w:hint="eastAsia" w:ascii="仿宋_GB2312" w:hAnsi="Times New Roman" w:eastAsia="仿宋_GB2312" w:cs="Times New Roman"/>
          <w:kern w:val="2"/>
          <w:sz w:val="32"/>
          <w:szCs w:val="32"/>
          <w:lang w:val="en-US" w:eastAsia="zh-CN"/>
        </w:rPr>
        <w:t>本单位“三公”经费与上年一致无变化</w:t>
      </w:r>
      <w:r>
        <w:rPr>
          <w:rFonts w:hint="eastAsia" w:ascii="仿宋_GB2312" w:hAnsi="Times New Roman" w:eastAsia="仿宋_GB2312" w:cs="Times New Roman"/>
          <w:kern w:val="2"/>
          <w:sz w:val="32"/>
          <w:szCs w:val="32"/>
        </w:rPr>
        <w:t>。其中：因公出国（境）费支出0.00万元,占0.00%，与上年相比无变化，主要原因是：我单位无因公出国（境）费支出；公务用车购置及运行维护费支出1.30万元，占100.00%，与上年相比无变化，主要原因是：</w:t>
      </w:r>
      <w:r>
        <w:rPr>
          <w:rFonts w:hint="eastAsia" w:ascii="仿宋_GB2312" w:hAnsi="Times New Roman" w:eastAsia="仿宋_GB2312" w:cs="Times New Roman"/>
          <w:kern w:val="2"/>
          <w:sz w:val="32"/>
          <w:szCs w:val="32"/>
          <w:lang w:val="en-US" w:eastAsia="zh-CN"/>
        </w:rPr>
        <w:t>本单位公务用车运行维护费与上年一致无变化</w:t>
      </w:r>
      <w:r>
        <w:rPr>
          <w:rFonts w:hint="eastAsia" w:ascii="仿宋_GB2312" w:hAnsi="Times New Roman" w:eastAsia="仿宋_GB2312" w:cs="Times New Roman"/>
          <w:kern w:val="2"/>
          <w:sz w:val="32"/>
          <w:szCs w:val="32"/>
        </w:rPr>
        <w:t>；公务接待费支出0.00万元，占0.00%，与上年相比无变化，主要原因是：我单位无公务接待费支出。</w:t>
      </w:r>
    </w:p>
    <w:p w14:paraId="079D9567">
      <w:pPr>
        <w:ind w:firstLine="643" w:firstLineChars="200"/>
        <w:rPr>
          <w:rFonts w:ascii="仿宋_GB2312" w:hAnsi="Times New Roman" w:eastAsia="仿宋_GB2312" w:cs="Times New Roman"/>
          <w:b/>
          <w:bCs/>
          <w:kern w:val="2"/>
          <w:sz w:val="32"/>
          <w:szCs w:val="32"/>
        </w:rPr>
      </w:pPr>
      <w:r>
        <w:rPr>
          <w:rFonts w:hint="eastAsia" w:ascii="仿宋_GB2312" w:hAnsi="Times New Roman" w:eastAsia="仿宋_GB2312" w:cs="Times New Roman"/>
          <w:b/>
          <w:bCs/>
          <w:kern w:val="2"/>
          <w:sz w:val="32"/>
          <w:szCs w:val="32"/>
        </w:rPr>
        <w:t>具体情况如下：</w:t>
      </w:r>
    </w:p>
    <w:p w14:paraId="2491CB6E">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因公出国（境）费支出0.00万元，开支内容包括我单位无因公出国（境）费支出。单位全年安排的因公出国（境）团组0个，因公出国（境）0人次。</w:t>
      </w:r>
    </w:p>
    <w:p w14:paraId="1476D318">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公务用车购置及运行维护费1.30万元，其中：公务用车购置费0.00万元，公务用车运行维护费1.30万元。公务用车运行维护费开支内容包括车辆燃油，车辆保险，车辆维修及年检费用等费用。公务用车购置数0辆，公务用车保有量2辆。国有资产占用情况中固定资产车辆2辆，与公务用车保有量差异原因是：无差异。</w:t>
      </w:r>
    </w:p>
    <w:p w14:paraId="30EDB4A6">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公务接待费0.00万元，开支内容包括我单位无公务接待费。单位全年安排的国内公务接待0批次，0人次。</w:t>
      </w:r>
    </w:p>
    <w:p w14:paraId="307B815B">
      <w:pPr>
        <w:widowControl/>
        <w:ind w:firstLine="643" w:firstLineChars="200"/>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与全年预算相比，</w:t>
      </w:r>
      <w:r>
        <w:rPr>
          <w:rFonts w:hint="eastAsia" w:ascii="仿宋_GB2312" w:hAnsi="Times New Roman" w:eastAsia="仿宋_GB2312" w:cs="Times New Roman"/>
          <w:kern w:val="2"/>
          <w:sz w:val="32"/>
          <w:szCs w:val="32"/>
        </w:rPr>
        <w:t>财政拨款“三公”经费支出全年预算数1.30万元，决算数1.30万元，预决算差异率0.00%，主要原因是：严格按照预算执行，预决算无差异。其中：因公出国（境）费全年预算数0.00万元，决算数0.00万元，预决算差异率0.00%，主要原因是：我单位无因公出国（境）费。公务用车购置费全年预算数0.00万元，决算数0.00万元，预决算差异率0.00%，主要原因是：我单位未购置车辆。公务用车运行维护费全年预算数1.30万元，决算数1.30万元，预决算差异率0.00%，主要原因是：严格按照预算执行，预决算无差异。公务接待费全年预算数0.00万元，决算数0.00万元，预决算差异率0.00%，主要原因是：我单位无公务接待费。</w:t>
      </w:r>
    </w:p>
    <w:p w14:paraId="79C45C5C">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14:paraId="1FAB6ED7">
      <w:pPr>
        <w:ind w:firstLine="640" w:firstLineChars="200"/>
        <w:outlineLvl w:val="2"/>
        <w:rPr>
          <w:rFonts w:ascii="黑体" w:hAnsi="黑体" w:eastAsia="黑体" w:cs="Times New Roman"/>
          <w:kern w:val="2"/>
          <w:sz w:val="32"/>
          <w:szCs w:val="32"/>
        </w:rPr>
      </w:pPr>
      <w:r>
        <w:rPr>
          <w:rFonts w:hint="eastAsia" w:ascii="黑体" w:hAnsi="黑体" w:eastAsia="黑体" w:cs="Times New Roman"/>
          <w:kern w:val="2"/>
          <w:sz w:val="32"/>
          <w:szCs w:val="32"/>
        </w:rPr>
        <w:t>（一）机关运行经费及公用经费支出情况</w:t>
      </w:r>
    </w:p>
    <w:p w14:paraId="5D84EC4A">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2024年度新疆维吾尔自治区农业规划研究院</w:t>
      </w:r>
      <w:r>
        <w:rPr>
          <w:rFonts w:hint="eastAsia" w:ascii="仿宋_GB2312" w:hAnsi="Times New Roman" w:eastAsia="仿宋_GB2312" w:cs="Times New Roman"/>
          <w:kern w:val="2"/>
          <w:sz w:val="32"/>
          <w:szCs w:val="32"/>
          <w:lang w:eastAsia="zh-CN"/>
        </w:rPr>
        <w:t>单位</w:t>
      </w:r>
      <w:r>
        <w:rPr>
          <w:rFonts w:hint="eastAsia" w:ascii="仿宋_GB2312" w:hAnsi="Times New Roman" w:eastAsia="仿宋_GB2312" w:cs="Times New Roman"/>
          <w:kern w:val="2"/>
          <w:sz w:val="32"/>
          <w:szCs w:val="32"/>
        </w:rPr>
        <w:t>（事业单位）公用经费支出10.68万元，比上年减少4.58万元，下降30.01%，主要原因是：认真贯彻落实中央八项规定精神和“过紧日子”要求，减少一般性支出。</w:t>
      </w:r>
    </w:p>
    <w:p w14:paraId="1E1C4F1D">
      <w:pPr>
        <w:ind w:firstLine="640" w:firstLineChars="200"/>
        <w:outlineLvl w:val="2"/>
        <w:rPr>
          <w:rFonts w:ascii="黑体" w:hAnsi="黑体" w:eastAsia="黑体" w:cs="Times New Roman"/>
          <w:kern w:val="2"/>
          <w:sz w:val="32"/>
          <w:szCs w:val="32"/>
        </w:rPr>
      </w:pPr>
      <w:r>
        <w:rPr>
          <w:rFonts w:hint="eastAsia" w:ascii="黑体" w:hAnsi="黑体" w:eastAsia="黑体" w:cs="Times New Roman"/>
          <w:kern w:val="2"/>
          <w:sz w:val="32"/>
          <w:szCs w:val="32"/>
        </w:rPr>
        <w:t>（二）政府采购情况</w:t>
      </w:r>
    </w:p>
    <w:p w14:paraId="5A7AE697">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2024年度政府采购支出总额14.40万元，其中：政府采购货物支出2.39万元、政府采购工程支出0.00万元、政府采购服务支出12.01万元。</w:t>
      </w:r>
    </w:p>
    <w:p w14:paraId="152AE9C7">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授予中小企业合同金额13.44万元，占政府采购支出总额的93.33%，其中：授予小微企业合同金额11.71万元，占政府采购支出总额的81.32%。</w:t>
      </w:r>
    </w:p>
    <w:p w14:paraId="090AB548">
      <w:pPr>
        <w:ind w:firstLine="640" w:firstLineChars="200"/>
        <w:outlineLvl w:val="2"/>
        <w:rPr>
          <w:rFonts w:ascii="黑体" w:hAnsi="黑体" w:eastAsia="黑体" w:cs="Times New Roman"/>
          <w:kern w:val="2"/>
          <w:sz w:val="32"/>
          <w:szCs w:val="32"/>
        </w:rPr>
      </w:pPr>
      <w:r>
        <w:rPr>
          <w:rFonts w:hint="eastAsia" w:ascii="黑体" w:hAnsi="黑体" w:eastAsia="黑体" w:cs="Times New Roman"/>
          <w:kern w:val="2"/>
          <w:sz w:val="32"/>
          <w:szCs w:val="32"/>
        </w:rPr>
        <w:t>（三）国有资产占用情况说明</w:t>
      </w:r>
    </w:p>
    <w:p w14:paraId="1D30C263">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截至2024年12月31日，房屋0.00平方米，价值0.00万元。车辆2辆，价值89.92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A0FAC9F">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14:paraId="2D78D57B">
      <w:pPr>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根据预算绩效管理要求，本单位2024年度预算绩效评价项目1个，全年预算数73.00万元，全年执行数48.62万元。预算绩效管理取得的成效：一是确保资金的高效使用，切实发挥财政资金的使用效果；二是严格按照工作职责和相关文件依据，确保专款专用；三是严格控制资金的流出方向，确保资金的合规性。发现的问题及原因：一是在细化项目实施方案方面存在不足。分项任务的方案制定不够细致，对可能存在的影响项目全面实施完成的有关因素考虑不全面，未及时制定其他加快实施的应对措施；二是在明确项目绩效管理工作责任方面存在不足。该项目的分项指标多、技术要求高、执行和落实到位需要加大分工协作。但在实施中存在分项落实责任主体不细致问题，对项目执行中存在的问题整改推进不够，人员责任不明确，需要在今后工作中予以重视。下一步改进措施：一是项目实行法人负责制，由承担人等人员组成项目办公室，对项目实行统一管理，主要负责项目任务的分解，对项目承担人的任务进展进行动态跟踪，即使处理和协调解决项目在执行过程中出现的问题；二是在项目执行过程中，加强对项目进展的监督检查，实行月考核或检查制度。</w:t>
      </w:r>
      <w:r>
        <w:rPr>
          <w:rFonts w:hint="eastAsia" w:ascii="仿宋_GB2312" w:hAnsi="Times New Roman" w:eastAsia="仿宋_GB2312" w:cs="Times New Roman"/>
          <w:kern w:val="2"/>
          <w:sz w:val="32"/>
          <w:szCs w:val="32"/>
          <w:lang w:val="en-US" w:eastAsia="zh-CN"/>
        </w:rPr>
        <w:t>具体项目自评情况附绩效自评表</w:t>
      </w:r>
      <w:r>
        <w:rPr>
          <w:rFonts w:hint="eastAsia" w:ascii="仿宋_GB2312" w:hAnsi="Times New Roman" w:eastAsia="仿宋_GB2312" w:cs="Times New Roman"/>
          <w:kern w:val="2"/>
          <w:sz w:val="32"/>
          <w:szCs w:val="32"/>
        </w:rPr>
        <w:t>。</w:t>
      </w:r>
    </w:p>
    <w:p w14:paraId="1DB4F79C">
      <w:pPr>
        <w:ind w:firstLine="640" w:firstLineChars="200"/>
        <w:rPr>
          <w:rFonts w:ascii="黑体" w:hAnsi="黑体" w:eastAsia="黑体" w:cs="宋体"/>
          <w:bCs/>
          <w:sz w:val="32"/>
          <w:szCs w:val="32"/>
        </w:rPr>
      </w:pPr>
      <w:r>
        <w:rPr>
          <w:rFonts w:hint="eastAsia" w:ascii="黑体" w:hAnsi="黑体" w:eastAsia="黑体" w:cs="宋体"/>
          <w:bCs/>
          <w:sz w:val="32"/>
          <w:szCs w:val="32"/>
        </w:rPr>
        <w:t>十二、其他需说明的事项</w:t>
      </w:r>
    </w:p>
    <w:p w14:paraId="258CB47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本单位无其他需说明事项。</w:t>
      </w:r>
      <w:bookmarkStart w:id="0" w:name="_GoBack"/>
      <w:bookmarkEnd w:id="0"/>
    </w:p>
    <w:p w14:paraId="69598B8C">
      <w:pPr>
        <w:widowControl/>
        <w:ind w:firstLine="640" w:firstLineChars="200"/>
        <w:jc w:val="left"/>
        <w:rPr>
          <w:rFonts w:ascii="仿宋_GB2312" w:eastAsia="仿宋_GB2312"/>
          <w:sz w:val="32"/>
          <w:szCs w:val="32"/>
        </w:rPr>
      </w:pPr>
    </w:p>
    <w:p w14:paraId="5A35E66C">
      <w:pPr>
        <w:widowControl/>
      </w:pPr>
      <w:r>
        <w:rPr>
          <w:sz w:val="0"/>
          <w:szCs w:val="0"/>
        </w:rPr>
        <w:br w:type="page"/>
      </w:r>
    </w:p>
    <w:p w14:paraId="32DCF442">
      <w:pPr>
        <w:jc w:val="center"/>
        <w:outlineLvl w:val="0"/>
        <w:rPr>
          <w:rFonts w:ascii="黑体" w:hAnsi="黑体" w:eastAsia="黑体" w:cs="Times New Roman"/>
          <w:kern w:val="2"/>
          <w:sz w:val="32"/>
          <w:szCs w:val="32"/>
        </w:rPr>
      </w:pPr>
      <w:r>
        <w:rPr>
          <w:rFonts w:hint="eastAsia" w:ascii="黑体" w:hAnsi="黑体" w:eastAsia="黑体" w:cs="Times New Roman"/>
          <w:kern w:val="2"/>
          <w:sz w:val="32"/>
          <w:szCs w:val="32"/>
        </w:rPr>
        <w:t>第三部分专业名词解释</w:t>
      </w:r>
    </w:p>
    <w:p w14:paraId="0B3D4D88">
      <w:pPr>
        <w:widowControl/>
        <w:ind w:firstLine="643" w:firstLineChars="200"/>
        <w:jc w:val="left"/>
        <w:rPr>
          <w:rFonts w:ascii="仿宋_GB2312" w:eastAsia="仿宋_GB2312"/>
          <w:sz w:val="32"/>
          <w:szCs w:val="32"/>
        </w:rPr>
      </w:pPr>
      <w:r>
        <w:rPr>
          <w:rFonts w:hint="eastAsia" w:ascii="仿宋_GB2312" w:hAnsi="Times New Roman" w:eastAsia="仿宋_GB2312" w:cs="Times New Roman"/>
          <w:b/>
          <w:bCs/>
          <w:kern w:val="2"/>
          <w:sz w:val="32"/>
          <w:szCs w:val="32"/>
        </w:rPr>
        <w:t>一、财政拨款收入：</w:t>
      </w:r>
      <w:r>
        <w:rPr>
          <w:rFonts w:hint="eastAsia" w:ascii="仿宋_GB2312" w:hAnsi="Times New Roman" w:eastAsia="仿宋_GB2312" w:cs="Times New Roman"/>
          <w:kern w:val="2"/>
          <w:sz w:val="32"/>
          <w:szCs w:val="32"/>
        </w:rPr>
        <w:t>指同级财政当年拨付的资金。</w:t>
      </w:r>
    </w:p>
    <w:p w14:paraId="03AEED18">
      <w:pPr>
        <w:widowControl/>
        <w:ind w:firstLine="643" w:firstLineChars="200"/>
        <w:jc w:val="left"/>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二、上级补助收入：</w:t>
      </w:r>
      <w:r>
        <w:rPr>
          <w:rFonts w:hint="eastAsia" w:ascii="仿宋_GB2312" w:hAnsi="Times New Roman" w:eastAsia="仿宋_GB2312" w:cs="Times New Roman"/>
          <w:kern w:val="2"/>
          <w:sz w:val="32"/>
          <w:szCs w:val="32"/>
        </w:rPr>
        <w:t>指事业单位从主管部门和上级单位取得的非财政补助收入。</w:t>
      </w:r>
    </w:p>
    <w:p w14:paraId="6B26383B">
      <w:pPr>
        <w:widowControl/>
        <w:ind w:firstLine="643" w:firstLineChars="200"/>
        <w:jc w:val="left"/>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三、事业收入：</w:t>
      </w:r>
      <w:r>
        <w:rPr>
          <w:rFonts w:hint="eastAsia" w:ascii="仿宋_GB2312" w:hAnsi="Times New Roman" w:eastAsia="仿宋_GB2312" w:cs="Times New Roman"/>
          <w:kern w:val="2"/>
          <w:sz w:val="32"/>
          <w:szCs w:val="32"/>
        </w:rPr>
        <w:t>指事业单位开展专业业务活动及其辅助活动所取得的收入。</w:t>
      </w:r>
    </w:p>
    <w:p w14:paraId="28C6691C">
      <w:pPr>
        <w:widowControl/>
        <w:ind w:firstLine="643" w:firstLineChars="200"/>
        <w:jc w:val="left"/>
        <w:rPr>
          <w:rFonts w:ascii="仿宋_GB2312" w:eastAsia="仿宋_GB2312"/>
          <w:sz w:val="32"/>
          <w:szCs w:val="32"/>
        </w:rPr>
      </w:pPr>
      <w:r>
        <w:rPr>
          <w:rFonts w:hint="eastAsia" w:ascii="仿宋_GB2312" w:hAnsi="Times New Roman" w:eastAsia="仿宋_GB2312" w:cs="Times New Roman"/>
          <w:b/>
          <w:bCs/>
          <w:kern w:val="2"/>
          <w:sz w:val="32"/>
          <w:szCs w:val="32"/>
        </w:rPr>
        <w:t>四、经营收入：</w:t>
      </w:r>
      <w:r>
        <w:rPr>
          <w:rFonts w:hint="eastAsia" w:ascii="仿宋_GB2312" w:hAnsi="Times New Roman" w:eastAsia="仿宋_GB2312" w:cs="Times New Roman"/>
          <w:kern w:val="2"/>
          <w:sz w:val="32"/>
          <w:szCs w:val="32"/>
        </w:rPr>
        <w:t>指事业单位在专业业务活动及其辅助活动之外开展非独立核算经营活动取得的收入。</w:t>
      </w:r>
    </w:p>
    <w:p w14:paraId="0BF8D37C">
      <w:pPr>
        <w:widowControl/>
        <w:ind w:firstLine="643" w:firstLineChars="200"/>
        <w:jc w:val="left"/>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五、附属单位上缴收入：</w:t>
      </w:r>
      <w:r>
        <w:rPr>
          <w:rFonts w:hint="eastAsia" w:ascii="仿宋_GB2312" w:hAnsi="Times New Roman" w:eastAsia="仿宋_GB2312" w:cs="Times New Roman"/>
          <w:kern w:val="2"/>
          <w:sz w:val="32"/>
          <w:szCs w:val="32"/>
        </w:rPr>
        <w:t>指事业单位附属的独立核算单位按有关规定上缴的收入。</w:t>
      </w:r>
    </w:p>
    <w:p w14:paraId="62FA979F">
      <w:pPr>
        <w:widowControl/>
        <w:ind w:firstLine="643" w:firstLineChars="200"/>
        <w:jc w:val="left"/>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六、其他收入：</w:t>
      </w:r>
      <w:r>
        <w:rPr>
          <w:rFonts w:hint="eastAsia" w:ascii="仿宋_GB2312" w:hAnsi="Times New Roman" w:eastAsia="仿宋_GB2312" w:cs="Times New Roman"/>
          <w:kern w:val="2"/>
          <w:sz w:val="32"/>
          <w:szCs w:val="32"/>
        </w:rPr>
        <w:t>指除上述“财政拨款收入”、“事业收入”、“经营收入”、“附属单位上缴收入”等之外取得的收入。</w:t>
      </w:r>
    </w:p>
    <w:p w14:paraId="3F655B98">
      <w:pPr>
        <w:widowControl/>
        <w:ind w:firstLine="643" w:firstLineChars="200"/>
        <w:jc w:val="left"/>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七、年初结转和结余：</w:t>
      </w:r>
      <w:r>
        <w:rPr>
          <w:rFonts w:hint="eastAsia" w:ascii="仿宋_GB2312" w:hAnsi="Times New Roman" w:eastAsia="仿宋_GB2312" w:cs="Times New Roman"/>
          <w:kern w:val="2"/>
          <w:sz w:val="32"/>
          <w:szCs w:val="32"/>
        </w:rPr>
        <w:t>指以前年度支出预算因客观条件变化未执行完毕、结转到本年度按有关规定继续使用的资金，既包括财政拨款结转和结余，也包括事业收入、经营收入、其他收入的结转和结余。</w:t>
      </w:r>
    </w:p>
    <w:p w14:paraId="6FCFE7B3">
      <w:pPr>
        <w:widowControl/>
        <w:ind w:firstLine="643" w:firstLineChars="200"/>
        <w:jc w:val="left"/>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八、年末结转和结余：</w:t>
      </w:r>
      <w:r>
        <w:rPr>
          <w:rFonts w:hint="eastAsia" w:ascii="仿宋_GB2312" w:hAnsi="Times New Roman" w:eastAsia="仿宋_GB2312" w:cs="Times New Roman"/>
          <w:kern w:val="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7145BA">
      <w:pPr>
        <w:widowControl/>
        <w:ind w:firstLine="643" w:firstLineChars="200"/>
        <w:jc w:val="left"/>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九、基本支出：</w:t>
      </w:r>
      <w:r>
        <w:rPr>
          <w:rFonts w:hint="eastAsia" w:ascii="仿宋_GB2312" w:hAnsi="Times New Roman" w:eastAsia="仿宋_GB2312" w:cs="Times New Roman"/>
          <w:kern w:val="2"/>
          <w:sz w:val="32"/>
          <w:szCs w:val="32"/>
        </w:rPr>
        <w:t>指为保障机构正常运转、完成日常工作任务而发生的人员支出和公用支出。</w:t>
      </w:r>
    </w:p>
    <w:p w14:paraId="30F27A4F">
      <w:pPr>
        <w:widowControl/>
        <w:ind w:firstLine="643" w:firstLineChars="200"/>
        <w:jc w:val="left"/>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十、项目支出：</w:t>
      </w:r>
      <w:r>
        <w:rPr>
          <w:rFonts w:hint="eastAsia" w:ascii="仿宋_GB2312" w:hAnsi="Times New Roman" w:eastAsia="仿宋_GB2312" w:cs="Times New Roman"/>
          <w:kern w:val="2"/>
          <w:sz w:val="32"/>
          <w:szCs w:val="32"/>
        </w:rPr>
        <w:t>指在基本支出之外为完成特定行政任务和事业发展目标所发生的支出。</w:t>
      </w:r>
    </w:p>
    <w:p w14:paraId="05CF27F1">
      <w:pPr>
        <w:widowControl/>
        <w:ind w:firstLine="643" w:firstLineChars="200"/>
        <w:jc w:val="left"/>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十一、经营支出：</w:t>
      </w:r>
      <w:r>
        <w:rPr>
          <w:rFonts w:hint="eastAsia" w:ascii="仿宋_GB2312" w:hAnsi="Times New Roman" w:eastAsia="仿宋_GB2312" w:cs="Times New Roman"/>
          <w:kern w:val="2"/>
          <w:sz w:val="32"/>
          <w:szCs w:val="32"/>
        </w:rPr>
        <w:t>指事业单位在专业业务活动及其辅助活动之外开展非独立核算经营活动发生的支出。</w:t>
      </w:r>
    </w:p>
    <w:p w14:paraId="35B5C8FB">
      <w:pPr>
        <w:widowControl/>
        <w:ind w:firstLine="643" w:firstLineChars="200"/>
        <w:jc w:val="left"/>
        <w:rPr>
          <w:rFonts w:ascii="仿宋_GB2312" w:eastAsia="仿宋_GB2312"/>
          <w:sz w:val="32"/>
          <w:szCs w:val="32"/>
        </w:rPr>
      </w:pPr>
      <w:r>
        <w:rPr>
          <w:rFonts w:hint="eastAsia" w:ascii="仿宋_GB2312" w:hAnsi="Times New Roman" w:eastAsia="仿宋_GB2312" w:cs="Times New Roman"/>
          <w:b/>
          <w:bCs/>
          <w:kern w:val="2"/>
          <w:sz w:val="32"/>
          <w:szCs w:val="32"/>
        </w:rPr>
        <w:t>十二、对附属单位补助支出：</w:t>
      </w:r>
      <w:r>
        <w:rPr>
          <w:rFonts w:hint="eastAsia" w:ascii="仿宋_GB2312" w:hAnsi="Times New Roman" w:eastAsia="仿宋_GB2312" w:cs="Times New Roman"/>
          <w:kern w:val="2"/>
          <w:sz w:val="32"/>
          <w:szCs w:val="32"/>
        </w:rPr>
        <w:t>指事业单位发生的用非财政预算资金对附属单位的补助支出。</w:t>
      </w:r>
    </w:p>
    <w:p w14:paraId="4E381B8D">
      <w:pPr>
        <w:widowControl/>
        <w:ind w:firstLine="643" w:firstLineChars="200"/>
        <w:jc w:val="left"/>
        <w:rPr>
          <w:rFonts w:ascii="仿宋_GB2312" w:eastAsia="仿宋_GB2312"/>
          <w:sz w:val="32"/>
          <w:szCs w:val="32"/>
        </w:rPr>
      </w:pPr>
      <w:r>
        <w:rPr>
          <w:rFonts w:hint="eastAsia" w:ascii="仿宋_GB2312" w:hAnsi="Times New Roman" w:eastAsia="仿宋_GB2312" w:cs="Times New Roman"/>
          <w:b/>
          <w:bCs/>
          <w:kern w:val="2"/>
          <w:sz w:val="32"/>
          <w:szCs w:val="32"/>
        </w:rPr>
        <w:t>十三、“三公”经费：</w:t>
      </w:r>
      <w:r>
        <w:rPr>
          <w:rFonts w:hint="eastAsia" w:ascii="仿宋_GB2312" w:hAnsi="Times New Roman" w:eastAsia="仿宋_GB2312" w:cs="Times New Roman"/>
          <w:kern w:val="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381054D">
      <w:pPr>
        <w:widowControl/>
        <w:ind w:firstLine="643" w:firstLineChars="200"/>
        <w:jc w:val="left"/>
        <w:rPr>
          <w:rFonts w:ascii="仿宋_GB2312" w:hAnsi="Times New Roman" w:eastAsia="仿宋_GB2312" w:cs="Times New Roman"/>
          <w:kern w:val="2"/>
          <w:sz w:val="32"/>
          <w:szCs w:val="32"/>
        </w:rPr>
      </w:pPr>
      <w:r>
        <w:rPr>
          <w:rFonts w:hint="eastAsia" w:ascii="仿宋_GB2312" w:hAnsi="Times New Roman" w:eastAsia="仿宋_GB2312" w:cs="Times New Roman"/>
          <w:b/>
          <w:bCs/>
          <w:kern w:val="2"/>
          <w:sz w:val="32"/>
          <w:szCs w:val="32"/>
        </w:rPr>
        <w:t>十四、机关运行经费：</w:t>
      </w:r>
      <w:r>
        <w:rPr>
          <w:rFonts w:hint="eastAsia" w:ascii="仿宋_GB2312" w:hAnsi="Times New Roman" w:eastAsia="仿宋_GB2312" w:cs="Times New Roman"/>
          <w:kern w:val="2"/>
          <w:sz w:val="32"/>
          <w:szCs w:val="32"/>
        </w:rPr>
        <w:t>行政单位和参照公务员法管理的事业单位财政拨款基本支出中的公用经费支出。</w:t>
      </w:r>
    </w:p>
    <w:p w14:paraId="09C2D6CD">
      <w:pPr>
        <w:widowControl/>
      </w:pPr>
      <w:r>
        <w:rPr>
          <w:sz w:val="0"/>
          <w:szCs w:val="0"/>
        </w:rPr>
        <w:br w:type="page"/>
      </w:r>
    </w:p>
    <w:p w14:paraId="5E5692F7">
      <w:pPr>
        <w:ind w:firstLine="640" w:firstLineChars="200"/>
        <w:jc w:val="center"/>
        <w:outlineLvl w:val="0"/>
        <w:rPr>
          <w:rFonts w:ascii="黑体" w:hAnsi="黑体" w:eastAsia="黑体" w:cs="Times New Roman"/>
          <w:kern w:val="2"/>
          <w:sz w:val="32"/>
          <w:szCs w:val="32"/>
        </w:rPr>
      </w:pPr>
      <w:r>
        <w:rPr>
          <w:rFonts w:hint="eastAsia" w:ascii="黑体" w:hAnsi="黑体" w:eastAsia="黑体" w:cs="Times New Roman"/>
          <w:kern w:val="2"/>
          <w:sz w:val="32"/>
          <w:szCs w:val="32"/>
        </w:rPr>
        <w:t>第四部分部门决算报表（见附表）</w:t>
      </w:r>
    </w:p>
    <w:p w14:paraId="734A5CB2">
      <w:pPr>
        <w:ind w:firstLine="640" w:firstLineChars="200"/>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一、《收入支出决算总表》</w:t>
      </w:r>
    </w:p>
    <w:p w14:paraId="27BD186A">
      <w:pPr>
        <w:ind w:firstLine="640" w:firstLineChars="200"/>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二、《收入决算表》</w:t>
      </w:r>
    </w:p>
    <w:p w14:paraId="080DCDE5">
      <w:pPr>
        <w:ind w:firstLine="640" w:firstLineChars="200"/>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三、《支出决算表》</w:t>
      </w:r>
    </w:p>
    <w:p w14:paraId="4AB151C6">
      <w:pPr>
        <w:ind w:firstLine="640" w:firstLineChars="200"/>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四、《财政拨款收入支出决算总表》</w:t>
      </w:r>
    </w:p>
    <w:p w14:paraId="4017A896">
      <w:pPr>
        <w:ind w:firstLine="640" w:firstLineChars="200"/>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五、《一般公共预算财政拨款支出决算表》</w:t>
      </w:r>
    </w:p>
    <w:p w14:paraId="0493B660">
      <w:pPr>
        <w:ind w:firstLine="640" w:firstLineChars="200"/>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六、《一般公共预算财政拨款基本支出决算表》</w:t>
      </w:r>
    </w:p>
    <w:p w14:paraId="3423E1DA">
      <w:pPr>
        <w:ind w:firstLine="640" w:firstLineChars="200"/>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七、《政府性基金预算财政拨款收入支出决算表》</w:t>
      </w:r>
    </w:p>
    <w:p w14:paraId="356CEDDF">
      <w:pPr>
        <w:ind w:firstLine="640" w:firstLineChars="200"/>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八、《国有资本经营预算财政拨款收入支出决算表》</w:t>
      </w:r>
    </w:p>
    <w:p w14:paraId="598AE4B8">
      <w:pPr>
        <w:ind w:firstLine="640" w:firstLineChars="200"/>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E08"/>
    <w:rsid w:val="000B6AFC"/>
    <w:rsid w:val="001B140F"/>
    <w:rsid w:val="003B3E3F"/>
    <w:rsid w:val="003C3E08"/>
    <w:rsid w:val="006421F0"/>
    <w:rsid w:val="007762DD"/>
    <w:rsid w:val="00945A07"/>
    <w:rsid w:val="00A75A5C"/>
    <w:rsid w:val="00CA47AF"/>
    <w:rsid w:val="00D76BE6"/>
    <w:rsid w:val="033F2898"/>
    <w:rsid w:val="0A54292F"/>
    <w:rsid w:val="0C0B024B"/>
    <w:rsid w:val="0CCB5009"/>
    <w:rsid w:val="2F0677B7"/>
    <w:rsid w:val="34C357E9"/>
    <w:rsid w:val="36CE1AF0"/>
    <w:rsid w:val="3A976388"/>
    <w:rsid w:val="3BFE416F"/>
    <w:rsid w:val="3F876CB1"/>
    <w:rsid w:val="4EB857DA"/>
    <w:rsid w:val="5FFE740C"/>
    <w:rsid w:val="70E074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sz w:val="18"/>
      <w:szCs w:val="18"/>
    </w:rPr>
  </w:style>
  <w:style w:type="character" w:customStyle="1" w:styleId="7">
    <w:name w:val="页脚 Char"/>
    <w:basedOn w:val="5"/>
    <w:link w:val="2"/>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5500</Words>
  <Characters>6063</Characters>
  <Lines>43</Lines>
  <Paragraphs>12</Paragraphs>
  <TotalTime>0</TotalTime>
  <ScaleCrop>false</ScaleCrop>
  <LinksUpToDate>false</LinksUpToDate>
  <CharactersWithSpaces>6063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2025-08-26T03:54:00Z</dcterms:created>
  <dc:creator>Administrator</dc:creator>
  <cp:lastModifiedBy>pc</cp:lastModifiedBy>
  <dcterms:modified xsi:type="dcterms:W3CDTF">2025-08-27T09:27:23Z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eyJoZGlkIjoiMDMzYjgxNzhmMTJmMzBkYTJhZTlkNDNiZmNkOTdhNjgifQ==</vt:lpwstr>
  </property>
  <property fmtid="{D5CDD505-2E9C-101B-9397-08002B2CF9AE}" pid="4" name="ICV">
    <vt:lpwstr>7A189B1E762A4438860FED4CC9EE66A8_13</vt:lpwstr>
  </property>
</Properties>
</file>