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cs="宋体"/>
          <w:kern w:val="0"/>
          <w:sz w:val="36"/>
          <w:szCs w:val="36"/>
          <w:lang w:val="en-US" w:eastAsia="zh-CN"/>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cs="宋体"/>
          <w:kern w:val="0"/>
          <w:sz w:val="36"/>
          <w:szCs w:val="36"/>
          <w:lang w:val="en-US" w:eastAsia="zh-CN"/>
        </w:rPr>
        <w:t>新疆农业职业技术学院</w:t>
      </w:r>
      <w:bookmarkStart w:id="0" w:name="_GoBack"/>
      <w:bookmarkEnd w:id="0"/>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cs="宋体"/>
          <w:kern w:val="0"/>
          <w:sz w:val="36"/>
          <w:szCs w:val="36"/>
          <w:lang w:val="en-US" w:eastAsia="zh-CN"/>
        </w:rPr>
        <w:t>2025</w:t>
      </w:r>
      <w:r>
        <w:rPr>
          <w:rFonts w:hint="eastAsia" w:hAnsi="宋体" w:eastAsia="仿宋_GB2312" w:cs="宋体"/>
          <w:kern w:val="0"/>
          <w:sz w:val="36"/>
          <w:szCs w:val="36"/>
        </w:rPr>
        <w:t xml:space="preserve">年 </w:t>
      </w:r>
      <w:r>
        <w:rPr>
          <w:rFonts w:hint="eastAsia" w:hAnsi="宋体" w:cs="宋体"/>
          <w:kern w:val="0"/>
          <w:sz w:val="36"/>
          <w:szCs w:val="36"/>
          <w:lang w:val="en-US" w:eastAsia="zh-CN"/>
        </w:rPr>
        <w:t>2</w:t>
      </w:r>
      <w:r>
        <w:rPr>
          <w:rFonts w:hint="eastAsia" w:hAnsi="宋体" w:eastAsia="仿宋_GB2312" w:cs="宋体"/>
          <w:kern w:val="0"/>
          <w:sz w:val="36"/>
          <w:szCs w:val="36"/>
        </w:rPr>
        <w:t xml:space="preserve">月 </w:t>
      </w:r>
      <w:r>
        <w:rPr>
          <w:rFonts w:hint="eastAsia" w:hAnsi="宋体" w:cs="宋体"/>
          <w:kern w:val="0"/>
          <w:sz w:val="36"/>
          <w:szCs w:val="36"/>
          <w:lang w:val="en-US" w:eastAsia="zh-CN"/>
        </w:rPr>
        <w:t>28</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eastAsia" w:ascii="仿宋_GB2312"/>
          <w:b/>
          <w:bCs/>
        </w:rPr>
      </w:pPr>
      <w:r>
        <w:rPr>
          <w:rFonts w:hint="eastAsia" w:ascii="仿宋_GB2312"/>
          <w:b/>
          <w:bCs/>
        </w:rPr>
        <w:t>（一）项目概况</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outlineLvl w:val="9"/>
        <w:rPr>
          <w:rFonts w:hint="eastAsia" w:ascii="仿宋_GB2312" w:hAnsi="Times New Roman" w:cs="Times New Roman"/>
          <w:lang w:val="en-US" w:eastAsia="zh-CN"/>
        </w:rPr>
      </w:pPr>
      <w:r>
        <w:rPr>
          <w:rFonts w:hint="eastAsia" w:ascii="仿宋_GB2312" w:hAnsi="Times New Roman" w:cs="Times New Roman"/>
          <w:lang w:val="en-US" w:eastAsia="zh-Hans"/>
        </w:rPr>
        <w:t>基层工作经费（驻村工作队乡村振兴经费）</w:t>
      </w:r>
      <w:r>
        <w:rPr>
          <w:rFonts w:hint="eastAsia" w:ascii="仿宋_GB2312" w:hAnsi="Times New Roman" w:cs="Times New Roman"/>
          <w:lang w:val="en-US" w:eastAsia="zh-CN"/>
        </w:rPr>
        <w:t>项目由学校按照中央和自治区党委乡村振兴重点工作安排部署</w:t>
      </w:r>
      <w:r>
        <w:rPr>
          <w:rFonts w:hint="default" w:ascii="仿宋_GB2312" w:hAnsi="Times New Roman" w:cs="Times New Roman"/>
          <w:lang w:val="en-US" w:eastAsia="zh-CN"/>
        </w:rPr>
        <w:t>、</w:t>
      </w:r>
      <w:r>
        <w:rPr>
          <w:rFonts w:hint="eastAsia" w:ascii="仿宋_GB2312" w:hAnsi="Times New Roman" w:cs="Times New Roman"/>
          <w:lang w:val="en-US" w:eastAsia="zh-CN"/>
        </w:rPr>
        <w:t>自治区党委《关于巩固脱贫巩固拓展脱贫攻坚成果分类全面推进乡村振兴的实施方案》《自治区乡村振兴促进条例》</w:t>
      </w:r>
      <w:r>
        <w:rPr>
          <w:rFonts w:hint="eastAsia" w:ascii="仿宋_GB2312" w:hAnsi="Times New Roman" w:cs="Times New Roman"/>
          <w:lang w:val="en-US" w:eastAsia="zh-Hans"/>
        </w:rPr>
        <w:t>以及</w:t>
      </w:r>
      <w:r>
        <w:rPr>
          <w:rFonts w:hint="eastAsia" w:ascii="仿宋_GB2312" w:hAnsi="Times New Roman" w:cs="Times New Roman"/>
          <w:lang w:val="en-US" w:eastAsia="zh-CN"/>
        </w:rPr>
        <w:t>《新疆农业职业技术学院年度重点工作任务》</w:t>
      </w:r>
      <w:r>
        <w:rPr>
          <w:rFonts w:hint="default" w:ascii="仿宋_GB2312" w:hAnsi="Times New Roman" w:cs="Times New Roman"/>
          <w:lang w:val="en-US" w:eastAsia="zh-CN"/>
        </w:rPr>
        <w:t>《</w:t>
      </w:r>
      <w:r>
        <w:rPr>
          <w:rFonts w:hint="eastAsia" w:ascii="仿宋_GB2312" w:hAnsi="Times New Roman" w:cs="Times New Roman"/>
          <w:lang w:val="en-US" w:eastAsia="zh-CN"/>
        </w:rPr>
        <w:t>洛浦县关于进一步抓好乡村振兴示范村民小组创建工作的通知</w:t>
      </w:r>
      <w:r>
        <w:rPr>
          <w:rFonts w:hint="default" w:ascii="仿宋_GB2312" w:hAnsi="Times New Roman" w:cs="Times New Roman"/>
          <w:lang w:val="en-US" w:eastAsia="zh-CN"/>
        </w:rPr>
        <w:t>》</w:t>
      </w:r>
      <w:r>
        <w:rPr>
          <w:rFonts w:hint="eastAsia" w:ascii="仿宋_GB2312" w:hAnsi="Times New Roman" w:cs="Times New Roman"/>
          <w:lang w:val="en-US" w:eastAsia="zh-CN"/>
        </w:rPr>
        <w:t>等工作部署，</w:t>
      </w:r>
      <w:r>
        <w:rPr>
          <w:rFonts w:hint="eastAsia" w:ascii="仿宋_GB2312" w:hAnsi="Times New Roman" w:cs="Times New Roman"/>
          <w:lang w:val="en-US" w:eastAsia="zh-Hans"/>
        </w:rPr>
        <w:t>主动发挥</w:t>
      </w:r>
      <w:r>
        <w:rPr>
          <w:rFonts w:hint="eastAsia" w:ascii="仿宋_GB2312" w:hAnsi="Times New Roman" w:cs="Times New Roman"/>
          <w:lang w:val="en-US" w:eastAsia="zh-CN"/>
        </w:rPr>
        <w:t>学校</w:t>
      </w:r>
      <w:r>
        <w:rPr>
          <w:rFonts w:hint="eastAsia" w:ascii="仿宋_GB2312" w:hAnsi="Times New Roman" w:cs="Times New Roman"/>
          <w:lang w:val="en-US" w:eastAsia="zh-Hans"/>
        </w:rPr>
        <w:t>的技术和人才优势，</w:t>
      </w:r>
      <w:r>
        <w:rPr>
          <w:rFonts w:hint="eastAsia" w:ascii="仿宋_GB2312" w:hAnsi="Times New Roman" w:cs="Times New Roman"/>
          <w:lang w:val="en-US" w:eastAsia="zh-CN"/>
        </w:rPr>
        <w:t>派驻访惠聚工作队</w:t>
      </w:r>
      <w:r>
        <w:rPr>
          <w:rFonts w:hint="eastAsia" w:ascii="仿宋_GB2312" w:hAnsi="Times New Roman" w:cs="Times New Roman"/>
          <w:lang w:val="en-US" w:eastAsia="zh-Hans"/>
        </w:rPr>
        <w:t>定点帮扶和田地区洛浦县多鲁乡阔尕其艾日克村</w:t>
      </w:r>
      <w:r>
        <w:rPr>
          <w:rFonts w:hint="default" w:ascii="仿宋_GB2312" w:hAnsi="Times New Roman" w:cs="Times New Roman"/>
          <w:lang w:val="en-US" w:eastAsia="zh-Hans"/>
        </w:rPr>
        <w:t>、</w:t>
      </w:r>
      <w:r>
        <w:rPr>
          <w:rFonts w:hint="eastAsia" w:ascii="仿宋_GB2312" w:hAnsi="Times New Roman" w:cs="Times New Roman"/>
          <w:lang w:val="en-US" w:eastAsia="zh-Hans"/>
        </w:rPr>
        <w:t>巴什央都玛村</w:t>
      </w:r>
      <w:r>
        <w:rPr>
          <w:rFonts w:hint="eastAsia" w:ascii="仿宋_GB2312" w:hAnsi="Times New Roman" w:cs="Times New Roman"/>
          <w:lang w:val="en-US" w:eastAsia="zh-CN"/>
        </w:rPr>
        <w:t>，带领村两委班子理清发展思路，补短板、强弱项，全面实施</w:t>
      </w:r>
      <w:r>
        <w:rPr>
          <w:rFonts w:hint="eastAsia" w:ascii="仿宋_GB2312" w:hAnsi="Times New Roman" w:cs="Times New Roman"/>
          <w:lang w:val="en-US" w:eastAsia="zh-Hans"/>
        </w:rPr>
        <w:t>组织振兴</w:t>
      </w:r>
      <w:r>
        <w:rPr>
          <w:rFonts w:hint="default" w:ascii="仿宋_GB2312" w:hAnsi="Times New Roman" w:cs="Times New Roman"/>
          <w:lang w:val="en-US" w:eastAsia="zh-Hans"/>
        </w:rPr>
        <w:t>、</w:t>
      </w:r>
      <w:r>
        <w:rPr>
          <w:rFonts w:hint="eastAsia" w:ascii="仿宋_GB2312" w:hAnsi="Times New Roman" w:cs="Times New Roman"/>
          <w:lang w:val="en-US" w:eastAsia="zh-Hans"/>
        </w:rPr>
        <w:t>人才振兴</w:t>
      </w:r>
      <w:r>
        <w:rPr>
          <w:rFonts w:hint="default" w:ascii="仿宋_GB2312" w:hAnsi="Times New Roman" w:cs="Times New Roman"/>
          <w:lang w:val="en-US" w:eastAsia="zh-Hans"/>
        </w:rPr>
        <w:t>、</w:t>
      </w:r>
      <w:r>
        <w:rPr>
          <w:rFonts w:hint="eastAsia" w:ascii="仿宋_GB2312" w:hAnsi="Times New Roman" w:cs="Times New Roman"/>
          <w:lang w:val="en-US" w:eastAsia="zh-Hans"/>
        </w:rPr>
        <w:t>生态振兴</w:t>
      </w:r>
      <w:r>
        <w:rPr>
          <w:rFonts w:hint="default" w:ascii="仿宋_GB2312" w:hAnsi="Times New Roman" w:cs="Times New Roman"/>
          <w:lang w:val="en-US" w:eastAsia="zh-Hans"/>
        </w:rPr>
        <w:t>、</w:t>
      </w:r>
      <w:r>
        <w:rPr>
          <w:rFonts w:hint="eastAsia" w:ascii="仿宋_GB2312" w:hAnsi="Times New Roman" w:cs="Times New Roman"/>
          <w:lang w:val="en-US" w:eastAsia="zh-Hans"/>
        </w:rPr>
        <w:t>文化振兴</w:t>
      </w:r>
      <w:r>
        <w:rPr>
          <w:rFonts w:hint="eastAsia" w:ascii="仿宋_GB2312" w:hAnsi="Times New Roman" w:cs="Times New Roman"/>
          <w:lang w:val="en-US" w:eastAsia="zh-CN"/>
        </w:rPr>
        <w:t>和</w:t>
      </w:r>
      <w:r>
        <w:rPr>
          <w:rFonts w:hint="eastAsia" w:ascii="仿宋_GB2312" w:hAnsi="Times New Roman" w:cs="Times New Roman"/>
          <w:lang w:val="en-US" w:eastAsia="zh-Hans"/>
        </w:rPr>
        <w:t>产业振兴</w:t>
      </w:r>
      <w:r>
        <w:rPr>
          <w:rFonts w:hint="eastAsia" w:ascii="仿宋_GB2312" w:hAnsi="Times New Roman" w:cs="Times New Roman"/>
          <w:lang w:val="en-US" w:eastAsia="zh-CN"/>
        </w:rPr>
        <w:t>，通过推进项目落地落实</w:t>
      </w:r>
      <w:r>
        <w:rPr>
          <w:rFonts w:hint="default" w:ascii="仿宋_GB2312" w:hAnsi="Times New Roman" w:cs="Times New Roman"/>
          <w:lang w:val="en-US" w:eastAsia="zh-CN"/>
        </w:rPr>
        <w:t>，</w:t>
      </w:r>
      <w:r>
        <w:rPr>
          <w:rFonts w:hint="eastAsia" w:ascii="仿宋_GB2312" w:hAnsi="Times New Roman" w:cs="Times New Roman"/>
          <w:lang w:val="en-US" w:eastAsia="zh-CN"/>
        </w:rPr>
        <w:t>切实提高脱贫地区人口就业创业能力，增强脱贫地区和脱贫群众的自我发展能力。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default" w:ascii="仿宋_GB2312"/>
          <w:lang w:val="en-US"/>
        </w:rPr>
      </w:pPr>
      <w:r>
        <w:rPr>
          <w:rFonts w:hint="eastAsia" w:ascii="仿宋_GB2312" w:hAnsi="Times New Roman" w:cs="Times New Roman"/>
          <w:lang w:val="en-US" w:eastAsia="zh-CN"/>
        </w:rPr>
        <w:t>2024年度项目预算资金122万，截止2024年12月，项目资金执行100.79万元，资金执行率82.6%。项目实施内容主要包括：一是谋划实施产业发展项目，带动脱贫人口就业，促进农户增收</w:t>
      </w:r>
      <w:r>
        <w:rPr>
          <w:rFonts w:hint="default" w:ascii="仿宋_GB2312" w:hAnsi="Times New Roman" w:cs="Times New Roman"/>
          <w:lang w:val="en-US" w:eastAsia="zh-CN"/>
        </w:rPr>
        <w:t>。</w:t>
      </w:r>
      <w:r>
        <w:rPr>
          <w:rFonts w:hint="eastAsia" w:ascii="仿宋_GB2312" w:hAnsi="Times New Roman" w:cs="Times New Roman"/>
          <w:lang w:val="en-US" w:eastAsia="zh-CN"/>
        </w:rPr>
        <w:t>二</w:t>
      </w:r>
      <w:r>
        <w:rPr>
          <w:rFonts w:hint="eastAsia" w:ascii="仿宋_GB2312" w:hAnsi="Times New Roman" w:cs="Times New Roman"/>
          <w:lang w:val="en-US" w:eastAsia="zh-Hans"/>
        </w:rPr>
        <w:t>是</w:t>
      </w:r>
      <w:r>
        <w:rPr>
          <w:rFonts w:hint="eastAsia" w:ascii="仿宋_GB2312" w:hAnsi="Times New Roman" w:cs="Times New Roman"/>
          <w:lang w:val="en-US" w:eastAsia="zh-CN"/>
        </w:rPr>
        <w:t>为困难家庭和无劳动力</w:t>
      </w:r>
      <w:r>
        <w:rPr>
          <w:rFonts w:hint="eastAsia" w:ascii="仿宋_GB2312" w:hAnsi="Times New Roman" w:cs="Times New Roman"/>
          <w:lang w:val="en-US" w:eastAsia="zh-Hans"/>
        </w:rPr>
        <w:t>农户提供春耕备耕物资</w:t>
      </w:r>
      <w:r>
        <w:rPr>
          <w:rFonts w:hint="default" w:ascii="仿宋_GB2312" w:hAnsi="Times New Roman" w:cs="Times New Roman"/>
          <w:lang w:val="en-US" w:eastAsia="zh-Hans"/>
        </w:rPr>
        <w:t>，</w:t>
      </w:r>
      <w:r>
        <w:rPr>
          <w:rFonts w:hint="eastAsia" w:ascii="仿宋_GB2312" w:hAnsi="Times New Roman" w:cs="Times New Roman"/>
          <w:lang w:val="en-US" w:eastAsia="zh-CN"/>
        </w:rPr>
        <w:t>结合农时，开展农业、林果业、畜牧养殖实用技术指导和服务</w:t>
      </w:r>
      <w:r>
        <w:rPr>
          <w:rFonts w:hint="default" w:ascii="仿宋_GB2312" w:hAnsi="Times New Roman" w:cs="Times New Roman"/>
          <w:lang w:val="en-US" w:eastAsia="zh-CN"/>
        </w:rPr>
        <w:t>。</w:t>
      </w:r>
      <w:r>
        <w:rPr>
          <w:rFonts w:hint="eastAsia" w:ascii="仿宋_GB2312" w:hAnsi="Times New Roman" w:cs="Times New Roman"/>
          <w:lang w:val="en-US" w:eastAsia="zh-CN"/>
        </w:rPr>
        <w:t>三</w:t>
      </w:r>
      <w:r>
        <w:rPr>
          <w:rFonts w:hint="eastAsia" w:ascii="仿宋_GB2312" w:hAnsi="Times New Roman" w:cs="Times New Roman"/>
          <w:lang w:val="en-US" w:eastAsia="zh-Hans"/>
        </w:rPr>
        <w:t>是通过</w:t>
      </w:r>
      <w:r>
        <w:rPr>
          <w:rFonts w:hint="eastAsia" w:ascii="仿宋_GB2312" w:hAnsi="Times New Roman" w:cs="Times New Roman"/>
          <w:lang w:val="en-US" w:eastAsia="zh-CN"/>
        </w:rPr>
        <w:t>百姓</w:t>
      </w:r>
      <w:r>
        <w:rPr>
          <w:rFonts w:hint="eastAsia" w:ascii="仿宋_GB2312" w:hAnsi="Times New Roman" w:cs="Times New Roman"/>
          <w:lang w:val="en-US" w:eastAsia="zh-Hans"/>
        </w:rPr>
        <w:t>大舞台</w:t>
      </w:r>
      <w:r>
        <w:rPr>
          <w:rFonts w:hint="default" w:ascii="仿宋_GB2312" w:hAnsi="Times New Roman" w:cs="Times New Roman"/>
          <w:lang w:val="en-US" w:eastAsia="zh-Hans"/>
        </w:rPr>
        <w:t>、</w:t>
      </w:r>
      <w:r>
        <w:rPr>
          <w:rFonts w:hint="eastAsia" w:ascii="仿宋_GB2312" w:hAnsi="Times New Roman" w:cs="Times New Roman"/>
          <w:lang w:val="en-US" w:eastAsia="zh-Hans"/>
        </w:rPr>
        <w:t>特色文化宣传栏等项目建设</w:t>
      </w:r>
      <w:r>
        <w:rPr>
          <w:rFonts w:hint="default" w:ascii="仿宋_GB2312" w:hAnsi="Times New Roman" w:cs="Times New Roman"/>
          <w:lang w:val="en-US" w:eastAsia="zh-Hans"/>
        </w:rPr>
        <w:t>，</w:t>
      </w:r>
      <w:r>
        <w:rPr>
          <w:rFonts w:hint="eastAsia" w:ascii="仿宋_GB2312" w:hAnsi="Times New Roman" w:cs="Times New Roman"/>
          <w:lang w:val="en-US" w:eastAsia="zh-CN"/>
        </w:rPr>
        <w:t>丰富村民文化活动，增进交流交往交融，激发脱贫致富内生动力</w:t>
      </w:r>
      <w:r>
        <w:rPr>
          <w:rFonts w:hint="default" w:ascii="仿宋_GB2312" w:hAnsi="Times New Roman" w:cs="Times New Roman"/>
          <w:lang w:val="en-US" w:eastAsia="zh-CN"/>
        </w:rPr>
        <w:t>。</w:t>
      </w:r>
      <w:r>
        <w:rPr>
          <w:rFonts w:hint="eastAsia" w:ascii="仿宋_GB2312" w:hAnsi="Times New Roman" w:cs="Times New Roman"/>
          <w:lang w:val="en-US" w:eastAsia="zh-CN"/>
        </w:rPr>
        <w:t>四是实施</w:t>
      </w:r>
      <w:r>
        <w:rPr>
          <w:rFonts w:hint="eastAsia" w:ascii="仿宋_GB2312" w:hAnsi="Times New Roman" w:cs="Times New Roman"/>
          <w:lang w:val="en-US" w:eastAsia="zh-Hans"/>
        </w:rPr>
        <w:t>人居环境整治</w:t>
      </w:r>
      <w:r>
        <w:rPr>
          <w:rFonts w:hint="eastAsia" w:ascii="仿宋_GB2312" w:hAnsi="Times New Roman" w:cs="Times New Roman"/>
          <w:lang w:val="en-US" w:eastAsia="zh-CN"/>
        </w:rPr>
        <w:t>；五是开发</w:t>
      </w:r>
      <w:r>
        <w:rPr>
          <w:rFonts w:hint="eastAsia" w:ascii="仿宋_GB2312" w:hAnsi="Times New Roman" w:cs="Times New Roman"/>
          <w:lang w:val="en-US" w:eastAsia="zh-Hans"/>
        </w:rPr>
        <w:t>公益岗位</w:t>
      </w:r>
      <w:r>
        <w:rPr>
          <w:rFonts w:hint="eastAsia" w:ascii="仿宋_GB2312" w:hAnsi="Times New Roman" w:cs="Times New Roman"/>
          <w:lang w:val="en-US" w:eastAsia="zh-CN"/>
        </w:rPr>
        <w:t>，对家庭收入困难群众精准帮扶等。</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eastAsia" w:ascii="仿宋_GB2312"/>
          <w:b/>
          <w:bCs/>
        </w:rPr>
      </w:pPr>
      <w:r>
        <w:rPr>
          <w:rFonts w:hint="eastAsia" w:ascii="仿宋_GB2312"/>
          <w:b/>
          <w:bCs/>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eastAsia" w:ascii="仿宋_GB2312"/>
          <w:b/>
          <w:bCs/>
          <w:lang w:val="en-US" w:eastAsia="zh-CN"/>
        </w:rPr>
      </w:pPr>
      <w:r>
        <w:rPr>
          <w:rFonts w:hint="eastAsia" w:ascii="仿宋_GB2312"/>
          <w:b/>
          <w:bCs/>
          <w:lang w:val="en-US" w:eastAsia="zh-CN"/>
        </w:rPr>
        <w:t>1.总体目标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default" w:ascii="仿宋_GB2312" w:hAnsi="Times New Roman" w:cs="Times New Roman"/>
          <w:lang w:val="en-US" w:eastAsia="zh-CN"/>
        </w:rPr>
      </w:pPr>
      <w:r>
        <w:rPr>
          <w:rFonts w:hint="eastAsia" w:ascii="仿宋_GB2312" w:hAnsi="Times New Roman" w:cs="Times New Roman"/>
          <w:lang w:val="en-US" w:eastAsia="zh-Hans"/>
        </w:rPr>
        <w:t>基层工作经费（驻村工作队乡村振兴经费）</w:t>
      </w:r>
      <w:r>
        <w:rPr>
          <w:rFonts w:hint="eastAsia" w:ascii="仿宋_GB2312" w:hAnsi="Times New Roman" w:cs="Times New Roman"/>
          <w:lang w:val="en-US" w:eastAsia="zh-CN"/>
        </w:rPr>
        <w:t>项目紧紧围绕</w:t>
      </w:r>
      <w:r>
        <w:rPr>
          <w:rFonts w:hint="eastAsia" w:ascii="仿宋_GB2312" w:hAnsi="Times New Roman" w:cs="Times New Roman"/>
          <w:lang w:val="en-US" w:eastAsia="zh-Hans"/>
        </w:rPr>
        <w:t>乡村振兴“产业兴旺、生态宣居、乡风文明、治理有效、生活富裕”二十字方针的科学内涵，</w:t>
      </w:r>
      <w:r>
        <w:rPr>
          <w:rFonts w:hint="default" w:ascii="仿宋_GB2312" w:hAnsi="Times New Roman" w:cs="Times New Roman"/>
          <w:lang w:val="en-US" w:eastAsia="zh-CN"/>
        </w:rPr>
        <w:t>牢牢守住保障国家粮食安全和不发生规模性返贫两条底线，</w:t>
      </w:r>
      <w:r>
        <w:rPr>
          <w:rFonts w:hint="eastAsia" w:ascii="仿宋_GB2312" w:hAnsi="Times New Roman" w:cs="Times New Roman"/>
          <w:lang w:val="en-US" w:eastAsia="zh-CN"/>
        </w:rPr>
        <w:t>提升农村产业发展水平、乡村建设水平、乡村治理水平，推动农业增效益、农村增活力、农民增收入，为加快推进乡村全面振兴、推进中国式现代化提供基础支撑。</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eastAsia" w:ascii="仿宋_GB2312"/>
          <w:b/>
          <w:bCs/>
          <w:lang w:val="en-US" w:eastAsia="zh-CN"/>
        </w:rPr>
      </w:pPr>
      <w:r>
        <w:rPr>
          <w:rFonts w:hint="eastAsia" w:ascii="仿宋_GB2312"/>
          <w:b/>
          <w:bCs/>
          <w:lang w:val="en-US" w:eastAsia="zh-CN"/>
        </w:rPr>
        <w:t>2.</w:t>
      </w:r>
      <w:r>
        <w:rPr>
          <w:rFonts w:hint="eastAsia" w:ascii="仿宋_GB2312"/>
          <w:b/>
          <w:bCs/>
        </w:rPr>
        <w:t>阶段性目标</w:t>
      </w:r>
    </w:p>
    <w:tbl>
      <w:tblPr>
        <w:tblStyle w:val="6"/>
        <w:tblW w:w="89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04"/>
        <w:gridCol w:w="1619"/>
        <w:gridCol w:w="4406"/>
        <w:gridCol w:w="15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一级指标</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二级指标</w:t>
            </w: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三级指标</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产出指标</w:t>
            </w:r>
          </w:p>
        </w:tc>
        <w:tc>
          <w:tcPr>
            <w:tcW w:w="1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数量指标</w:t>
            </w: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村级厕所革命村民补助户数（两个村）</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&gt;=20户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乡村环境美化和亮化施工长度</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&gt;=500米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农业生产物资补助户数</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&gt;=100户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农业生产物资补助亩数</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&gt;=1000亩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组织开展村级文化润疆活动场次</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&gt;=6场次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补助发放次数</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质量指标</w:t>
            </w: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验收合格率</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时效指标</w:t>
            </w: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补助发放及时率</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trPr>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效益指标</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经济效益指标</w:t>
            </w: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促进当地农民收入增长</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1" w:hRule="atLeast"/>
        </w:trPr>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满意度指标</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满意度指标</w:t>
            </w:r>
          </w:p>
        </w:tc>
        <w:tc>
          <w:tcPr>
            <w:tcW w:w="4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村民满意度</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&gt;=90%</w:t>
            </w:r>
          </w:p>
        </w:tc>
      </w:tr>
    </w:tbl>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rPr>
      </w:pPr>
      <w:r>
        <w:rPr>
          <w:rFonts w:hint="eastAsia" w:ascii="黑体" w:hAnsi="黑体" w:eastAsia="黑体"/>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b/>
          <w:bCs/>
        </w:rPr>
      </w:pPr>
      <w:r>
        <w:rPr>
          <w:rFonts w:hint="eastAsia" w:ascii="仿宋_GB2312"/>
          <w:b/>
          <w:bCs/>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对新疆农业职业技术大学</w:t>
      </w:r>
      <w:r>
        <w:rPr>
          <w:rFonts w:hint="eastAsia" w:ascii="仿宋_GB2312" w:hAnsi="Times New Roman" w:cs="Times New Roman"/>
          <w:lang w:val="en-US" w:eastAsia="zh-Hans"/>
        </w:rPr>
        <w:t>基层工作经费（驻村工作队乡村振兴经费）</w:t>
      </w:r>
      <w:r>
        <w:rPr>
          <w:rFonts w:hint="eastAsia" w:ascii="仿宋_GB2312" w:hAnsi="Times New Roman" w:cs="Times New Roman"/>
          <w:lang w:val="en-US" w:eastAsia="zh-CN"/>
        </w:rPr>
        <w:t>项目进行绩效评价，目的在于了解项目资金使用和项目管理情况，同时对项目所达到的阶段性效益进行考量，以发现本项目在项目管理及预算资金安排等方面存在的问题并提出针对性的意见，以达到改进预算管理、控制节约成本，提高预算资金使用效益的目的。</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b/>
          <w:bCs/>
        </w:rPr>
      </w:pPr>
      <w:r>
        <w:rPr>
          <w:rFonts w:hint="eastAsia" w:ascii="仿宋_GB2312"/>
          <w:b/>
          <w:bCs/>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本次评价坚持定量优先、定量与定性相结合的方式，始终遵循科学规范、公正公开、分级分类、绩效相关的基本原则。</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按照逻辑分析法设计，包括项目决策、项目过程、项目产出、影响力四部分内容。其中项目决策权重为5分，项目过程权重为5分，项目产出权重为50分，项目效益权重为40分。</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根据自治区财政厅《关于印发〈自治区本级财政支出绩效评价管理暂行办法〉的通知》(新财预〔2018〕188号)、项目支出绩效评级管理办法(财预〔2020〕10号)等相关文件要求，本次专项资金的评价指标体系包括评价指标、权重、指标解释、计算公式、评分标准。绩效评价总分值100分，根据综合评分结果，评价计分90分-100分(含90分)对应的评分结果级别为优，80-90分(含80分)对应的评分结果级别为良，60-80分(含60分)对应的评分结果级别为中，60分以下对应的评分结果级别为差。完整的绩效评价指标体系及评分过程详见附件1。</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3.评价方法</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（1）比较法。通过对绩效目标与实施效果、历史与当期情况，综合分析绩效目标实现程度。对项目最终验收情况与年度绩效目标对比、预算资金执行情况等相关因素进行比较。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2）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4.评价标准</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绩效评价标准通常包括计划标准、行业标准、历史标准等，用于对绩效指标完成情况进行比较。本次评价主要采用了计划标准和行业标准。</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hAnsi="Times New Roman" w:cs="Times New Roman"/>
          <w:b/>
          <w:bCs/>
        </w:rPr>
      </w:pPr>
      <w:r>
        <w:rPr>
          <w:rFonts w:hint="eastAsia" w:ascii="仿宋_GB2312" w:hAnsi="Times New Roman" w:cs="Times New Roman"/>
          <w:b/>
          <w:bCs/>
          <w:lang w:eastAsia="zh-CN"/>
        </w:rPr>
        <w:t>（</w:t>
      </w:r>
      <w:r>
        <w:rPr>
          <w:rFonts w:hint="eastAsia" w:ascii="仿宋_GB2312" w:hAnsi="Times New Roman" w:cs="Times New Roman"/>
          <w:b/>
          <w:bCs/>
          <w:lang w:val="en-US" w:eastAsia="zh-CN"/>
        </w:rPr>
        <w:t>三</w:t>
      </w:r>
      <w:r>
        <w:rPr>
          <w:rFonts w:hint="eastAsia" w:ascii="仿宋_GB2312" w:hAnsi="Times New Roman" w:cs="Times New Roman"/>
          <w:b/>
          <w:bCs/>
          <w:lang w:eastAsia="zh-CN"/>
        </w:rPr>
        <w:t>）</w:t>
      </w:r>
      <w:r>
        <w:rPr>
          <w:rFonts w:hint="eastAsia" w:ascii="仿宋_GB2312" w:hAnsi="Times New Roman" w:cs="Times New Roman"/>
          <w:b/>
          <w:bCs/>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sz w:val="30"/>
        </w:rPr>
      </w:pPr>
      <w:r>
        <w:rPr>
          <w:rFonts w:hint="eastAsia" w:ascii="黑体" w:hAnsi="黑体" w:eastAsia="黑体"/>
          <w:sz w:val="30"/>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对科研项目进行客观评价，最终评分结果：总得分为92.8分，属于“优”。其中，项目决策类指标权重为5分，得分为5分，得分率为 100%。项目过程类指标权重为5分，得分为4.8分，得分率为96%。项目产出类指标权重为50分，得分为43分，得分率为86%。项目效益类指标权重为40分，得分为40分，得分率为100%。</w:t>
      </w:r>
    </w:p>
    <w:p>
      <w:pPr>
        <w:pStyle w:val="4"/>
        <w:keepNext w:val="0"/>
        <w:keepLines w:val="0"/>
        <w:pageBreakBefore w:val="0"/>
        <w:widowControl/>
        <w:kinsoku/>
        <w:wordWrap/>
        <w:overflowPunct/>
        <w:topLinePunct w:val="0"/>
        <w:autoSpaceDE/>
        <w:autoSpaceDN/>
        <w:bidi w:val="0"/>
        <w:adjustRightInd/>
        <w:snapToGrid/>
        <w:spacing w:before="60"/>
        <w:textAlignment w:val="auto"/>
      </w:pPr>
      <w:r>
        <w:rPr>
          <w:rFonts w:ascii="Times New Roman" w:hAnsi="Times New Roman" w:eastAsia="仿宋_GB2312"/>
          <w:sz w:val="30"/>
          <w:szCs w:val="30"/>
        </w:rPr>
        <w:t>表1综合评分表</w:t>
      </w:r>
    </w:p>
    <w:tbl>
      <w:tblPr>
        <w:tblStyle w:val="6"/>
        <w:tblW w:w="891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94"/>
        <w:gridCol w:w="766"/>
        <w:gridCol w:w="1293"/>
        <w:gridCol w:w="1563"/>
        <w:gridCol w:w="923"/>
        <w:gridCol w:w="887"/>
        <w:gridCol w:w="946"/>
        <w:gridCol w:w="991"/>
        <w:gridCol w:w="75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PrEx>
        <w:trPr>
          <w:trHeight w:val="612" w:hRule="atLeast"/>
          <w:tblHeader/>
          <w:jc w:val="center"/>
        </w:trPr>
        <w:tc>
          <w:tcPr>
            <w:tcW w:w="794" w:type="dxa"/>
            <w:shd w:val="clear" w:color="auto" w:fill="AEAAAA" w:themeFill="background2" w:themeFillShade="BF"/>
            <w:vAlign w:val="center"/>
          </w:tcPr>
          <w:p>
            <w:pPr>
              <w:widowControl/>
              <w:spacing w:line="0" w:lineRule="atLeast"/>
              <w:rPr>
                <w:b/>
                <w:bCs/>
                <w:color w:val="000000"/>
                <w:kern w:val="0"/>
                <w:sz w:val="22"/>
                <w:szCs w:val="22"/>
              </w:rPr>
            </w:pPr>
            <w:r>
              <w:rPr>
                <w:b/>
                <w:bCs/>
                <w:color w:val="000000"/>
                <w:kern w:val="0"/>
                <w:sz w:val="22"/>
                <w:szCs w:val="22"/>
              </w:rPr>
              <w:t>一级指标</w:t>
            </w:r>
          </w:p>
        </w:tc>
        <w:tc>
          <w:tcPr>
            <w:tcW w:w="766"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9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56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887"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46"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991"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751"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项目立项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充分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充分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规范</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规范</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明确</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明确</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资金投入</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科学</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科学</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restart"/>
            <w:shd w:val="clear" w:color="auto" w:fill="auto"/>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continue"/>
            <w:shd w:val="clear" w:color="auto" w:fill="auto"/>
            <w:vAlign w:val="center"/>
          </w:tcPr>
          <w:p>
            <w:pPr>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82.6</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仿宋_GB2312"/>
                <w:color w:val="000000"/>
                <w:kern w:val="0"/>
                <w:sz w:val="22"/>
                <w:szCs w:val="22"/>
                <w:lang w:val="en-US" w:eastAsia="zh-CN"/>
              </w:rPr>
            </w:pPr>
            <w:r>
              <w:rPr>
                <w:rFonts w:hint="eastAsia"/>
                <w:color w:val="000000"/>
                <w:kern w:val="0"/>
                <w:sz w:val="22"/>
                <w:szCs w:val="22"/>
                <w:lang w:val="en-US" w:eastAsia="zh-CN"/>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合格</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合格</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组织实施</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健全</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健全</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有效</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有效</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50分</w:t>
            </w: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产出数量</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200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53</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仿宋_GB2312"/>
                <w:color w:val="000000"/>
                <w:kern w:val="0"/>
                <w:sz w:val="22"/>
                <w:szCs w:val="22"/>
                <w:lang w:val="en-US" w:eastAsia="zh-CN"/>
              </w:rPr>
            </w:pPr>
            <w:r>
              <w:rPr>
                <w:rFonts w:hint="eastAsia"/>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产出质量</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shd w:val="clear" w:color="auto" w:fill="auto"/>
            <w:vAlign w:val="center"/>
          </w:tcPr>
          <w:p>
            <w:pPr>
              <w:spacing w:line="0" w:lineRule="atLeast"/>
              <w:jc w:val="center"/>
              <w:rPr>
                <w:color w:val="000000"/>
                <w:kern w:val="0"/>
                <w:sz w:val="22"/>
                <w:szCs w:val="22"/>
              </w:rPr>
            </w:pPr>
            <w:r>
              <w:rPr>
                <w:color w:val="000000"/>
                <w:kern w:val="0"/>
                <w:sz w:val="22"/>
                <w:szCs w:val="22"/>
              </w:rPr>
              <w:t>产出时效</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及时</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及时</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产出成本</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205"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效益　</w:t>
            </w:r>
          </w:p>
        </w:tc>
        <w:tc>
          <w:tcPr>
            <w:tcW w:w="766"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40分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项目效益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30</w:t>
            </w:r>
          </w:p>
        </w:tc>
        <w:tc>
          <w:tcPr>
            <w:tcW w:w="887"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rPr>
              <w:t>≥90%</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75"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满意度</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lang w:val="en-US" w:eastAsia="zh-CN"/>
              </w:rPr>
              <w:t>90</w:t>
            </w:r>
            <w:r>
              <w:rPr>
                <w:color w:val="000000"/>
                <w:kern w:val="0"/>
                <w:sz w:val="22"/>
                <w:szCs w:val="22"/>
              </w:rPr>
              <w:t>%</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bl>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ascii="黑体" w:hAnsi="黑体" w:eastAsia="黑体"/>
        </w:rPr>
      </w:pPr>
      <w:r>
        <w:rPr>
          <w:rFonts w:hint="eastAsia" w:ascii="黑体" w:hAnsi="黑体" w:eastAsia="黑体"/>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rPr>
      </w:pPr>
      <w:r>
        <w:rPr>
          <w:rFonts w:hint="eastAsia" w:ascii="仿宋_GB231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jc w:val="both"/>
        <w:textAlignment w:val="auto"/>
        <w:outlineLvl w:val="9"/>
        <w:rPr>
          <w:rFonts w:hint="eastAsia" w:ascii="仿宋_GB2312" w:hAnsi="Times New Roman" w:cs="Times New Roman"/>
        </w:rPr>
      </w:pPr>
      <w:r>
        <w:rPr>
          <w:rFonts w:hint="eastAsia" w:ascii="仿宋_GB2312" w:hAnsi="Times New Roman" w:cs="Times New Roman"/>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rPr>
      </w:pPr>
      <w:r>
        <w:rPr>
          <w:rFonts w:hint="eastAsia" w:ascii="仿宋_GB2312"/>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jc w:val="both"/>
        <w:textAlignment w:val="auto"/>
        <w:outlineLvl w:val="9"/>
        <w:rPr>
          <w:rFonts w:hint="eastAsia" w:ascii="仿宋_GB2312"/>
        </w:rPr>
      </w:pPr>
      <w:r>
        <w:rPr>
          <w:rFonts w:hint="eastAsia" w:ascii="仿宋_GB2312" w:hAnsi="Times New Roman" w:cs="Times New Roman"/>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rPr>
      </w:pPr>
      <w:r>
        <w:rPr>
          <w:rFonts w:hint="eastAsia" w:ascii="仿宋_GB231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jc w:val="both"/>
        <w:textAlignment w:val="auto"/>
        <w:outlineLvl w:val="9"/>
        <w:rPr>
          <w:rFonts w:hint="default" w:ascii="仿宋_GB2312"/>
          <w:lang w:val="en-US"/>
        </w:rPr>
      </w:pPr>
      <w:r>
        <w:rPr>
          <w:rFonts w:hint="eastAsia" w:ascii="仿宋_GB2312" w:hAnsi="Times New Roman" w:cs="Times New Roman"/>
          <w:lang w:val="en-US" w:eastAsia="zh-CN"/>
        </w:rPr>
        <w:t>两个村村级厕所革命村民补助户数40户，乡村环境美化和亮化施工长度500米，农业生产物资补助户数100户，农业生产物资补助亩数1000亩，组织开展村级文化润疆活动6场次，补助发放次数2次；项目验收合格率100%；补助及时发放到位。</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rPr>
      </w:pPr>
      <w:r>
        <w:rPr>
          <w:rFonts w:hint="eastAsia" w:ascii="仿宋_GB2312"/>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jc w:val="both"/>
        <w:textAlignment w:val="auto"/>
        <w:outlineLvl w:val="9"/>
        <w:rPr>
          <w:rFonts w:hint="eastAsia" w:ascii="仿宋_GB2312"/>
        </w:rPr>
      </w:pPr>
      <w:r>
        <w:rPr>
          <w:rFonts w:hint="eastAsia" w:ascii="仿宋_GB2312" w:hAnsi="Times New Roman" w:cs="Times New Roman"/>
          <w:lang w:val="en-US" w:eastAsia="zh-CN"/>
        </w:rPr>
        <w:t>通过项目的实施，阔尕其艾日克村脱贫人口人均纯收入较上年增长2270元，巴什央都玛村脱贫人口人均纯收入较上年增长1996元，村民对学校</w:t>
      </w:r>
      <w:r>
        <w:rPr>
          <w:rFonts w:hint="eastAsia" w:ascii="仿宋_GB2312" w:hAnsi="Times New Roman" w:cs="Times New Roman"/>
          <w:lang w:val="en-US" w:eastAsia="zh-Hans"/>
        </w:rPr>
        <w:t>驻村工作队乡村振兴</w:t>
      </w:r>
      <w:r>
        <w:rPr>
          <w:rFonts w:hint="eastAsia" w:ascii="仿宋_GB2312" w:hAnsi="Times New Roman" w:cs="Times New Roman"/>
        </w:rPr>
        <w:t>项目</w:t>
      </w:r>
      <w:r>
        <w:rPr>
          <w:rFonts w:hint="eastAsia" w:ascii="仿宋_GB2312" w:hAnsi="Times New Roman" w:cs="Times New Roman"/>
          <w:lang w:val="en-US" w:eastAsia="zh-CN"/>
        </w:rPr>
        <w:t>实施</w:t>
      </w:r>
      <w:r>
        <w:rPr>
          <w:rFonts w:hint="eastAsia" w:ascii="仿宋_GB2312" w:hAnsi="Times New Roman" w:cs="Times New Roman"/>
        </w:rPr>
        <w:t>满意</w:t>
      </w:r>
      <w:r>
        <w:rPr>
          <w:rFonts w:hint="eastAsia" w:ascii="仿宋_GB2312"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ascii="黑体" w:hAnsi="黑体" w:eastAsia="黑体"/>
        </w:rPr>
      </w:pPr>
      <w:r>
        <w:rPr>
          <w:rFonts w:hint="eastAsia" w:ascii="黑体" w:hAnsi="黑体" w:eastAsia="黑体"/>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hAnsi="Times New Roman" w:cs="Times New Roman"/>
          <w:lang w:val="en-US" w:eastAsia="zh-CN"/>
        </w:rPr>
      </w:pPr>
      <w:r>
        <w:rPr>
          <w:rFonts w:hint="eastAsia" w:ascii="仿宋_GB2312" w:hAnsi="Times New Roman" w:cs="Times New Roman"/>
          <w:lang w:eastAsia="zh-CN"/>
        </w:rPr>
        <w:t>（</w:t>
      </w:r>
      <w:r>
        <w:rPr>
          <w:rFonts w:hint="eastAsia" w:ascii="仿宋_GB2312" w:hAnsi="Times New Roman" w:cs="Times New Roman"/>
          <w:lang w:val="en-US" w:eastAsia="zh-CN"/>
        </w:rPr>
        <w:t>一</w:t>
      </w:r>
      <w:r>
        <w:rPr>
          <w:rFonts w:hint="eastAsia" w:ascii="仿宋_GB2312" w:hAnsi="Times New Roman" w:cs="Times New Roman"/>
          <w:lang w:eastAsia="zh-CN"/>
        </w:rPr>
        <w:t>）</w:t>
      </w:r>
      <w:r>
        <w:rPr>
          <w:rFonts w:hint="eastAsia" w:ascii="仿宋_GB2312" w:hAnsi="Times New Roman" w:cs="Times New Roman"/>
          <w:lang w:val="en-US" w:eastAsia="zh-CN"/>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hAnsi="Times New Roman" w:cs="Times New Roman"/>
        </w:rPr>
      </w:pPr>
      <w:r>
        <w:rPr>
          <w:rFonts w:hint="eastAsia" w:ascii="仿宋_GB2312" w:hAnsi="Times New Roman" w:cs="Times New Roma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w:t>
      </w:r>
      <w:r>
        <w:rPr>
          <w:rFonts w:hint="eastAsia" w:ascii="仿宋_GB2312" w:hAnsi="Times New Roman" w:cs="Times New Roman"/>
          <w:lang w:val="en-US" w:eastAsia="zh-CN"/>
        </w:rPr>
        <w:t>及验收建档</w:t>
      </w:r>
      <w:r>
        <w:rPr>
          <w:rFonts w:hint="eastAsia" w:ascii="仿宋_GB2312" w:hAnsi="Times New Roman" w:cs="Times New Roman"/>
        </w:rPr>
        <w:t>工作。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hAnsi="Times New Roman" w:cs="Times New Roman"/>
        </w:rPr>
      </w:pPr>
      <w:r>
        <w:rPr>
          <w:rFonts w:hint="eastAsia" w:ascii="仿宋_GB2312" w:hAnsi="Times New Roman" w:cs="Times New Roman"/>
        </w:rPr>
        <w:t>严格坚持先做事、后验收、再拨付的原则，基本杜绝了资金被挤占和挪用现象的发生，跟踪检查到位。</w:t>
      </w:r>
      <w:r>
        <w:rPr>
          <w:rFonts w:hint="eastAsia" w:ascii="仿宋_GB2312" w:hAnsi="Times New Roman" w:cs="Times New Roman"/>
          <w:lang w:val="en-US" w:eastAsia="zh-CN"/>
        </w:rPr>
        <w:t>财务</w:t>
      </w:r>
      <w:r>
        <w:rPr>
          <w:rFonts w:hint="eastAsia" w:ascii="仿宋_GB2312" w:hAnsi="Times New Roman" w:cs="Times New Roman"/>
        </w:rPr>
        <w:t>、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hAnsi="Times New Roman" w:cs="Times New Roman"/>
          <w:lang w:val="en-US" w:eastAsia="zh-CN"/>
        </w:rPr>
      </w:pPr>
      <w:r>
        <w:rPr>
          <w:rFonts w:hint="eastAsia" w:ascii="仿宋_GB2312" w:hAnsi="Times New Roman" w:cs="Times New Roman"/>
          <w:lang w:eastAsia="zh-CN"/>
        </w:rPr>
        <w:t>（</w:t>
      </w:r>
      <w:r>
        <w:rPr>
          <w:rFonts w:hint="eastAsia" w:ascii="仿宋_GB2312" w:hAnsi="Times New Roman" w:cs="Times New Roman"/>
          <w:lang w:val="en-US" w:eastAsia="zh-CN"/>
        </w:rPr>
        <w:t>二</w:t>
      </w:r>
      <w:r>
        <w:rPr>
          <w:rFonts w:hint="eastAsia" w:ascii="仿宋_GB2312" w:hAnsi="Times New Roman" w:cs="Times New Roman"/>
          <w:lang w:eastAsia="zh-CN"/>
        </w:rPr>
        <w:t>）</w:t>
      </w:r>
      <w:r>
        <w:rPr>
          <w:rFonts w:hint="eastAsia" w:ascii="仿宋_GB2312" w:hAnsi="Times New Roman" w:cs="Times New Roman"/>
          <w:lang w:val="en-US" w:eastAsia="zh-CN"/>
        </w:rPr>
        <w:t>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hAnsi="Times New Roman" w:cs="Times New Roman"/>
          <w:lang w:val="en-US" w:eastAsia="zh-CN"/>
        </w:rPr>
      </w:pPr>
      <w:r>
        <w:rPr>
          <w:rFonts w:hint="eastAsia" w:ascii="仿宋_GB2312" w:hAnsi="Times New Roman" w:cs="Times New Roman"/>
          <w:lang w:val="en-US" w:eastAsia="zh-CN"/>
        </w:rPr>
        <w:t>一是</w:t>
      </w:r>
      <w:r>
        <w:rPr>
          <w:rFonts w:hint="default" w:ascii="仿宋_GB2312" w:hAnsi="Times New Roman" w:cs="Times New Roman"/>
          <w:lang w:val="en-US" w:eastAsia="zh-CN"/>
        </w:rPr>
        <w:t>预算还存在不足，</w:t>
      </w:r>
      <w:r>
        <w:rPr>
          <w:rFonts w:hint="eastAsia" w:ascii="仿宋_GB2312" w:hAnsi="Times New Roman" w:cs="Times New Roman"/>
          <w:lang w:val="en-US" w:eastAsia="zh-CN"/>
        </w:rPr>
        <w:t>预算经济科目与实际执行存在偏差，导致经费无法支出；二是预算绩效管理还存在不足，</w:t>
      </w:r>
      <w:r>
        <w:rPr>
          <w:rFonts w:hint="default" w:ascii="仿宋_GB2312" w:hAnsi="Times New Roman" w:cs="Times New Roman"/>
          <w:lang w:val="en-US" w:eastAsia="zh-CN"/>
        </w:rPr>
        <w:t>绩效目标设置</w:t>
      </w:r>
      <w:r>
        <w:rPr>
          <w:rFonts w:hint="eastAsia" w:ascii="仿宋_GB2312" w:hAnsi="Times New Roman" w:cs="Times New Roman"/>
          <w:lang w:val="en-US" w:eastAsia="zh-CN"/>
        </w:rPr>
        <w:t>合理性</w:t>
      </w:r>
      <w:r>
        <w:rPr>
          <w:rFonts w:hint="default" w:ascii="仿宋_GB2312" w:hAnsi="Times New Roman" w:cs="Times New Roman"/>
          <w:lang w:val="en-US" w:eastAsia="zh-CN"/>
        </w:rPr>
        <w:t>方面存在欠缺</w:t>
      </w:r>
      <w:r>
        <w:rPr>
          <w:rFonts w:hint="eastAsia" w:ascii="仿宋_GB2312" w:hAnsi="Times New Roman" w:cs="Times New Roman"/>
          <w:lang w:val="en-US" w:eastAsia="zh-CN"/>
        </w:rPr>
        <w:t>；部分绩效指标设置偏低，比如户厕改革目标值是</w:t>
      </w:r>
      <w:r>
        <w:rPr>
          <w:rFonts w:hint="eastAsia" w:ascii="宋体" w:hAnsi="宋体" w:eastAsia="宋体" w:cs="宋体"/>
          <w:lang w:val="en-US" w:eastAsia="zh-CN"/>
        </w:rPr>
        <w:t>≧</w:t>
      </w:r>
      <w:r>
        <w:rPr>
          <w:rFonts w:hint="eastAsia" w:ascii="仿宋_GB2312" w:hAnsi="Times New Roman" w:cs="Times New Roman"/>
          <w:lang w:val="en-US" w:eastAsia="zh-CN"/>
        </w:rPr>
        <w:t>20户，实际完成值是40户，指标完成率正偏差较大。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ascii="黑体" w:hAnsi="黑体" w:eastAsia="黑体"/>
        </w:rPr>
      </w:pPr>
      <w:r>
        <w:rPr>
          <w:rFonts w:hint="eastAsia" w:ascii="黑体" w:hAnsi="黑体" w:eastAsia="黑体"/>
        </w:rPr>
        <w:t>六、有关建议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黑体" w:hAnsi="黑体" w:eastAsia="黑体"/>
        </w:rPr>
      </w:pPr>
      <w:r>
        <w:rPr>
          <w:rFonts w:hint="eastAsia" w:ascii="仿宋_GB2312" w:hAnsi="Times New Roman" w:cs="Times New Roman"/>
        </w:rPr>
        <w:t>进一步加强对绩效管理工作的</w:t>
      </w:r>
      <w:r>
        <w:rPr>
          <w:rFonts w:hint="eastAsia" w:ascii="仿宋_GB2312" w:hAnsi="Times New Roman" w:cs="Times New Roman"/>
          <w:lang w:val="en-US" w:eastAsia="zh-CN"/>
        </w:rPr>
        <w:t>学习</w:t>
      </w:r>
      <w:r>
        <w:rPr>
          <w:rFonts w:hint="eastAsia" w:ascii="仿宋_GB2312" w:hAnsi="Times New Roman" w:cs="Times New Roman"/>
        </w:rPr>
        <w:t>，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黑体" w:hAnsi="黑体" w:eastAsia="黑体"/>
        </w:rPr>
      </w:pPr>
      <w:r>
        <w:rPr>
          <w:rFonts w:hint="eastAsia" w:ascii="黑体" w:hAnsi="黑体" w:eastAsia="黑体"/>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仿宋_GB2312" w:hAnsi="Times New Roman" w:cs="Times New Roman"/>
          <w:lang w:val="en-US" w:eastAsia="zh-CN"/>
        </w:rPr>
      </w:pPr>
      <w:r>
        <w:rPr>
          <w:rFonts w:hint="eastAsia" w:ascii="仿宋_GB2312" w:hAnsi="Times New Roman" w:cs="Times New Roman"/>
          <w:lang w:val="en-US" w:eastAsia="zh-CN"/>
        </w:rPr>
        <w:t>无。</w:t>
      </w: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pPr>
    </w:p>
    <w:p>
      <w:pPr>
        <w:pStyle w:val="3"/>
        <w:rPr>
          <w:rFonts w:hint="eastAsia" w:ascii="仿宋_GB2312"/>
          <w:bCs/>
          <w:sz w:val="32"/>
          <w:szCs w:val="32"/>
        </w:rPr>
        <w:sectPr>
          <w:pgSz w:w="11906" w:h="16838"/>
          <w:pgMar w:top="1928" w:right="1531" w:bottom="1701" w:left="1531" w:header="737" w:footer="851" w:gutter="0"/>
          <w:cols w:space="720" w:num="1"/>
          <w:docGrid w:type="lines" w:linePitch="408" w:charSpace="0"/>
        </w:sectPr>
      </w:pP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5"/>
        <w:gridCol w:w="654"/>
        <w:gridCol w:w="697"/>
        <w:gridCol w:w="1371"/>
        <w:gridCol w:w="1054"/>
        <w:gridCol w:w="740"/>
        <w:gridCol w:w="954"/>
        <w:gridCol w:w="699"/>
        <w:gridCol w:w="785"/>
        <w:gridCol w:w="555"/>
        <w:gridCol w:w="850"/>
        <w:gridCol w:w="723"/>
        <w:gridCol w:w="855"/>
        <w:gridCol w:w="2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0" w:type="auto"/>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2024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自治区农业农村厅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新疆农业职业技术大学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分值权重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100.79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100.79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院作为后盾单位，持续发挥技术和人才优势，扎实有序帮扶洛浦县多鲁乡阔尕其艾日克村、巴什央都玛村推进乡村发展建设、技术服务、产业项目扶持等定点帮扶工作。2024年度122万项目资金主要用于：改善村容村貌、乡村环境美化、农业生产发展、庭院人居环境以及驻村工作队配套补助等。该项目紧紧围绕自治区总目标建设，依靠发展村级农业产业发展增加群众收入，为脱贫攻坚与乡村振兴有效衔接提供持续动力。</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院作为后盾单位，持续发挥技术和人才优势，扎实有序帮扶洛浦县多鲁乡阔尕其艾日克村、巴什央都玛村推进乡村发展建设、技术服务、产业项目扶持等定点帮扶工作。2024年度实际投入100.79万元项目资金主要用于改善村容村貌、乡村环境美化、农业生产发展、庭院人居环境以及驻村工作队工作运转，阔尕其艾日克村脱贫人口人均纯收入较上年增长2270元，巴什央都玛村脱贫人口人均纯收入较上年增长1996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指标值设置依据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上年完成值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村级厕所革命村民补助户数（两个村）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&gt;=20户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为进一步发挥资金效益，激励村民内生动力，户厕补助发放形式由全额补助调整为村民自费和项目资金各50%的比例进行。改进措施：严格按照预算执行。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乡村环境美化和亮化施工长度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&gt;=500米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农业生产物资补助户数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&gt;=100户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农业生产物资补助亩数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&gt;=1000亩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组织开展村级文化润疆活动场次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&gt;=6场次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6场次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6场次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补助发放次数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补助发放及时率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促进当地农民收入增长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村民满意度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pStyle w:val="3"/>
        <w:rPr>
          <w:rFonts w:hint="eastAsia" w:ascii="仿宋_GB2312"/>
          <w:bCs/>
          <w:sz w:val="32"/>
          <w:szCs w:val="32"/>
        </w:rPr>
        <w:sectPr>
          <w:pgSz w:w="16838" w:h="11906" w:orient="landscape"/>
          <w:pgMar w:top="1531" w:right="1928" w:bottom="1531" w:left="1701" w:header="737" w:footer="851" w:gutter="0"/>
          <w:cols w:space="720" w:num="1"/>
          <w:docGrid w:type="lines" w:linePitch="408" w:charSpace="0"/>
        </w:sectPr>
      </w:pPr>
    </w:p>
    <w:p>
      <w:pPr>
        <w:pStyle w:val="3"/>
        <w:rPr>
          <w:rFonts w:hint="eastAsia" w:ascii="仿宋_GB2312"/>
          <w:bCs/>
          <w:sz w:val="32"/>
          <w:szCs w:val="32"/>
        </w:rPr>
      </w:pPr>
    </w:p>
    <w:p>
      <w:pPr>
        <w:spacing w:line="600" w:lineRule="exact"/>
        <w:rPr>
          <w:rFonts w:hint="eastAsia"/>
          <w:bCs/>
          <w:sz w:val="32"/>
          <w:szCs w:val="32"/>
          <w:lang w:val="en-US" w:eastAsia="zh-CN"/>
        </w:rPr>
      </w:pPr>
      <w:r>
        <w:rPr>
          <w:bCs/>
          <w:sz w:val="32"/>
          <w:szCs w:val="32"/>
        </w:rPr>
        <w:t>附件1</w:t>
      </w:r>
      <w:r>
        <w:rPr>
          <w:rFonts w:hint="eastAsia"/>
          <w:bCs/>
          <w:sz w:val="32"/>
          <w:szCs w:val="32"/>
          <w:lang w:val="en-US" w:eastAsia="zh-CN"/>
        </w:rPr>
        <w:t xml:space="preserve"> </w:t>
      </w:r>
    </w:p>
    <w:p>
      <w:pPr>
        <w:spacing w:line="600" w:lineRule="exact"/>
        <w:jc w:val="center"/>
        <w:rPr>
          <w:rFonts w:hint="eastAsia" w:eastAsia="仿宋_GB2312"/>
          <w:bCs/>
          <w:sz w:val="32"/>
          <w:szCs w:val="32"/>
          <w:lang w:val="en-US" w:eastAsia="zh-CN"/>
        </w:rPr>
      </w:pPr>
      <w:r>
        <w:rPr>
          <w:rFonts w:hint="eastAsia" w:ascii="Times New Roman" w:hAnsi="Times New Roman" w:cs="Times New Roman" w:eastAsiaTheme="majorEastAsia"/>
          <w:b/>
          <w:bCs/>
          <w:kern w:val="28"/>
          <w:sz w:val="32"/>
          <w:szCs w:val="32"/>
          <w:lang w:val="en-US" w:eastAsia="zh-CN" w:bidi="ar-SA"/>
        </w:rPr>
        <w:t>绩效评价指标体系及评分过程</w:t>
      </w:r>
    </w:p>
    <w:tbl>
      <w:tblPr>
        <w:tblStyle w:val="6"/>
        <w:tblW w:w="96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17"/>
        <w:gridCol w:w="728"/>
        <w:gridCol w:w="728"/>
        <w:gridCol w:w="2040"/>
        <w:gridCol w:w="3934"/>
        <w:gridCol w:w="728"/>
        <w:gridCol w:w="73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717"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04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3934"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项目立项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2"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5"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17" w:type="dxa"/>
            <w:vMerge w:val="restart"/>
            <w:shd w:val="clear" w:color="auto" w:fill="auto"/>
            <w:vAlign w:val="center"/>
          </w:tcPr>
          <w:p>
            <w:pPr>
              <w:spacing w:line="0" w:lineRule="atLeast"/>
              <w:jc w:val="center"/>
              <w:rPr>
                <w:color w:val="000000"/>
                <w:kern w:val="0"/>
                <w:sz w:val="22"/>
                <w:szCs w:val="22"/>
              </w:rPr>
            </w:pPr>
            <w:r>
              <w:rPr>
                <w:color w:val="000000"/>
                <w:kern w:val="0"/>
                <w:sz w:val="22"/>
                <w:szCs w:val="22"/>
              </w:rPr>
              <w:t>过程</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rFonts w:hint="default" w:eastAsia="仿宋_GB2312"/>
                <w:b/>
                <w:bCs/>
                <w:color w:val="000000"/>
                <w:kern w:val="0"/>
                <w:sz w:val="22"/>
                <w:szCs w:val="22"/>
                <w:lang w:val="en-US" w:eastAsia="zh-CN"/>
              </w:rPr>
            </w:pPr>
            <w:r>
              <w:rPr>
                <w:rFonts w:hint="eastAsia"/>
                <w:b/>
                <w:bCs/>
                <w:color w:val="000000"/>
                <w:kern w:val="0"/>
                <w:sz w:val="22"/>
                <w:szCs w:val="22"/>
                <w:lang w:val="en-US" w:eastAsia="zh-CN"/>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3"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71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产出数量</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产出质量</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spacing w:line="0" w:lineRule="atLeast"/>
              <w:jc w:val="center"/>
              <w:rPr>
                <w:color w:val="000000"/>
                <w:kern w:val="0"/>
                <w:sz w:val="22"/>
                <w:szCs w:val="22"/>
              </w:rPr>
            </w:pPr>
            <w:r>
              <w:rPr>
                <w:color w:val="000000"/>
                <w:kern w:val="0"/>
                <w:sz w:val="22"/>
                <w:szCs w:val="22"/>
              </w:rPr>
              <w:t>产出时效</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产出成本</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效益　</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项目效益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实施效益</w:t>
            </w:r>
          </w:p>
        </w:tc>
        <w:tc>
          <w:tcPr>
            <w:tcW w:w="2040" w:type="dxa"/>
            <w:shd w:val="clear" w:color="auto" w:fill="auto"/>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30</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满意度</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bl>
    <w:p>
      <w:pPr>
        <w:pStyle w:val="3"/>
        <w:rPr>
          <w:rFonts w:hint="eastAsia"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6FD4082"/>
    <w:rsid w:val="07A64AE1"/>
    <w:rsid w:val="0E5F50FF"/>
    <w:rsid w:val="1F0B55D3"/>
    <w:rsid w:val="45BD6B2E"/>
    <w:rsid w:val="45EC0627"/>
    <w:rsid w:val="46876249"/>
    <w:rsid w:val="533B4519"/>
    <w:rsid w:val="64771FD3"/>
    <w:rsid w:val="68F000F7"/>
    <w:rsid w:val="6E0B0D4F"/>
    <w:rsid w:val="6F4155A5"/>
    <w:rsid w:val="786A4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rPr>
      <w:rFonts w:ascii="Calibri" w:hAnsi="Calibri" w:eastAsia="宋体"/>
    </w:rPr>
  </w:style>
  <w:style w:type="paragraph" w:styleId="3">
    <w:name w:val="Plain Text"/>
    <w:basedOn w:val="1"/>
    <w:qFormat/>
    <w:uiPriority w:val="99"/>
    <w:pPr>
      <w:spacing w:line="0" w:lineRule="atLeast"/>
    </w:pPr>
    <w:rPr>
      <w:rFonts w:hAnsi="Courier New"/>
      <w:sz w:val="24"/>
      <w:szCs w:val="20"/>
    </w:rPr>
  </w:style>
  <w:style w:type="paragraph" w:styleId="4">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ody Text First Indent 2"/>
    <w:basedOn w:val="2"/>
    <w:autoRedefine/>
    <w:qFormat/>
    <w:uiPriority w:val="0"/>
    <w:pPr>
      <w:ind w:firstLine="420" w:firstLineChars="200"/>
    </w:pPr>
  </w:style>
  <w:style w:type="character" w:styleId="8">
    <w:name w:val="Strong"/>
    <w:basedOn w:val="7"/>
    <w:autoRedefine/>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6881</Words>
  <Characters>7319</Characters>
  <Lines>0</Lines>
  <Paragraphs>0</Paragraphs>
  <TotalTime>2</TotalTime>
  <ScaleCrop>false</ScaleCrop>
  <LinksUpToDate>false</LinksUpToDate>
  <CharactersWithSpaces>7350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eyJoZGlkIjoiOWNkNTExNGRkZmJhOGEwM2ViNzE1ZmU3NTY0NTBhMDkiLCJ1c2VySWQiOiI5NzY5NjA3ODAifQ==</vt:lpwstr>
  </property>
</Properties>
</file>