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2025</w:t>
      </w:r>
      <w:r>
        <w:rPr>
          <w:rFonts w:hint="eastAsia" w:hAnsi="宋体" w:eastAsia="仿宋_GB2312" w:cs="宋体"/>
          <w:kern w:val="0"/>
          <w:sz w:val="36"/>
          <w:szCs w:val="36"/>
        </w:rPr>
        <w:t xml:space="preserve">年 </w:t>
      </w:r>
      <w:r>
        <w:rPr>
          <w:rFonts w:hint="eastAsia" w:hAnsi="宋体"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cs="宋体"/>
          <w:kern w:val="0"/>
          <w:sz w:val="36"/>
          <w:szCs w:val="36"/>
          <w:lang w:val="en-US" w:eastAsia="zh-CN"/>
        </w:rPr>
        <w:t>28</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hint="eastAsia" w:ascii="仿宋_GB2312"/>
        </w:rPr>
      </w:pPr>
      <w:r>
        <w:rPr>
          <w:rFonts w:hint="eastAsia" w:ascii="仿宋_GB2312"/>
        </w:rPr>
        <w:t>（一）项目概况</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lang w:val="en-US" w:eastAsia="zh-CN"/>
        </w:rPr>
        <w:t>培训及科研保障经费项目由五个专项构成，其中自治区人才发展专项</w:t>
      </w:r>
      <w:r>
        <w:rPr>
          <w:rFonts w:hint="eastAsia" w:ascii="仿宋_GB2312" w:hAnsi="Times New Roman" w:cs="Times New Roman"/>
          <w:lang w:val="en-US" w:eastAsia="zh-CN"/>
        </w:rPr>
        <w:t>项目实施内容主要包括5个方面，一是</w:t>
      </w:r>
      <w:r>
        <w:rPr>
          <w:rFonts w:hint="eastAsia" w:ascii="仿宋_GB2312"/>
          <w:lang w:val="en-US" w:eastAsia="zh-CN"/>
        </w:rPr>
        <w:t>自治区人才发展专项项目。项目资金已于2021年由农业农村厅拨付至学院财政专户，2022年安排培训预算后支出46万，2023年未做支出预算编制，2024年</w:t>
      </w:r>
      <w:r>
        <w:rPr>
          <w:rFonts w:hint="eastAsia" w:ascii="仿宋_GB2312" w:hAnsi="Times New Roman" w:cs="Times New Roman"/>
          <w:lang w:val="en-US" w:eastAsia="zh-CN"/>
        </w:rPr>
        <w:t>围绕农业科技创新人才、种业科技振兴人才培训、智慧农业人才、大食物观与农业生物安全人才、农业技术推广骨干人才五个专题开展培训，项目资金</w:t>
      </w:r>
      <w:r>
        <w:rPr>
          <w:rFonts w:hint="eastAsia" w:ascii="仿宋_GB2312"/>
          <w:lang w:val="en-US" w:eastAsia="zh-CN"/>
        </w:rPr>
        <w:t>主要用于开展人才培养专项培训的全过程支出。</w:t>
      </w:r>
      <w:r>
        <w:rPr>
          <w:rFonts w:hint="eastAsia" w:ascii="仿宋_GB2312" w:hAnsi="Times New Roman" w:cs="Times New Roman"/>
          <w:lang w:val="en-US" w:eastAsia="zh-CN"/>
        </w:rPr>
        <w:t>二是依托学校农业行业专业技术人员继续教育基地开展农业行业专业技术人员继续教育；三是支付2019年现代农业支撑体系中央基建质保金及尾款；四是支持3-5个科研创新团队和5名新入职的高层次人才启动科研项目；五是发挥自治区科普教育基地作用，开展科普宣传教育活动和学校科研成果宣传推介。</w:t>
      </w:r>
    </w:p>
    <w:p>
      <w:pPr>
        <w:spacing w:line="600" w:lineRule="exact"/>
        <w:ind w:firstLine="600" w:firstLineChars="200"/>
        <w:outlineLvl w:val="0"/>
        <w:rPr>
          <w:rFonts w:hint="default" w:ascii="仿宋_GB2312"/>
          <w:lang w:val="en-US"/>
        </w:rPr>
      </w:pPr>
      <w:r>
        <w:rPr>
          <w:rFonts w:hint="eastAsia" w:ascii="仿宋_GB2312"/>
          <w:lang w:val="en-US" w:eastAsia="zh-CN"/>
        </w:rPr>
        <w:t>培训及科研保障经费项目</w:t>
      </w:r>
      <w:r>
        <w:rPr>
          <w:rFonts w:hint="eastAsia" w:ascii="仿宋_GB2312" w:hAnsi="Times New Roman" w:cs="Times New Roman"/>
          <w:lang w:val="en-US" w:eastAsia="zh-CN"/>
        </w:rPr>
        <w:t>预算资金391.8万元，项目资金主要用于培训场地、食宿、课时费、科研课题业务费、科普教育活动及科研成果推介的交通费、宣传展示费用。截止2024年12月，项目资金支出336.91万元，资金执行率为86%。</w:t>
      </w:r>
    </w:p>
    <w:p>
      <w:pPr>
        <w:spacing w:line="600" w:lineRule="exact"/>
        <w:ind w:firstLine="600" w:firstLineChars="200"/>
        <w:rPr>
          <w:rFonts w:hint="eastAsia" w:ascii="仿宋_GB2312"/>
        </w:rPr>
      </w:pPr>
      <w:r>
        <w:rPr>
          <w:rFonts w:hint="eastAsia" w:ascii="仿宋_GB2312"/>
        </w:rPr>
        <w:t>（二）项目绩效目标</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1.总体目标</w:t>
      </w:r>
    </w:p>
    <w:p>
      <w:pPr>
        <w:spacing w:line="600" w:lineRule="exact"/>
        <w:ind w:firstLine="600" w:firstLineChars="200"/>
        <w:outlineLvl w:val="0"/>
        <w:rPr>
          <w:rFonts w:hint="default" w:ascii="仿宋_GB2312" w:hAnsi="Times New Roman" w:cs="Times New Roman"/>
          <w:lang w:val="en-US" w:eastAsia="zh-CN"/>
        </w:rPr>
      </w:pPr>
      <w:r>
        <w:rPr>
          <w:rFonts w:hint="eastAsia" w:ascii="仿宋_GB2312" w:hAnsi="Times New Roman" w:cs="Times New Roman"/>
          <w:lang w:val="en-US" w:eastAsia="zh-CN"/>
        </w:rPr>
        <w:t>充分利用新疆农业职业技术学院师资和技术优势，面向农业行业企业开展技术攻关，加速科技成果转化，推动农业产业技术升级；按照自治区八大产业集群中的涉农主导特色产业对技术和人才需求，有针对性的开展农业科技创新、种业科技振兴、智慧农业、农业生物与食品质量安全、农技推广等领域关键技术培训，提高广大农业科技人员的理论水平、业务素质和服务能力</w:t>
      </w:r>
      <w:r>
        <w:rPr>
          <w:rFonts w:hint="default" w:ascii="仿宋_GB2312" w:hAnsi="Times New Roman" w:cs="Times New Roman"/>
          <w:lang w:val="en-US" w:eastAsia="zh-CN"/>
        </w:rPr>
        <w:t>。</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2.阶段性目标</w:t>
      </w:r>
    </w:p>
    <w:tbl>
      <w:tblPr>
        <w:tblStyle w:val="5"/>
        <w:tblW w:w="92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2"/>
        <w:gridCol w:w="1549"/>
        <w:gridCol w:w="5007"/>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一级指标</w:t>
            </w: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二级指标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三级指标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产出指标</w:t>
            </w:r>
          </w:p>
        </w:tc>
        <w:tc>
          <w:tcPr>
            <w:tcW w:w="154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数量指标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农业行业专业技术人员继续教育培训人次</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&gt;=500人次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农业科技创新人才培训人数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&gt;=40人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种业科技振兴人才培训人数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&gt;=40人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智慧农业人才培训人数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&gt;=40人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农业转基因生物安全管理人数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&gt;=100人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农技推广骨干人才培训人数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&gt;=40人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昌吉州水肥一体化智能施肥技术推广培训人数</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&gt;=120人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科研成果（论文、专利、软著、新技术、新品种等）</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&gt;=5项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质量指标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培训合格率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培训出勤率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时效指标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培训按期完成率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9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成本指标</w:t>
            </w:r>
          </w:p>
        </w:tc>
        <w:tc>
          <w:tcPr>
            <w:tcW w:w="154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经济成本指标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农业行业专业技术人员继续教育培训费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&lt;=9万元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人才培养专项经费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&lt;=254万元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192"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科研创新团队和博士科研经费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&lt;=120万元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92"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1549"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auto"/>
                <w:sz w:val="22"/>
                <w:szCs w:val="22"/>
                <w:u w:val="none"/>
              </w:rPr>
            </w:pP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科普活动等经费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&lt;=8.80万元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满意度指标</w:t>
            </w: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满意度指标</w:t>
            </w:r>
          </w:p>
        </w:tc>
        <w:tc>
          <w:tcPr>
            <w:tcW w:w="5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参训学员满意度</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&gt;=98%</w:t>
            </w:r>
          </w:p>
        </w:tc>
      </w:tr>
    </w:tbl>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2" w:firstLineChars="200"/>
        <w:rPr>
          <w:rFonts w:hint="eastAsia" w:ascii="仿宋_GB2312"/>
          <w:b/>
          <w:bCs/>
        </w:rPr>
      </w:pPr>
      <w:r>
        <w:rPr>
          <w:rFonts w:hint="eastAsia" w:ascii="仿宋_GB2312"/>
          <w:b/>
          <w:bCs/>
        </w:rPr>
        <w:t>（一）绩效评价目的、对象和范围</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hAnsi="Times New Roman" w:cs="Times New Roman"/>
          <w:lang w:val="en-US" w:eastAsia="zh-CN"/>
        </w:rPr>
        <w:t>对新疆农业职业技术大学</w:t>
      </w:r>
      <w:r>
        <w:rPr>
          <w:rFonts w:hint="eastAsia" w:ascii="仿宋_GB2312"/>
          <w:lang w:val="en-US" w:eastAsia="zh-CN"/>
        </w:rPr>
        <w:t>培训及科研保障经费项目</w:t>
      </w:r>
      <w:r>
        <w:rPr>
          <w:rFonts w:hint="eastAsia" w:ascii="仿宋_GB2312" w:hAnsi="Times New Roman" w:cs="Times New Roman"/>
          <w:lang w:val="en-US" w:eastAsia="zh-CN"/>
        </w:rPr>
        <w:t>进行绩效评价，目的在于了解项目资金使用和项目管理情况，同时对项目所达到的阶段性效益进行考量，以发现本项目在项目管理及预算资金安排等方面存在的问题并提出针对性的意见，以达到改进预算管理、控制节约成本，提高预算资金使用效益的目的。</w:t>
      </w:r>
    </w:p>
    <w:p>
      <w:pPr>
        <w:spacing w:line="600" w:lineRule="exact"/>
        <w:ind w:firstLine="602" w:firstLineChars="200"/>
        <w:rPr>
          <w:rFonts w:hint="eastAsia" w:ascii="仿宋_GB2312"/>
          <w:b/>
          <w:bCs/>
        </w:rPr>
      </w:pPr>
      <w:r>
        <w:rPr>
          <w:rFonts w:hint="eastAsia" w:ascii="仿宋_GB2312"/>
          <w:b/>
          <w:bCs/>
        </w:rPr>
        <w:t>（二）绩效评价原则、评价指标体系（附表说明）、评价方法、评价标准等</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1.绩效评价原则</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本次评价坚持定量优先、定量与定性相结合的方式，始终遵循科学规范、公正公开、分级分类、绩效相关的基本原则。</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2.评价指标体系</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按照逻辑分析法设计，包括项目决策、项目过程、项目产出、影响力四部分内容。其中项目决策权重为5分，项目过程权重为5分，项目产出权重为50分，项目效益权重为40分。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根据自治区财政厅《关于印发〈自治区本级财政支出绩效评价管理暂行办法〉的通知》(新财预〔2018〕188号)、项目支出绩效评级管理办法(财预〔2020〕10号)等相关文件要求，本次专项资金的评价指标体系包括评价指标、权重、指标解释、计算公式、评分标准。绩效评价总分值100分，根据综合评分结果，评价计分90分-100分(含90分)对应的评分结果级别为优，80-90分(含80分)对应的评分结果级别为良，60-80分(含60分)对应的评分结果级别为中，60分以下对应的评分结果级别为差。完整的绩效评价指标体系及评分过程详见附件1。</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3.评价方法</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4.评价标准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绩效评价标准通常包括计划标准、行业标准、历史标准等，用于对绩效指标完成情况进行比较。本次评价主要采用了计划标准和行业标准。</w:t>
      </w:r>
    </w:p>
    <w:p>
      <w:pPr>
        <w:spacing w:line="600" w:lineRule="exact"/>
        <w:ind w:firstLine="602" w:firstLineChars="200"/>
        <w:rPr>
          <w:rFonts w:hint="eastAsia" w:ascii="仿宋_GB2312" w:hAnsi="Times New Roman" w:cs="Times New Roman"/>
          <w:b/>
          <w:bCs/>
        </w:rPr>
      </w:pPr>
      <w:r>
        <w:rPr>
          <w:rFonts w:hint="eastAsia" w:ascii="仿宋_GB2312" w:hAnsi="Times New Roman" w:cs="Times New Roman"/>
          <w:b/>
          <w:bCs/>
          <w:lang w:eastAsia="zh-CN"/>
        </w:rPr>
        <w:t>（</w:t>
      </w:r>
      <w:r>
        <w:rPr>
          <w:rFonts w:hint="eastAsia" w:ascii="仿宋_GB2312" w:hAnsi="Times New Roman" w:cs="Times New Roman"/>
          <w:b/>
          <w:bCs/>
          <w:lang w:val="en-US" w:eastAsia="zh-CN"/>
        </w:rPr>
        <w:t>三</w:t>
      </w:r>
      <w:r>
        <w:rPr>
          <w:rFonts w:hint="eastAsia" w:ascii="仿宋_GB2312" w:hAnsi="Times New Roman" w:cs="Times New Roman"/>
          <w:b/>
          <w:bCs/>
          <w:lang w:eastAsia="zh-CN"/>
        </w:rPr>
        <w:t>）</w:t>
      </w:r>
      <w:r>
        <w:rPr>
          <w:rFonts w:hint="eastAsia" w:ascii="仿宋_GB2312" w:hAnsi="Times New Roman" w:cs="Times New Roman"/>
          <w:b/>
          <w:bCs/>
        </w:rPr>
        <w:t>绩效评价工作过程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00" w:firstLineChars="200"/>
        <w:rPr>
          <w:rFonts w:hint="eastAsia" w:ascii="仿宋_GB2312"/>
          <w:sz w:val="30"/>
        </w:rPr>
      </w:pPr>
      <w:r>
        <w:rPr>
          <w:rFonts w:hint="eastAsia" w:ascii="黑体" w:hAnsi="黑体" w:eastAsia="黑体"/>
          <w:sz w:val="30"/>
        </w:rPr>
        <w:t>三、综合评价情况及评价结论</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对科研项目进行客观评价，最终评分结果：总得分为</w:t>
      </w:r>
      <w:r>
        <w:rPr>
          <w:rFonts w:hint="eastAsia" w:ascii="仿宋_GB2312" w:cs="Times New Roman"/>
          <w:lang w:val="en-US" w:eastAsia="zh-CN"/>
        </w:rPr>
        <w:t>98.4</w:t>
      </w:r>
      <w:r>
        <w:rPr>
          <w:rFonts w:hint="eastAsia" w:ascii="仿宋_GB2312" w:hAnsi="Times New Roman" w:cs="Times New Roman"/>
          <w:lang w:val="en-US" w:eastAsia="zh-CN"/>
        </w:rPr>
        <w:t>分，属于“优”。其中，项目决策类指标权重为5分，得分为5分，得分率为 100%。项目过程类指标权重为5分，得分为5分，得分率为100%。项目产出类指标权重为50分，得分为</w:t>
      </w:r>
      <w:r>
        <w:rPr>
          <w:rFonts w:hint="eastAsia" w:ascii="仿宋_GB2312" w:cs="Times New Roman"/>
          <w:lang w:val="en-US" w:eastAsia="zh-CN"/>
        </w:rPr>
        <w:t>48.6</w:t>
      </w:r>
      <w:r>
        <w:rPr>
          <w:rFonts w:hint="eastAsia" w:ascii="仿宋_GB2312" w:hAnsi="Times New Roman" w:cs="Times New Roman"/>
          <w:lang w:val="en-US" w:eastAsia="zh-CN"/>
        </w:rPr>
        <w:t>分，得分率为</w:t>
      </w:r>
      <w:r>
        <w:rPr>
          <w:rFonts w:hint="eastAsia" w:ascii="仿宋_GB2312" w:cs="Times New Roman"/>
          <w:lang w:val="en-US" w:eastAsia="zh-CN"/>
        </w:rPr>
        <w:t>86</w:t>
      </w:r>
      <w:r>
        <w:rPr>
          <w:rFonts w:hint="eastAsia" w:ascii="仿宋_GB2312" w:hAnsi="Times New Roman" w:cs="Times New Roman"/>
          <w:lang w:val="en-US" w:eastAsia="zh-CN"/>
        </w:rPr>
        <w:t>%。项目效益类指标权重为40分，得分为40分，得分率为100%。</w:t>
      </w:r>
    </w:p>
    <w:p>
      <w:pPr>
        <w:pStyle w:val="4"/>
        <w:keepNext w:val="0"/>
        <w:keepLines w:val="0"/>
        <w:pageBreakBefore w:val="0"/>
        <w:widowControl/>
        <w:kinsoku/>
        <w:wordWrap/>
        <w:overflowPunct/>
        <w:topLinePunct w:val="0"/>
        <w:autoSpaceDE/>
        <w:autoSpaceDN/>
        <w:bidi w:val="0"/>
        <w:adjustRightInd/>
        <w:snapToGrid/>
        <w:spacing w:before="60"/>
        <w:textAlignment w:val="auto"/>
      </w:pPr>
      <w:r>
        <w:rPr>
          <w:rFonts w:ascii="Times New Roman" w:hAnsi="Times New Roman" w:eastAsia="仿宋_GB2312"/>
          <w:sz w:val="30"/>
          <w:szCs w:val="30"/>
        </w:rPr>
        <w:t>表1综合评分表</w:t>
      </w:r>
    </w:p>
    <w:tbl>
      <w:tblPr>
        <w:tblStyle w:val="5"/>
        <w:tblW w:w="89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94"/>
        <w:gridCol w:w="766"/>
        <w:gridCol w:w="1293"/>
        <w:gridCol w:w="1563"/>
        <w:gridCol w:w="923"/>
        <w:gridCol w:w="887"/>
        <w:gridCol w:w="946"/>
        <w:gridCol w:w="991"/>
        <w:gridCol w:w="75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tblHeader/>
          <w:jc w:val="center"/>
        </w:trPr>
        <w:tc>
          <w:tcPr>
            <w:tcW w:w="794" w:type="dxa"/>
            <w:shd w:val="clear" w:color="auto" w:fill="AEAAAA" w:themeFill="background2" w:themeFillShade="BF"/>
            <w:vAlign w:val="center"/>
          </w:tcPr>
          <w:p>
            <w:pPr>
              <w:widowControl/>
              <w:spacing w:line="0" w:lineRule="atLeast"/>
              <w:rPr>
                <w:b/>
                <w:bCs/>
                <w:color w:val="000000"/>
                <w:kern w:val="0"/>
                <w:sz w:val="22"/>
                <w:szCs w:val="22"/>
              </w:rPr>
            </w:pPr>
            <w:r>
              <w:rPr>
                <w:b/>
                <w:bCs/>
                <w:color w:val="000000"/>
                <w:kern w:val="0"/>
                <w:sz w:val="22"/>
                <w:szCs w:val="22"/>
              </w:rPr>
              <w:t>一级指标</w:t>
            </w:r>
          </w:p>
        </w:tc>
        <w:tc>
          <w:tcPr>
            <w:tcW w:w="766"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9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56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887"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46"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9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75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continue"/>
            <w:shd w:val="clear" w:color="auto" w:fill="auto"/>
            <w:vAlign w:val="center"/>
          </w:tcPr>
          <w:p>
            <w:pPr>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50分</w:t>
            </w: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86</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86</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5"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66"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40分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c>
          <w:tcPr>
            <w:tcW w:w="887"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rPr>
              <w:t>≥90%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5"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lang w:val="en-US" w:eastAsia="zh-CN"/>
              </w:rPr>
              <w:t>90</w:t>
            </w:r>
            <w:r>
              <w:rPr>
                <w:color w:val="000000"/>
                <w:kern w:val="0"/>
                <w:sz w:val="22"/>
                <w:szCs w:val="22"/>
              </w:rPr>
              <w:t>%</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hint="eastAsia" w:ascii="仿宋_GB2312"/>
        </w:rPr>
      </w:pPr>
      <w:r>
        <w:rPr>
          <w:rFonts w:hint="eastAsia" w:ascii="仿宋_GB2312"/>
        </w:rPr>
        <w:t>（一）项目决策情况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hAnsi="Times New Roman" w:cs="Times New Roman"/>
        </w:rPr>
      </w:pPr>
      <w:r>
        <w:rPr>
          <w:rFonts w:hint="eastAsia" w:ascii="仿宋_GB2312" w:hAnsi="Times New Roman" w:cs="Times New Roman"/>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spacing w:line="600" w:lineRule="exact"/>
        <w:ind w:firstLine="600" w:firstLineChars="200"/>
        <w:outlineLvl w:val="0"/>
        <w:rPr>
          <w:rFonts w:hint="eastAsia" w:ascii="仿宋_GB2312"/>
        </w:rPr>
      </w:pPr>
      <w:r>
        <w:rPr>
          <w:rFonts w:hint="eastAsia" w:ascii="仿宋_GB2312"/>
        </w:rPr>
        <w:t>（二）项目过程情况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rPr>
      </w:pPr>
      <w:r>
        <w:rPr>
          <w:rFonts w:hint="eastAsia" w:ascii="仿宋_GB2312" w:hAnsi="Times New Roman" w:cs="Times New Roman"/>
        </w:rPr>
        <w:t>项目严格按照预期绩效目标执行预算资金。项目资金使用符合</w:t>
      </w:r>
      <w:r>
        <w:rPr>
          <w:rFonts w:hint="eastAsia" w:ascii="仿宋_GB2312" w:hAnsi="Times New Roman" w:cs="Times New Roman"/>
          <w:lang w:val="en-US" w:eastAsia="zh-CN"/>
        </w:rPr>
        <w:t>《自治区党政机关培训费管理暂行办法》《新疆农业职业技术学院科研项目管理办法》等</w:t>
      </w:r>
      <w:r>
        <w:rPr>
          <w:rFonts w:hint="eastAsia" w:ascii="仿宋_GB2312" w:hAnsi="Times New Roman" w:cs="Times New Roman"/>
        </w:rPr>
        <w:t>相关的管理制度规定，能够反映和考核项目资金的规范运行情况；项目实施单位的财务和业务管理制度健全，能够反映和考核财务和业务管理制度对项目顺利实施的保障情况。</w:t>
      </w:r>
    </w:p>
    <w:p>
      <w:pPr>
        <w:spacing w:line="600" w:lineRule="exact"/>
        <w:ind w:firstLine="600" w:firstLineChars="200"/>
        <w:outlineLvl w:val="0"/>
        <w:rPr>
          <w:rFonts w:hint="eastAsia" w:ascii="仿宋_GB2312"/>
        </w:rPr>
      </w:pPr>
      <w:r>
        <w:rPr>
          <w:rFonts w:hint="eastAsia" w:ascii="仿宋_GB2312"/>
        </w:rPr>
        <w:t>（三）项目产出情况</w:t>
      </w:r>
    </w:p>
    <w:p>
      <w:pPr>
        <w:spacing w:line="600" w:lineRule="exact"/>
        <w:ind w:firstLine="600" w:firstLineChars="200"/>
        <w:outlineLvl w:val="0"/>
        <w:rPr>
          <w:rFonts w:hint="eastAsia" w:ascii="仿宋_GB2312"/>
        </w:rPr>
      </w:pPr>
      <w:r>
        <w:rPr>
          <w:rFonts w:hint="eastAsia" w:ascii="仿宋_GB2312"/>
        </w:rPr>
        <w:t>完成农业行业专业技术人员继续教育培训500人；开展自治区人才专项培训人数380人，其中农业科技创新人才培训40人，种业科技振兴人才培训40人，智慧农业人才培训40人，农业转基因生物安全管理培训100人，农技推广骨干人才培训40人，昌吉州水肥一体化智能施肥技术推广培训128人；支持9个</w:t>
      </w:r>
      <w:r>
        <w:rPr>
          <w:rFonts w:hint="eastAsia" w:ascii="仿宋_GB2312"/>
          <w:lang w:val="en-US" w:eastAsia="zh-CN"/>
        </w:rPr>
        <w:t>校内</w:t>
      </w:r>
      <w:r>
        <w:rPr>
          <w:rFonts w:hint="eastAsia" w:ascii="仿宋_GB2312"/>
        </w:rPr>
        <w:t>科研创新团队、14名</w:t>
      </w:r>
      <w:r>
        <w:rPr>
          <w:rFonts w:hint="eastAsia" w:ascii="仿宋_GB2312"/>
          <w:lang w:val="en-US" w:eastAsia="zh-CN"/>
        </w:rPr>
        <w:t>高层次人才</w:t>
      </w:r>
      <w:r>
        <w:rPr>
          <w:rFonts w:hint="eastAsia" w:ascii="仿宋_GB2312"/>
        </w:rPr>
        <w:t>开展科学研究，</w:t>
      </w:r>
      <w:r>
        <w:rPr>
          <w:rFonts w:hint="eastAsia" w:ascii="仿宋_GB2312"/>
          <w:lang w:val="en-US" w:eastAsia="zh-CN"/>
        </w:rPr>
        <w:t>发表论文3篇，获得软件著作开发权2项</w:t>
      </w:r>
      <w:r>
        <w:rPr>
          <w:rFonts w:hint="eastAsia" w:ascii="仿宋_GB2312"/>
        </w:rPr>
        <w:t>。</w:t>
      </w:r>
    </w:p>
    <w:p>
      <w:pPr>
        <w:spacing w:line="600" w:lineRule="exact"/>
        <w:ind w:firstLine="600" w:firstLineChars="200"/>
        <w:outlineLvl w:val="0"/>
        <w:rPr>
          <w:rFonts w:hint="eastAsia" w:ascii="仿宋_GB2312"/>
        </w:rPr>
      </w:pPr>
      <w:r>
        <w:rPr>
          <w:rFonts w:hint="eastAsia" w:ascii="仿宋_GB2312"/>
        </w:rPr>
        <w:t>（四）项目效益情况</w:t>
      </w:r>
    </w:p>
    <w:p>
      <w:pPr>
        <w:spacing w:line="600" w:lineRule="exact"/>
        <w:ind w:firstLine="600" w:firstLineChars="200"/>
        <w:outlineLvl w:val="0"/>
        <w:rPr>
          <w:rFonts w:hint="eastAsia" w:ascii="仿宋_GB2312"/>
        </w:rPr>
      </w:pPr>
      <w:r>
        <w:rPr>
          <w:rFonts w:hint="eastAsia" w:ascii="仿宋_GB2312" w:hAnsi="Times New Roman" w:cs="Times New Roman"/>
          <w:lang w:val="en-US" w:eastAsia="zh-CN"/>
        </w:rPr>
        <w:t>培训学员对学校承办的培训满意度测评结果为满意。</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《新疆</w:t>
      </w:r>
      <w:r>
        <w:rPr>
          <w:rFonts w:hint="eastAsia" w:ascii="仿宋_GB2312" w:hAnsi="Times New Roman" w:cs="Times New Roman"/>
          <w:lang w:val="en-US" w:eastAsia="zh-CN"/>
        </w:rPr>
        <w:t>农业职业技术学院科研</w:t>
      </w:r>
      <w:r>
        <w:rPr>
          <w:rFonts w:hint="eastAsia" w:ascii="仿宋_GB2312" w:hAnsi="Times New Roman" w:cs="Times New Roman"/>
        </w:rPr>
        <w:t>项目管理办法(新</w:t>
      </w:r>
      <w:r>
        <w:rPr>
          <w:rFonts w:hint="eastAsia" w:ascii="仿宋_GB2312" w:hAnsi="Times New Roman" w:cs="Times New Roman"/>
          <w:lang w:val="en-US" w:eastAsia="zh-CN"/>
        </w:rPr>
        <w:t>农职政</w:t>
      </w:r>
      <w:r>
        <w:rPr>
          <w:rFonts w:hint="eastAsia" w:ascii="仿宋_GB2312" w:hAnsi="Times New Roman" w:cs="Times New Roman"/>
        </w:rPr>
        <w:t>〔2022〕</w:t>
      </w:r>
      <w:r>
        <w:rPr>
          <w:rFonts w:hint="eastAsia" w:ascii="仿宋_GB2312" w:hAnsi="Times New Roman" w:cs="Times New Roman"/>
          <w:lang w:val="en-US" w:eastAsia="zh-CN"/>
        </w:rPr>
        <w:t>48</w:t>
      </w:r>
      <w:r>
        <w:rPr>
          <w:rFonts w:hint="eastAsia" w:ascii="仿宋_GB2312" w:hAnsi="Times New Roman" w:cs="Times New Roman"/>
        </w:rPr>
        <w:t>号)对项目申报、项目</w:t>
      </w:r>
      <w:r>
        <w:rPr>
          <w:rFonts w:hint="eastAsia" w:ascii="仿宋_GB2312" w:hAnsi="Times New Roman" w:cs="Times New Roman"/>
          <w:lang w:val="en-US" w:eastAsia="zh-CN"/>
        </w:rPr>
        <w:t>评审</w:t>
      </w:r>
      <w:r>
        <w:rPr>
          <w:rFonts w:hint="eastAsia" w:ascii="仿宋_GB2312" w:hAnsi="Times New Roman" w:cs="Times New Roman"/>
        </w:rPr>
        <w:t>、项目验收</w:t>
      </w:r>
      <w:r>
        <w:rPr>
          <w:rFonts w:hint="eastAsia" w:ascii="仿宋_GB2312" w:hAnsi="Times New Roman" w:cs="Times New Roman"/>
          <w:lang w:val="en-US" w:eastAsia="zh-CN"/>
        </w:rPr>
        <w:t>和</w:t>
      </w:r>
      <w:r>
        <w:rPr>
          <w:rFonts w:hint="eastAsia" w:ascii="仿宋_GB2312" w:hAnsi="Times New Roman" w:cs="Times New Roman"/>
        </w:rPr>
        <w:t>项目监督管理作出了明确要求，</w:t>
      </w:r>
      <w:r>
        <w:rPr>
          <w:rFonts w:hint="eastAsia" w:ascii="仿宋_GB2312" w:hAnsi="Times New Roman" w:cs="Times New Roman"/>
          <w:lang w:val="en-US" w:eastAsia="zh-CN"/>
        </w:rPr>
        <w:t>科学技术处</w:t>
      </w:r>
      <w:r>
        <w:rPr>
          <w:rFonts w:hint="eastAsia" w:ascii="仿宋_GB2312" w:hAnsi="Times New Roman" w:cs="Times New Roman"/>
        </w:rPr>
        <w:t>对项目申报、立项、管理、验收等进行日常管理监督，项目管理制度健全。</w:t>
      </w:r>
      <w:r>
        <w:rPr>
          <w:rFonts w:hint="eastAsia" w:ascii="仿宋_GB2312" w:cs="Times New Roman"/>
          <w:lang w:eastAsia="zh-CN"/>
        </w:rPr>
        <w:t>《</w:t>
      </w:r>
      <w:r>
        <w:rPr>
          <w:rFonts w:hint="eastAsia" w:ascii="仿宋_GB2312" w:cs="Times New Roman"/>
          <w:lang w:val="en-US" w:eastAsia="zh-CN"/>
        </w:rPr>
        <w:t>新疆农业职业技术学院社会服务管理办法</w:t>
      </w:r>
      <w:r>
        <w:rPr>
          <w:rFonts w:hint="eastAsia" w:ascii="仿宋_GB2312" w:cs="Times New Roman"/>
          <w:lang w:eastAsia="zh-CN"/>
        </w:rPr>
        <w:t>》</w:t>
      </w:r>
      <w:r>
        <w:rPr>
          <w:rFonts w:hint="eastAsia" w:ascii="仿宋_GB2312" w:cs="Times New Roman"/>
          <w:lang w:val="en-US" w:eastAsia="zh-CN"/>
        </w:rPr>
        <w:t>对学校承办的各级各类培训的管理作出了明确的要求。</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w:t>
      </w:r>
      <w:r>
        <w:rPr>
          <w:rFonts w:hint="eastAsia" w:ascii="仿宋_GB2312" w:hAnsi="Times New Roman" w:cs="Times New Roman"/>
          <w:lang w:val="en-US" w:eastAsia="zh-CN"/>
        </w:rPr>
        <w:t>及验收建档</w:t>
      </w:r>
      <w:r>
        <w:rPr>
          <w:rFonts w:hint="eastAsia" w:ascii="仿宋_GB2312" w:hAnsi="Times New Roman" w:cs="Times New Roman"/>
        </w:rPr>
        <w:t>工作。</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严格坚持先做事、后验收、再拨付的原则，基本杜绝了资金被挤占和挪用现象的发生，跟踪检查到位。</w:t>
      </w:r>
      <w:r>
        <w:rPr>
          <w:rFonts w:hint="eastAsia" w:ascii="仿宋_GB2312" w:hAnsi="Times New Roman" w:cs="Times New Roman"/>
          <w:lang w:val="en-US" w:eastAsia="zh-CN"/>
        </w:rPr>
        <w:t>财务</w:t>
      </w:r>
      <w:r>
        <w:rPr>
          <w:rFonts w:hint="eastAsia" w:ascii="仿宋_GB2312" w:hAnsi="Times New Roman" w:cs="Times New Roman"/>
        </w:rPr>
        <w:t>、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outlineLvl w:val="0"/>
        <w:rPr>
          <w:rFonts w:hint="eastAsia" w:ascii="黑体" w:hAnsi="黑体" w:eastAsia="黑体"/>
        </w:rPr>
      </w:pPr>
      <w:r>
        <w:rPr>
          <w:rFonts w:hint="eastAsia" w:ascii="仿宋_GB2312" w:hAnsi="Times New Roman" w:cs="Times New Roman"/>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spacing w:line="600" w:lineRule="exact"/>
        <w:ind w:firstLine="600" w:firstLineChars="200"/>
        <w:rPr>
          <w:rFonts w:hint="eastAsia" w:ascii="黑体" w:hAnsi="黑体" w:eastAsia="黑体"/>
        </w:rPr>
      </w:pPr>
      <w:r>
        <w:rPr>
          <w:rFonts w:hint="eastAsia" w:ascii="黑体" w:hAnsi="黑体" w:eastAsia="黑体"/>
        </w:rPr>
        <w:t>七、其他需要说明的问题</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hAnsi="Times New Roman" w:cs="Times New Roman"/>
          <w:lang w:val="en-US" w:eastAsia="zh-CN"/>
        </w:rPr>
        <w:t>无。</w:t>
      </w: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pStyle w:val="2"/>
        <w:rPr>
          <w:rFonts w:hint="eastAsia" w:ascii="仿宋_GB2312"/>
          <w:bCs/>
          <w:sz w:val="32"/>
          <w:szCs w:val="32"/>
        </w:rPr>
      </w:pPr>
    </w:p>
    <w:p>
      <w:pPr>
        <w:pStyle w:val="2"/>
        <w:rPr>
          <w:rFonts w:hint="eastAsia" w:ascii="仿宋_GB2312"/>
          <w:bCs/>
          <w:sz w:val="32"/>
          <w:szCs w:val="32"/>
        </w:rPr>
      </w:pPr>
    </w:p>
    <w:p>
      <w:pPr>
        <w:pStyle w:val="4"/>
        <w:keepNext w:val="0"/>
        <w:keepLines w:val="0"/>
        <w:pageBreakBefore w:val="0"/>
        <w:kinsoku/>
        <w:wordWrap/>
        <w:overflowPunct/>
        <w:topLinePunct w:val="0"/>
        <w:autoSpaceDE/>
        <w:autoSpaceDN/>
        <w:bidi w:val="0"/>
        <w:adjustRightInd/>
        <w:snapToGrid/>
        <w:spacing w:before="0" w:after="0" w:line="560" w:lineRule="exact"/>
        <w:jc w:val="center"/>
        <w:textAlignment w:val="auto"/>
        <w:rPr>
          <w:rFonts w:hint="eastAsia" w:ascii="Times New Roman" w:hAnsi="Times New Roman"/>
        </w:rPr>
      </w:pPr>
      <w:r>
        <w:rPr>
          <w:rFonts w:hint="eastAsia" w:ascii="Times New Roman" w:hAnsi="Times New Roman"/>
        </w:rPr>
        <w:t>项目支出绩效自评表</w:t>
      </w:r>
    </w:p>
    <w:p>
      <w:pPr>
        <w:spacing w:line="600" w:lineRule="exact"/>
        <w:jc w:val="center"/>
        <w:rPr>
          <w:bCs/>
          <w:sz w:val="32"/>
          <w:szCs w:val="32"/>
        </w:rPr>
      </w:pPr>
      <w:r>
        <w:rPr>
          <w:rFonts w:hint="eastAsia"/>
          <w:sz w:val="28"/>
          <w:szCs w:val="36"/>
        </w:rPr>
        <w:t>（ 202</w:t>
      </w:r>
      <w:r>
        <w:rPr>
          <w:rFonts w:hint="eastAsia"/>
          <w:sz w:val="28"/>
          <w:szCs w:val="36"/>
          <w:lang w:val="en-US" w:eastAsia="zh-CN"/>
        </w:rPr>
        <w:t>4</w:t>
      </w:r>
      <w:r>
        <w:rPr>
          <w:rFonts w:hint="eastAsia"/>
          <w:sz w:val="28"/>
          <w:szCs w:val="36"/>
        </w:rPr>
        <w:t>年度）</w:t>
      </w:r>
    </w:p>
    <w:tbl>
      <w:tblPr>
        <w:tblStyle w:val="5"/>
        <w:tblW w:w="93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6"/>
        <w:gridCol w:w="396"/>
        <w:gridCol w:w="243"/>
        <w:gridCol w:w="153"/>
        <w:gridCol w:w="1107"/>
        <w:gridCol w:w="480"/>
        <w:gridCol w:w="225"/>
        <w:gridCol w:w="705"/>
        <w:gridCol w:w="600"/>
        <w:gridCol w:w="720"/>
        <w:gridCol w:w="195"/>
        <w:gridCol w:w="270"/>
        <w:gridCol w:w="495"/>
        <w:gridCol w:w="450"/>
        <w:gridCol w:w="255"/>
        <w:gridCol w:w="705"/>
        <w:gridCol w:w="135"/>
        <w:gridCol w:w="465"/>
        <w:gridCol w:w="510"/>
        <w:gridCol w:w="120"/>
        <w:gridCol w:w="6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28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培训及科研保障经费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lang w:val="en-US" w:eastAsia="zh-CN"/>
              </w:rPr>
              <w:t>自治区农业农村厅</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28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3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c>
          <w:tcPr>
            <w:tcW w:w="1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10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391.8</w:t>
            </w:r>
          </w:p>
        </w:tc>
        <w:tc>
          <w:tcPr>
            <w:tcW w:w="11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391.8</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336.91</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86.0%</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0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10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74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53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391.8</w:t>
            </w:r>
          </w:p>
        </w:tc>
        <w:tc>
          <w:tcPr>
            <w:tcW w:w="1185"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391.8</w:t>
            </w:r>
          </w:p>
        </w:tc>
        <w:tc>
          <w:tcPr>
            <w:tcW w:w="94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336.91</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8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p>
        </w:tc>
        <w:tc>
          <w:tcPr>
            <w:tcW w:w="409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5"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482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自治区党政机关培训费管理暂行办法》新财预[2014]58号和自治区农业农村厅、学院相关规定标准执行。2024年计划完成农业行业专业技术人员继续教育培训不少于500人；开展自治区人才专项培训人数380人，其中农业科技创新人才培训40人，种业科技振兴人才培训40人，智慧农业人才培训40人，农业转基因生物安全管理培训100人，农技推广骨干人才培训40人，昌吉州水肥一体化智能施肥技术推广培训120人，计划在疆内外开展6期培训班。支持3-5个科研创新团队、5名博士开展科学研究，面向中小学、社区开展不少于500人次的科普知识宣传与推广。</w:t>
            </w:r>
          </w:p>
        </w:tc>
        <w:tc>
          <w:tcPr>
            <w:tcW w:w="409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农业行业专业技术人员继续教育培训500人；开展自治区人才专项培训人数380人，其中农业科技创新人才培训40人，种业科技振兴人才培训40人，智慧农业人才培训40人，农业转基因生物安全管理培训100人，农技推广骨干人才培训40人，昌吉州水肥一体化智能施肥技术推广培训128人；支持9个科研创新团队、14名博士开展科学研究，面向中小学、社区开展科普知识宣传与推广500余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指标值设置依据</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上年完成值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指标分值权重</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指标赋分规则</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佐证资料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指标实际完成值</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指标得分</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1" w:hRule="atLeast"/>
        </w:trPr>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年度绩效指标完成情况</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农业行业专业技术人员继续教育培训人次</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&gt;=500人次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519人次</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农业科技创新人才培训人数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种业科技振兴人才培训人数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智慧农业人才培训人数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农业转基因生物安全管理人数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农技推广骨干人才培训人数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科研成果（论文、专利、软著、新技术、新品种等）</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5项</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昌吉州水肥一体化智能施肥技术推广培训人数</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&gt;=120人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128人</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培训出勤率</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培训按期完成率</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农业行业专业技术人员继续教育培训费</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&lt;=9万元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9万元</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人才培养专项经费</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&lt;=254万元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242万元</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科研创新团队和博士科研经费</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&lt;=120万元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77.11万元</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科普活动等经费</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&lt;=8.80万元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8.8万元</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参训学员满意度</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295"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70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b/>
                <w:bCs/>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8"/>
                <w:szCs w:val="18"/>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18"/>
                <w:szCs w:val="18"/>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96.4</w:t>
            </w:r>
          </w:p>
        </w:tc>
        <w:tc>
          <w:tcPr>
            <w:tcW w:w="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18"/>
                <w:szCs w:val="18"/>
                <w:u w:val="none"/>
              </w:rPr>
            </w:pPr>
          </w:p>
        </w:tc>
      </w:tr>
    </w:tbl>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rFonts w:hint="eastAsia"/>
          <w:bCs/>
          <w:sz w:val="32"/>
          <w:szCs w:val="32"/>
          <w:lang w:val="en-US" w:eastAsia="zh-CN"/>
        </w:rPr>
      </w:pPr>
      <w:r>
        <w:rPr>
          <w:bCs/>
          <w:sz w:val="32"/>
          <w:szCs w:val="32"/>
        </w:rPr>
        <w:t>附件1</w:t>
      </w:r>
      <w:r>
        <w:rPr>
          <w:rFonts w:hint="eastAsia"/>
          <w:bCs/>
          <w:sz w:val="32"/>
          <w:szCs w:val="32"/>
          <w:lang w:val="en-US" w:eastAsia="zh-CN"/>
        </w:rPr>
        <w:t xml:space="preserve"> </w:t>
      </w:r>
    </w:p>
    <w:p>
      <w:pPr>
        <w:spacing w:line="600" w:lineRule="exact"/>
        <w:jc w:val="center"/>
        <w:rPr>
          <w:rFonts w:hint="eastAsia" w:eastAsia="仿宋_GB2312"/>
          <w:bCs/>
          <w:sz w:val="32"/>
          <w:szCs w:val="32"/>
          <w:lang w:val="en-US" w:eastAsia="zh-CN"/>
        </w:rPr>
      </w:pPr>
      <w:r>
        <w:rPr>
          <w:rFonts w:hint="eastAsia" w:ascii="Times New Roman" w:hAnsi="Times New Roman" w:cs="Times New Roman" w:eastAsiaTheme="majorEastAsia"/>
          <w:b/>
          <w:bCs/>
          <w:kern w:val="28"/>
          <w:sz w:val="32"/>
          <w:szCs w:val="32"/>
          <w:lang w:val="en-US" w:eastAsia="zh-CN" w:bidi="ar-SA"/>
        </w:rPr>
        <w:t>绩效评价指标体系及评分过程</w:t>
      </w:r>
    </w:p>
    <w:tbl>
      <w:tblPr>
        <w:tblStyle w:val="5"/>
        <w:tblW w:w="96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17"/>
        <w:gridCol w:w="728"/>
        <w:gridCol w:w="728"/>
        <w:gridCol w:w="2040"/>
        <w:gridCol w:w="3934"/>
        <w:gridCol w:w="728"/>
        <w:gridCol w:w="7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717"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04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3934"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2"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5"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17"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rFonts w:hint="default" w:eastAsia="仿宋_GB2312"/>
                <w:b/>
                <w:bCs/>
                <w:color w:val="000000"/>
                <w:kern w:val="0"/>
                <w:sz w:val="22"/>
                <w:szCs w:val="22"/>
                <w:lang w:val="en-US" w:eastAsia="zh-CN"/>
              </w:rPr>
            </w:pPr>
            <w:r>
              <w:rPr>
                <w:rFonts w:hint="eastAsia"/>
                <w:b/>
                <w:bCs/>
                <w:color w:val="000000"/>
                <w:kern w:val="0"/>
                <w:sz w:val="22"/>
                <w:szCs w:val="22"/>
                <w:lang w:val="en-US" w:eastAsia="zh-CN"/>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43"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1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tc>
        <w:tc>
          <w:tcPr>
            <w:tcW w:w="2040" w:type="dxa"/>
            <w:shd w:val="clear" w:color="auto" w:fill="auto"/>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2"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bl>
    <w:p>
      <w:pPr>
        <w:spacing w:line="600" w:lineRule="exact"/>
        <w:rPr>
          <w:rFonts w:hint="eastAsia"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59F00D7"/>
    <w:rsid w:val="06FD4082"/>
    <w:rsid w:val="11A31078"/>
    <w:rsid w:val="125D34BF"/>
    <w:rsid w:val="1F0B55D3"/>
    <w:rsid w:val="387A475A"/>
    <w:rsid w:val="3B200B05"/>
    <w:rsid w:val="45BD6B2E"/>
    <w:rsid w:val="45EC0627"/>
    <w:rsid w:val="46876249"/>
    <w:rsid w:val="5455774E"/>
    <w:rsid w:val="658074DB"/>
    <w:rsid w:val="6A2133AA"/>
    <w:rsid w:val="6E0B0D4F"/>
    <w:rsid w:val="6F415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420" w:leftChars="200"/>
    </w:pPr>
    <w:rPr>
      <w:rFonts w:ascii="Calibri" w:hAnsi="Calibri" w:eastAsia="宋体"/>
    </w:rPr>
  </w:style>
  <w:style w:type="paragraph" w:styleId="4">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7307</Words>
  <Characters>7857</Characters>
  <Lines>0</Lines>
  <Paragraphs>0</Paragraphs>
  <TotalTime>0</TotalTime>
  <ScaleCrop>false</ScaleCrop>
  <LinksUpToDate>false</LinksUpToDate>
  <CharactersWithSpaces>7888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eyJoZGlkIjoiNDE3MDA0Mjk2ZmQ5YzI3ZGQ5NDZjNmQ1YzRiMzFjZjkiLCJ1c2VySWQiOiI0MjgzMTQyMDAifQ==</vt:lpwstr>
  </property>
</Properties>
</file>