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jc w:val="both"/>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eastAsia="方正小标宋_GBK" w:cs="Times New Roman"/>
          <w:kern w:val="0"/>
          <w:sz w:val="48"/>
          <w:szCs w:val="48"/>
          <w:lang w:val="en-US" w:eastAsia="zh-CN"/>
        </w:rPr>
        <w:t>后勤运行保障</w:t>
      </w:r>
      <w:r>
        <w:rPr>
          <w:rFonts w:hint="default" w:ascii="Times New Roman" w:hAnsi="Times New Roman" w:eastAsia="方正小标宋_GBK" w:cs="Times New Roman"/>
          <w:kern w:val="0"/>
          <w:sz w:val="48"/>
          <w:szCs w:val="48"/>
        </w:rPr>
        <w:t>资金项目支出绩效评价</w:t>
      </w: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w:t>
      </w:r>
      <w:r>
        <w:rPr>
          <w:rFonts w:hint="default" w:ascii="Times New Roman" w:hAnsi="Times New Roman" w:eastAsia="仿宋_GB2312" w:cs="Times New Roman"/>
          <w:kern w:val="0"/>
          <w:sz w:val="36"/>
          <w:szCs w:val="36"/>
          <w:lang w:val="en-US" w:eastAsia="zh-CN"/>
        </w:rPr>
        <w:t>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val="en-US" w:eastAsia="zh-CN"/>
        </w:rPr>
        <w:t>后勤运行保障经费</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新疆农业职业技术学院</w:t>
      </w:r>
      <w:bookmarkStart w:id="2" w:name="_GoBack"/>
      <w:bookmarkEnd w:id="2"/>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自治区农业农村厅</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路海林</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22"/>
          <w:rFonts w:hint="default" w:ascii="Times New Roman" w:hAnsi="Times New Roman" w:eastAsia="黑体" w:cs="Times New Roman"/>
          <w:b w:val="0"/>
          <w:spacing w:val="-4"/>
          <w:sz w:val="32"/>
          <w:szCs w:val="32"/>
        </w:rPr>
      </w:pPr>
    </w:p>
    <w:p>
      <w:pPr>
        <w:spacing w:line="540" w:lineRule="exact"/>
        <w:ind w:firstLine="640"/>
        <w:rPr>
          <w:rStyle w:val="22"/>
          <w:rFonts w:hint="default" w:ascii="Times New Roman" w:hAnsi="Times New Roman" w:eastAsia="黑体" w:cs="Times New Roman"/>
          <w:b w:val="0"/>
          <w:spacing w:val="-4"/>
          <w:sz w:val="32"/>
          <w:szCs w:val="32"/>
        </w:rPr>
      </w:pPr>
    </w:p>
    <w:p>
      <w:pPr>
        <w:spacing w:line="540" w:lineRule="exact"/>
        <w:rPr>
          <w:rStyle w:val="22"/>
          <w:rFonts w:hint="default" w:ascii="Times New Roman" w:hAnsi="Times New Roman" w:eastAsia="黑体" w:cs="Times New Roman"/>
          <w:b w:val="0"/>
          <w:spacing w:val="-4"/>
          <w:sz w:val="32"/>
          <w:szCs w:val="32"/>
        </w:rPr>
      </w:pPr>
    </w:p>
    <w:p>
      <w:pPr>
        <w:spacing w:line="600" w:lineRule="exact"/>
        <w:jc w:val="center"/>
        <w:rPr>
          <w:rFonts w:hint="default" w:ascii="Times New Roman" w:hAnsi="Times New Roman" w:eastAsia="黑体" w:cs="Times New Roman"/>
          <w:bCs/>
          <w:sz w:val="32"/>
          <w:szCs w:val="32"/>
          <w:lang w:val="en-US" w:eastAsia="zh-CN"/>
        </w:rPr>
      </w:pPr>
    </w:p>
    <w:p>
      <w:pPr>
        <w:spacing w:line="600" w:lineRule="exact"/>
        <w:rPr>
          <w:rFonts w:hint="default" w:ascii="Times New Roman" w:hAnsi="Times New Roman" w:eastAsia="黑体" w:cs="Times New Roman"/>
          <w:bCs/>
          <w:sz w:val="32"/>
          <w:szCs w:val="32"/>
        </w:rPr>
      </w:pPr>
    </w:p>
    <w:p>
      <w:pPr>
        <w:spacing w:line="600" w:lineRule="exac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600" w:lineRule="exact"/>
        <w:ind w:firstLine="641"/>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600" w:lineRule="exact"/>
        <w:ind w:firstLine="641"/>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1、项目背景</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eastAsia="仿宋_GB2312" w:cs="Times New Roman"/>
          <w:sz w:val="32"/>
          <w:szCs w:val="32"/>
          <w:lang w:val="zh-CN" w:eastAsia="zh-CN"/>
        </w:rPr>
      </w:pPr>
      <w:r>
        <w:rPr>
          <w:rFonts w:hint="eastAsia" w:eastAsia="仿宋_GB2312" w:cs="Times New Roman"/>
          <w:sz w:val="32"/>
          <w:szCs w:val="32"/>
          <w:lang w:val="zh-CN" w:eastAsia="zh-CN"/>
        </w:rPr>
        <w:t>新疆农业职业技术学院是新疆唯一一所专门培养培训农业类技术技能人才的高等职业院校，是全国百所示范院校之一，全国高校毕业生就业典型经验高校</w:t>
      </w:r>
      <w:r>
        <w:rPr>
          <w:rFonts w:hint="eastAsia" w:eastAsia="仿宋_GB2312" w:cs="Times New Roman"/>
          <w:sz w:val="32"/>
          <w:szCs w:val="32"/>
          <w:lang w:val="en-US" w:eastAsia="zh-CN"/>
        </w:rPr>
        <w:t>，全国实践育人创新创业基地，</w:t>
      </w:r>
      <w:r>
        <w:rPr>
          <w:rFonts w:hint="eastAsia" w:eastAsia="仿宋_GB2312" w:cs="Times New Roman"/>
          <w:sz w:val="32"/>
          <w:szCs w:val="32"/>
          <w:lang w:val="zh-CN" w:eastAsia="zh-CN"/>
        </w:rPr>
        <w:t>全国职业教育先进单位、全国“创先争优”先进集体、全国百所德育科研名校。</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eastAsia="仿宋_GB2312" w:cs="Times New Roman"/>
          <w:sz w:val="32"/>
          <w:szCs w:val="32"/>
          <w:lang w:val="en-US" w:eastAsia="zh-CN"/>
        </w:rPr>
      </w:pPr>
      <w:r>
        <w:rPr>
          <w:rFonts w:hint="eastAsia" w:eastAsia="仿宋_GB2312" w:cs="Times New Roman"/>
          <w:sz w:val="32"/>
          <w:szCs w:val="32"/>
          <w:lang w:val="en-US" w:eastAsia="zh-CN"/>
        </w:rPr>
        <w:t>学院现有教学、生活、办公、附属等建筑全部修建于10年前，且一半以上建筑运行超过20年，各建筑内设施通过多年不断维修，仍能坚持运行，但大多数已经老化，不能很好地发挥作用。</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eastAsia="仿宋_GB2312" w:cs="Times New Roman"/>
          <w:sz w:val="32"/>
          <w:szCs w:val="32"/>
          <w:lang w:val="en-US" w:eastAsia="zh-CN"/>
        </w:rPr>
      </w:pPr>
      <w:r>
        <w:rPr>
          <w:rFonts w:hint="eastAsia" w:eastAsia="仿宋_GB2312" w:cs="Times New Roman"/>
          <w:sz w:val="32"/>
          <w:szCs w:val="32"/>
          <w:lang w:val="en-US" w:eastAsia="zh-CN"/>
        </w:rPr>
        <w:t>依据《关于支持新疆农业职业技术学院实施双高计划工作方案的通知》（新政办函[2020]91号）文件要求。以申本和“双高校”建设为目标，努力破解“申本”校舍面积不足瓶颈，严格执行自治区和高校疫情防控工作要求，保障校园基础设施，改善办学条件。为师生提供良好的学习教学、科研、生活、办公环境，构建平安校园，保障学院教学工作顺利有序开展。</w:t>
      </w:r>
    </w:p>
    <w:p>
      <w:pPr>
        <w:pStyle w:val="17"/>
        <w:keepNext w:val="0"/>
        <w:keepLines w:val="0"/>
        <w:pageBreakBefore w:val="0"/>
        <w:numPr>
          <w:ilvl w:val="0"/>
          <w:numId w:val="1"/>
        </w:numPr>
        <w:kinsoku/>
        <w:wordWrap/>
        <w:overflowPunct/>
        <w:topLinePunct w:val="0"/>
        <w:autoSpaceDE/>
        <w:autoSpaceDN/>
        <w:bidi w:val="0"/>
        <w:adjustRightInd/>
        <w:snapToGrid/>
        <w:spacing w:before="0" w:after="0" w:line="600" w:lineRule="exact"/>
        <w:ind w:left="0" w:firstLine="640" w:firstLineChars="200"/>
        <w:jc w:val="both"/>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项目主要内容：</w:t>
      </w:r>
    </w:p>
    <w:p>
      <w:pPr>
        <w:ind w:firstLine="640" w:firstLineChars="200"/>
        <w:rPr>
          <w:rFonts w:hint="default" w:ascii="Times New Roman" w:hAnsi="Times New Roman" w:eastAsia="仿宋_GB2312" w:cs="Times New Roman"/>
          <w:b w:val="0"/>
          <w:bCs w:val="0"/>
          <w:kern w:val="2"/>
          <w:sz w:val="32"/>
          <w:szCs w:val="32"/>
          <w:lang w:val="en-US" w:eastAsia="zh-CN" w:bidi="ar-SA"/>
        </w:rPr>
      </w:pPr>
      <w:r>
        <w:rPr>
          <w:rFonts w:hint="eastAsia" w:eastAsia="仿宋_GB2312" w:cs="Times New Roman"/>
          <w:sz w:val="32"/>
          <w:szCs w:val="32"/>
          <w:lang w:val="en-US" w:eastAsia="zh-CN"/>
        </w:rPr>
        <w:t>工程项目建设经费、地债发行费及利息、屯河校区租赁费、校企联合办学、购买办公设备、其他运行保障经费等，合</w:t>
      </w:r>
      <w:r>
        <w:rPr>
          <w:rFonts w:hint="eastAsia" w:ascii="Times New Roman" w:hAnsi="Times New Roman" w:eastAsia="仿宋_GB2312" w:cs="Times New Roman"/>
          <w:b w:val="0"/>
          <w:bCs w:val="0"/>
          <w:kern w:val="2"/>
          <w:sz w:val="32"/>
          <w:szCs w:val="32"/>
          <w:lang w:val="en-US" w:eastAsia="zh-CN" w:bidi="ar-SA"/>
        </w:rPr>
        <w:t>计</w:t>
      </w:r>
      <w:r>
        <w:rPr>
          <w:rFonts w:hint="eastAsia" w:eastAsia="仿宋_GB2312" w:cs="Times New Roman"/>
          <w:b w:val="0"/>
          <w:bCs w:val="0"/>
          <w:kern w:val="2"/>
          <w:sz w:val="32"/>
          <w:szCs w:val="32"/>
          <w:lang w:val="en-US" w:eastAsia="zh-CN" w:bidi="ar-SA"/>
        </w:rPr>
        <w:t>6</w:t>
      </w:r>
      <w:r>
        <w:rPr>
          <w:rFonts w:hint="eastAsia" w:ascii="Times New Roman" w:hAnsi="Times New Roman" w:eastAsia="仿宋_GB2312" w:cs="Times New Roman"/>
          <w:b w:val="0"/>
          <w:bCs w:val="0"/>
          <w:kern w:val="2"/>
          <w:sz w:val="32"/>
          <w:szCs w:val="32"/>
          <w:lang w:val="en-US" w:eastAsia="zh-CN" w:bidi="ar-SA"/>
        </w:rPr>
        <w:t>项内容。</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本项目总投资</w:t>
      </w:r>
      <w:r>
        <w:rPr>
          <w:rFonts w:hint="eastAsia" w:eastAsia="仿宋_GB2312" w:cs="Times New Roman"/>
          <w:sz w:val="32"/>
          <w:szCs w:val="32"/>
          <w:highlight w:val="none"/>
          <w:lang w:val="en-US" w:eastAsia="zh-CN"/>
        </w:rPr>
        <w:t>6987.59</w:t>
      </w:r>
      <w:r>
        <w:rPr>
          <w:rFonts w:hint="default" w:ascii="Times New Roman" w:hAnsi="Times New Roman" w:eastAsia="仿宋_GB2312" w:cs="Times New Roman"/>
          <w:sz w:val="32"/>
          <w:szCs w:val="32"/>
          <w:highlight w:val="none"/>
        </w:rPr>
        <w:t>万元，其中：财政本级资金</w:t>
      </w:r>
      <w:r>
        <w:rPr>
          <w:rFonts w:hint="eastAsia" w:eastAsia="仿宋_GB2312" w:cs="Times New Roman"/>
          <w:sz w:val="32"/>
          <w:szCs w:val="32"/>
          <w:highlight w:val="none"/>
          <w:lang w:val="en-US" w:eastAsia="zh-CN"/>
        </w:rPr>
        <w:t>6987.59</w:t>
      </w:r>
      <w:r>
        <w:rPr>
          <w:rFonts w:hint="default" w:ascii="Times New Roman" w:hAnsi="Times New Roman" w:eastAsia="仿宋_GB2312" w:cs="Times New Roman"/>
          <w:sz w:val="32"/>
          <w:szCs w:val="32"/>
          <w:highlight w:val="none"/>
        </w:rPr>
        <w:t>万元。项目实际支出</w:t>
      </w:r>
      <w:r>
        <w:rPr>
          <w:rFonts w:hint="eastAsia" w:eastAsia="仿宋_GB2312" w:cs="Times New Roman"/>
          <w:sz w:val="32"/>
          <w:szCs w:val="32"/>
          <w:highlight w:val="none"/>
          <w:lang w:val="en-US" w:eastAsia="zh-CN"/>
        </w:rPr>
        <w:t>4119.39</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支出率为</w:t>
      </w:r>
      <w:r>
        <w:rPr>
          <w:rFonts w:hint="eastAsia" w:eastAsia="仿宋_GB2312" w:cs="Times New Roman"/>
          <w:sz w:val="32"/>
          <w:szCs w:val="32"/>
          <w:highlight w:val="none"/>
          <w:lang w:val="en-US" w:eastAsia="zh-CN"/>
        </w:rPr>
        <w:t>58.95%</w:t>
      </w:r>
      <w:r>
        <w:rPr>
          <w:rFonts w:hint="default" w:ascii="Times New Roman" w:hAnsi="Times New Roman" w:eastAsia="仿宋_GB2312" w:cs="Times New Roman"/>
          <w:sz w:val="32"/>
          <w:szCs w:val="32"/>
          <w:highlight w:val="none"/>
        </w:rPr>
        <w:t>。</w:t>
      </w:r>
    </w:p>
    <w:p>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3、资金投入和使用情况</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20"/>
          <w:szCs w:val="20"/>
        </w:rPr>
      </w:pPr>
      <w:r>
        <w:rPr>
          <w:rFonts w:hint="default" w:ascii="Times New Roman" w:hAnsi="Times New Roman" w:eastAsia="仿宋_GB2312" w:cs="Times New Roman"/>
          <w:sz w:val="32"/>
          <w:szCs w:val="32"/>
        </w:rPr>
        <w:t>（1）资金安排</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项目总</w:t>
      </w:r>
      <w:r>
        <w:rPr>
          <w:rFonts w:hint="default" w:ascii="Times New Roman" w:hAnsi="Times New Roman" w:eastAsia="仿宋_GB2312" w:cs="Times New Roman"/>
          <w:sz w:val="32"/>
          <w:szCs w:val="32"/>
          <w:highlight w:val="none"/>
        </w:rPr>
        <w:t>投资</w:t>
      </w:r>
      <w:r>
        <w:rPr>
          <w:rFonts w:hint="eastAsia" w:eastAsia="仿宋_GB2312" w:cs="Times New Roman"/>
          <w:sz w:val="32"/>
          <w:szCs w:val="32"/>
          <w:highlight w:val="none"/>
          <w:lang w:val="en-US" w:eastAsia="zh-CN"/>
        </w:rPr>
        <w:t>6987.59</w:t>
      </w:r>
      <w:r>
        <w:rPr>
          <w:rFonts w:hint="default" w:ascii="Times New Roman" w:hAnsi="Times New Roman" w:eastAsia="仿宋_GB2312" w:cs="Times New Roman"/>
          <w:sz w:val="32"/>
          <w:szCs w:val="32"/>
          <w:highlight w:val="none"/>
        </w:rPr>
        <w:t>万元，按照单位财务制度等相关规定，资金支出符合</w:t>
      </w:r>
      <w:r>
        <w:rPr>
          <w:rFonts w:hint="eastAsia" w:eastAsia="仿宋_GB2312" w:cs="Times New Roman"/>
          <w:sz w:val="32"/>
          <w:szCs w:val="32"/>
          <w:highlight w:val="none"/>
          <w:lang w:val="en-US" w:eastAsia="zh-CN"/>
        </w:rPr>
        <w:t>后勤运行保障</w:t>
      </w:r>
      <w:r>
        <w:rPr>
          <w:rFonts w:hint="default" w:ascii="Times New Roman" w:hAnsi="Times New Roman" w:eastAsia="仿宋_GB2312" w:cs="Times New Roman"/>
          <w:sz w:val="32"/>
          <w:szCs w:val="32"/>
          <w:highlight w:val="none"/>
        </w:rPr>
        <w:t>专项资金费用范围，做到了专款专用。在项目资金拨付和使用过程中，为确保项目资金的安全性，提高项目资金使用效率，严格遵循</w:t>
      </w:r>
      <w:r>
        <w:rPr>
          <w:rFonts w:hint="eastAsia" w:eastAsia="仿宋_GB2312" w:cs="Times New Roman"/>
          <w:sz w:val="32"/>
          <w:szCs w:val="32"/>
          <w:highlight w:val="none"/>
          <w:lang w:val="en-US" w:eastAsia="zh-CN"/>
        </w:rPr>
        <w:t>后勤运行保障</w:t>
      </w:r>
      <w:r>
        <w:rPr>
          <w:rFonts w:hint="default" w:ascii="Times New Roman" w:hAnsi="Times New Roman" w:eastAsia="仿宋_GB2312" w:cs="Times New Roman"/>
          <w:sz w:val="32"/>
          <w:szCs w:val="32"/>
          <w:highlight w:val="none"/>
        </w:rPr>
        <w:t>资金的拨付程序，认真审核项目实施各阶段的相关材料和手续，根据项目实施进展情况拨付资金。</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（2）预算资金来源及使用情况</w:t>
      </w:r>
      <w:bookmarkStart w:id="0" w:name="page10"/>
      <w:bookmarkEnd w:id="0"/>
    </w:p>
    <w:p>
      <w:pPr>
        <w:pStyle w:val="17"/>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rPr>
          <w:rFonts w:hint="default"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highlight w:val="none"/>
        </w:rPr>
        <w:t>项目预算资金来源于</w:t>
      </w:r>
      <w:r>
        <w:rPr>
          <w:rFonts w:hint="eastAsia" w:ascii="Times New Roman" w:hAnsi="Times New Roman" w:eastAsia="仿宋_GB2312" w:cs="Times New Roman"/>
          <w:b w:val="0"/>
          <w:bCs w:val="0"/>
          <w:kern w:val="2"/>
          <w:highlight w:val="none"/>
          <w:lang w:val="en-US" w:eastAsia="zh-CN"/>
        </w:rPr>
        <w:t>财政资金</w:t>
      </w:r>
      <w:r>
        <w:rPr>
          <w:rFonts w:hint="default" w:ascii="Times New Roman" w:hAnsi="Times New Roman" w:eastAsia="仿宋_GB2312" w:cs="Times New Roman"/>
          <w:b w:val="0"/>
          <w:bCs w:val="0"/>
          <w:kern w:val="2"/>
          <w:highlight w:val="none"/>
        </w:rPr>
        <w:t>，项</w:t>
      </w:r>
      <w:r>
        <w:rPr>
          <w:rFonts w:hint="default" w:ascii="Times New Roman" w:hAnsi="Times New Roman" w:eastAsia="仿宋_GB2312" w:cs="Times New Roman"/>
          <w:b w:val="0"/>
          <w:bCs w:val="0"/>
          <w:kern w:val="2"/>
          <w:sz w:val="32"/>
          <w:szCs w:val="32"/>
          <w:highlight w:val="none"/>
          <w:lang w:val="en-US" w:eastAsia="zh-CN" w:bidi="ar-SA"/>
        </w:rPr>
        <w:t>目资金到位</w:t>
      </w:r>
      <w:r>
        <w:rPr>
          <w:rFonts w:hint="eastAsia" w:ascii="Times New Roman" w:hAnsi="Times New Roman" w:eastAsia="仿宋_GB2312" w:cs="Times New Roman"/>
          <w:b w:val="0"/>
          <w:bCs w:val="0"/>
          <w:kern w:val="2"/>
          <w:sz w:val="32"/>
          <w:szCs w:val="32"/>
          <w:highlight w:val="none"/>
          <w:lang w:val="en-US" w:eastAsia="zh-CN" w:bidi="ar-SA"/>
        </w:rPr>
        <w:t>6987.59</w:t>
      </w:r>
      <w:r>
        <w:rPr>
          <w:rFonts w:hint="default" w:ascii="Times New Roman" w:hAnsi="Times New Roman" w:eastAsia="仿宋_GB2312" w:cs="Times New Roman"/>
          <w:b w:val="0"/>
          <w:bCs w:val="0"/>
          <w:kern w:val="2"/>
          <w:sz w:val="32"/>
          <w:szCs w:val="32"/>
          <w:highlight w:val="none"/>
          <w:lang w:val="en-US" w:eastAsia="zh-CN" w:bidi="ar-SA"/>
        </w:rPr>
        <w:t>万元</w:t>
      </w:r>
      <w:r>
        <w:rPr>
          <w:rFonts w:hint="default" w:ascii="Times New Roman" w:hAnsi="Times New Roman" w:eastAsia="仿宋_GB2312" w:cs="Times New Roman"/>
          <w:b w:val="0"/>
          <w:bCs w:val="0"/>
          <w:kern w:val="2"/>
          <w:highlight w:val="none"/>
        </w:rPr>
        <w:t>，用于支付项目实施进程中的各项费用。</w:t>
      </w:r>
    </w:p>
    <w:p>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1、总体目标</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依据《关于支持新疆农业职业技术学院实施双高计划工作方案的通知》（新政办函[2020]91号）文件要求。以申本和“双高校”建设为目标，努力破解“申本”校舍面积不足瓶颈，严格执行自治区和高校疫情防控工作要求，保障校园基础设施，改善办学条件。为师生提供良好的学习教学、科研、生活、办公环境，构建平安校园，保障学院教学工作顺利有序开展。</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2、阶段性目标</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（1）前期准备：通过制定项目实施方案，经项目负责人审核通过后，有序开展后续</w:t>
      </w:r>
      <w:r>
        <w:rPr>
          <w:rFonts w:hint="default" w:ascii="Times New Roman" w:hAnsi="Times New Roman" w:eastAsia="仿宋_GB2312" w:cs="Times New Roman"/>
          <w:sz w:val="32"/>
          <w:szCs w:val="32"/>
          <w:lang w:val="en-US" w:eastAsia="zh-CN"/>
        </w:rPr>
        <w:t>工作</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（2）组织实施：资金一到位，立即根据项目要求实施项目。项目责任人按照</w:t>
      </w:r>
      <w:r>
        <w:rPr>
          <w:rFonts w:hint="default" w:ascii="Times New Roman" w:hAnsi="Times New Roman" w:eastAsia="仿宋_GB2312" w:cs="Times New Roman"/>
          <w:sz w:val="32"/>
          <w:szCs w:val="32"/>
          <w:lang w:val="en-US" w:eastAsia="zh-CN"/>
        </w:rPr>
        <w:t>项目实施</w:t>
      </w:r>
      <w:r>
        <w:rPr>
          <w:rFonts w:hint="default" w:ascii="Times New Roman" w:hAnsi="Times New Roman" w:eastAsia="仿宋_GB2312" w:cs="Times New Roman"/>
          <w:sz w:val="32"/>
          <w:szCs w:val="32"/>
        </w:rPr>
        <w:t>方案要求逐一进行项目部署安排，提高项目质量及效率性。</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1、绩效评价的目的</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2"/>
        </w:numPr>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（2）项目绩效管理财政支出运行提供及时、有效的信息。</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综合来看，通过开展有效的财政支出绩效评价管理，达到改进预算管理、控制节约成本，提高预算资金使用效益的目的。</w:t>
      </w:r>
    </w:p>
    <w:p>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2、绩效评价的对象</w:t>
      </w:r>
    </w:p>
    <w:p>
      <w:pPr>
        <w:spacing w:line="576"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lang w:val="en-US" w:eastAsia="zh-CN"/>
        </w:rPr>
        <w:t>后勤运行保障经费项目所包含的全部项目建设内容。</w:t>
      </w:r>
    </w:p>
    <w:p>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3、绩效评价的范围</w:t>
      </w:r>
    </w:p>
    <w:p>
      <w:pPr>
        <w:spacing w:line="576" w:lineRule="exact"/>
        <w:ind w:firstLine="640"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color w:val="auto"/>
          <w:sz w:val="32"/>
          <w:szCs w:val="32"/>
          <w:highlight w:val="none"/>
          <w:lang w:val="en-US" w:eastAsia="zh-CN"/>
        </w:rPr>
        <w:t>后勤运行保障项目的决策、过程、产出、效益等。</w:t>
      </w:r>
    </w:p>
    <w:p>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highlight w:val="none"/>
        </w:rPr>
        <w:t>（二）绩效评价原则、评价指标体系（详情见表</w:t>
      </w:r>
      <w:r>
        <w:rPr>
          <w:rFonts w:hint="default" w:ascii="Times New Roman" w:hAnsi="Times New Roman" w:eastAsia="楷体_GB2312" w:cs="Times New Roman"/>
          <w:b/>
          <w:bCs/>
          <w:sz w:val="32"/>
          <w:szCs w:val="32"/>
        </w:rPr>
        <w:t>1）、评价方法、评价标准。</w:t>
      </w:r>
    </w:p>
    <w:p>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1、绩效评价原则</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7"/>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7"/>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7"/>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7"/>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2、评价指标体系</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highlight w:val="none"/>
        </w:rPr>
        <w:t>采用层次分析法，建立评价指标体系。绩效评价将指标分为项目</w:t>
      </w:r>
      <w:r>
        <w:rPr>
          <w:rFonts w:hint="default" w:ascii="Times New Roman" w:hAnsi="Times New Roman" w:eastAsia="仿宋_GB2312" w:cs="Times New Roman"/>
          <w:color w:val="000000"/>
          <w:spacing w:val="17"/>
          <w:sz w:val="32"/>
          <w:szCs w:val="32"/>
          <w:highlight w:val="none"/>
          <w:lang w:val="en-US" w:eastAsia="zh-CN"/>
        </w:rPr>
        <w:t>决策</w:t>
      </w:r>
      <w:r>
        <w:rPr>
          <w:rFonts w:hint="default" w:ascii="Times New Roman" w:hAnsi="Times New Roman" w:eastAsia="仿宋_GB2312" w:cs="Times New Roman"/>
          <w:color w:val="000000"/>
          <w:spacing w:val="17"/>
          <w:sz w:val="32"/>
          <w:szCs w:val="32"/>
          <w:highlight w:val="none"/>
        </w:rPr>
        <w:t>指标、项目</w:t>
      </w:r>
      <w:r>
        <w:rPr>
          <w:rFonts w:hint="default" w:ascii="Times New Roman" w:hAnsi="Times New Roman" w:eastAsia="仿宋_GB2312" w:cs="Times New Roman"/>
          <w:color w:val="000000"/>
          <w:spacing w:val="17"/>
          <w:sz w:val="32"/>
          <w:szCs w:val="32"/>
          <w:highlight w:val="none"/>
          <w:lang w:val="en-US" w:eastAsia="zh-CN"/>
        </w:rPr>
        <w:t>过程</w:t>
      </w:r>
      <w:r>
        <w:rPr>
          <w:rFonts w:hint="default" w:ascii="Times New Roman" w:hAnsi="Times New Roman" w:eastAsia="仿宋_GB2312" w:cs="Times New Roman"/>
          <w:color w:val="000000"/>
          <w:spacing w:val="17"/>
          <w:sz w:val="32"/>
          <w:szCs w:val="32"/>
          <w:highlight w:val="none"/>
        </w:rPr>
        <w:t>指标、项目</w:t>
      </w:r>
      <w:r>
        <w:rPr>
          <w:rFonts w:hint="default" w:ascii="Times New Roman" w:hAnsi="Times New Roman" w:eastAsia="仿宋_GB2312" w:cs="Times New Roman"/>
          <w:color w:val="000000"/>
          <w:spacing w:val="17"/>
          <w:sz w:val="32"/>
          <w:szCs w:val="32"/>
          <w:highlight w:val="none"/>
          <w:lang w:val="en-US" w:eastAsia="zh-CN"/>
        </w:rPr>
        <w:t>产出</w:t>
      </w:r>
      <w:r>
        <w:rPr>
          <w:rFonts w:hint="default" w:ascii="Times New Roman" w:hAnsi="Times New Roman" w:eastAsia="仿宋_GB2312" w:cs="Times New Roman"/>
          <w:color w:val="000000"/>
          <w:spacing w:val="17"/>
          <w:sz w:val="32"/>
          <w:szCs w:val="32"/>
          <w:highlight w:val="none"/>
        </w:rPr>
        <w:t>指标、项目</w:t>
      </w:r>
      <w:r>
        <w:rPr>
          <w:rFonts w:hint="default" w:ascii="Times New Roman" w:hAnsi="Times New Roman" w:eastAsia="仿宋_GB2312" w:cs="Times New Roman"/>
          <w:color w:val="000000"/>
          <w:spacing w:val="17"/>
          <w:sz w:val="32"/>
          <w:szCs w:val="32"/>
          <w:highlight w:val="none"/>
          <w:lang w:val="en-US" w:eastAsia="zh-CN"/>
        </w:rPr>
        <w:t>效益</w:t>
      </w:r>
      <w:r>
        <w:rPr>
          <w:rFonts w:hint="default" w:ascii="Times New Roman" w:hAnsi="Times New Roman" w:eastAsia="仿宋_GB2312" w:cs="Times New Roman"/>
          <w:color w:val="000000"/>
          <w:spacing w:val="17"/>
          <w:sz w:val="32"/>
          <w:szCs w:val="32"/>
          <w:highlight w:val="none"/>
        </w:rPr>
        <w:t>指标四个维度，最终形</w:t>
      </w:r>
      <w:r>
        <w:rPr>
          <w:rFonts w:hint="default" w:ascii="Times New Roman" w:hAnsi="Times New Roman" w:eastAsia="仿宋_GB2312" w:cs="Times New Roman"/>
          <w:color w:val="000000"/>
          <w:spacing w:val="17"/>
          <w:sz w:val="32"/>
          <w:szCs w:val="32"/>
        </w:rPr>
        <w:t>成一个由多个相互联系的指标组成的多层次指标体系。</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确定各个指标相对于项目总体绩效的权重分值。在绩效评价指标体系中，项目</w:t>
      </w:r>
      <w:r>
        <w:rPr>
          <w:rFonts w:hint="default" w:ascii="Times New Roman" w:hAnsi="Times New Roman" w:eastAsia="仿宋_GB2312" w:cs="Times New Roman"/>
          <w:color w:val="000000"/>
          <w:spacing w:val="17"/>
          <w:sz w:val="32"/>
          <w:szCs w:val="32"/>
          <w:highlight w:val="none"/>
          <w:lang w:val="en-US" w:eastAsia="zh-CN"/>
        </w:rPr>
        <w:t>决策</w:t>
      </w:r>
      <w:r>
        <w:rPr>
          <w:rFonts w:hint="default" w:ascii="Times New Roman" w:hAnsi="Times New Roman" w:eastAsia="仿宋_GB2312" w:cs="Times New Roman"/>
          <w:color w:val="000000"/>
          <w:spacing w:val="17"/>
          <w:sz w:val="32"/>
          <w:szCs w:val="32"/>
          <w:highlight w:val="none"/>
        </w:rPr>
        <w:t>权重为</w:t>
      </w:r>
      <w:r>
        <w:rPr>
          <w:rFonts w:hint="default" w:ascii="Times New Roman" w:hAnsi="Times New Roman" w:eastAsia="仿宋_GB2312" w:cs="Times New Roman"/>
          <w:color w:val="000000"/>
          <w:spacing w:val="17"/>
          <w:sz w:val="32"/>
          <w:szCs w:val="32"/>
          <w:highlight w:val="none"/>
          <w:lang w:val="en-US" w:eastAsia="zh-CN"/>
        </w:rPr>
        <w:t>5分</w:t>
      </w:r>
      <w:r>
        <w:rPr>
          <w:rFonts w:hint="default" w:ascii="Times New Roman" w:hAnsi="Times New Roman" w:eastAsia="仿宋_GB2312" w:cs="Times New Roman"/>
          <w:color w:val="000000"/>
          <w:spacing w:val="17"/>
          <w:sz w:val="32"/>
          <w:szCs w:val="32"/>
          <w:highlight w:val="none"/>
        </w:rPr>
        <w:t>，项目</w:t>
      </w:r>
      <w:r>
        <w:rPr>
          <w:rFonts w:hint="default" w:ascii="Times New Roman" w:hAnsi="Times New Roman" w:eastAsia="仿宋_GB2312" w:cs="Times New Roman"/>
          <w:color w:val="000000"/>
          <w:spacing w:val="17"/>
          <w:sz w:val="32"/>
          <w:szCs w:val="32"/>
          <w:highlight w:val="none"/>
          <w:lang w:val="en-US" w:eastAsia="zh-CN"/>
        </w:rPr>
        <w:t>过程</w:t>
      </w:r>
      <w:r>
        <w:rPr>
          <w:rFonts w:hint="default" w:ascii="Times New Roman" w:hAnsi="Times New Roman" w:eastAsia="仿宋_GB2312" w:cs="Times New Roman"/>
          <w:color w:val="000000"/>
          <w:spacing w:val="17"/>
          <w:sz w:val="32"/>
          <w:szCs w:val="32"/>
          <w:highlight w:val="none"/>
        </w:rPr>
        <w:t>权重</w:t>
      </w:r>
      <w:r>
        <w:rPr>
          <w:rFonts w:hint="default" w:ascii="Times New Roman" w:hAnsi="Times New Roman" w:eastAsia="仿宋_GB2312" w:cs="Times New Roman"/>
          <w:color w:val="000000"/>
          <w:spacing w:val="17"/>
          <w:sz w:val="32"/>
          <w:szCs w:val="32"/>
          <w:highlight w:val="none"/>
          <w:lang w:val="en-US" w:eastAsia="zh-CN"/>
        </w:rPr>
        <w:t>为5分</w:t>
      </w:r>
      <w:r>
        <w:rPr>
          <w:rFonts w:hint="default" w:ascii="Times New Roman" w:hAnsi="Times New Roman" w:eastAsia="仿宋_GB2312" w:cs="Times New Roman"/>
          <w:color w:val="000000"/>
          <w:spacing w:val="17"/>
          <w:sz w:val="32"/>
          <w:szCs w:val="32"/>
          <w:highlight w:val="none"/>
        </w:rPr>
        <w:t>，项目</w:t>
      </w:r>
      <w:r>
        <w:rPr>
          <w:rFonts w:hint="default" w:ascii="Times New Roman" w:hAnsi="Times New Roman" w:eastAsia="仿宋_GB2312" w:cs="Times New Roman"/>
          <w:color w:val="000000"/>
          <w:spacing w:val="17"/>
          <w:sz w:val="32"/>
          <w:szCs w:val="32"/>
          <w:highlight w:val="none"/>
          <w:lang w:val="en-US" w:eastAsia="zh-CN"/>
        </w:rPr>
        <w:t>产出</w:t>
      </w:r>
      <w:r>
        <w:rPr>
          <w:rFonts w:hint="default" w:ascii="Times New Roman" w:hAnsi="Times New Roman" w:eastAsia="仿宋_GB2312" w:cs="Times New Roman"/>
          <w:color w:val="000000"/>
          <w:spacing w:val="17"/>
          <w:sz w:val="32"/>
          <w:szCs w:val="32"/>
          <w:highlight w:val="none"/>
        </w:rPr>
        <w:t>权</w:t>
      </w:r>
      <w:r>
        <w:rPr>
          <w:rFonts w:hint="default" w:ascii="Times New Roman" w:hAnsi="Times New Roman" w:eastAsia="仿宋_GB2312" w:cs="Times New Roman"/>
          <w:color w:val="000000"/>
          <w:spacing w:val="17"/>
          <w:sz w:val="32"/>
          <w:szCs w:val="32"/>
          <w:highlight w:val="none"/>
          <w:lang w:val="en-US" w:eastAsia="zh-CN"/>
        </w:rPr>
        <w:t>重为50分</w:t>
      </w:r>
      <w:r>
        <w:rPr>
          <w:rFonts w:hint="default" w:ascii="Times New Roman" w:hAnsi="Times New Roman" w:eastAsia="仿宋_GB2312" w:cs="Times New Roman"/>
          <w:color w:val="000000"/>
          <w:spacing w:val="17"/>
          <w:sz w:val="32"/>
          <w:szCs w:val="32"/>
          <w:highlight w:val="none"/>
        </w:rPr>
        <w:t>，项目</w:t>
      </w:r>
      <w:r>
        <w:rPr>
          <w:rFonts w:hint="default" w:ascii="Times New Roman" w:hAnsi="Times New Roman" w:eastAsia="仿宋_GB2312" w:cs="Times New Roman"/>
          <w:color w:val="000000"/>
          <w:spacing w:val="17"/>
          <w:sz w:val="32"/>
          <w:szCs w:val="32"/>
          <w:highlight w:val="none"/>
          <w:lang w:val="en-US" w:eastAsia="zh-CN"/>
        </w:rPr>
        <w:t>效益权重为40分</w:t>
      </w:r>
      <w:r>
        <w:rPr>
          <w:rFonts w:hint="default" w:ascii="Times New Roman" w:hAnsi="Times New Roman" w:eastAsia="仿宋_GB2312" w:cs="Times New Roman"/>
          <w:color w:val="000000"/>
          <w:spacing w:val="17"/>
          <w:sz w:val="32"/>
          <w:szCs w:val="32"/>
          <w:highlight w:val="none"/>
        </w:rPr>
        <w:t>。</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7"/>
        <w:keepNext w:val="0"/>
        <w:keepLines w:val="0"/>
        <w:pageBreakBefore w:val="0"/>
        <w:kinsoku/>
        <w:wordWrap/>
        <w:overflowPunct/>
        <w:topLinePunct w:val="0"/>
        <w:autoSpaceDE/>
        <w:autoSpaceDN/>
        <w:bidi w:val="0"/>
        <w:adjustRightInd/>
        <w:snapToGrid/>
        <w:spacing w:before="0" w:after="0" w:line="600" w:lineRule="exact"/>
        <w:ind w:left="0" w:firstLine="708" w:firstLineChars="200"/>
        <w:jc w:val="both"/>
        <w:textAlignment w:val="auto"/>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708" w:firstLineChars="200"/>
        <w:jc w:val="both"/>
        <w:textAlignment w:val="auto"/>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w:t>
      </w:r>
      <w:r>
        <w:rPr>
          <w:rFonts w:hint="default" w:ascii="Times New Roman" w:hAnsi="Times New Roman" w:eastAsia="仿宋_GB2312" w:cs="Times New Roman"/>
          <w:b w:val="0"/>
          <w:bCs w:val="0"/>
          <w:color w:val="000000"/>
          <w:spacing w:val="17"/>
          <w:lang w:val="en-US" w:eastAsia="zh-CN"/>
        </w:rPr>
        <w:t>附件</w:t>
      </w:r>
      <w:r>
        <w:rPr>
          <w:rFonts w:hint="default" w:ascii="Times New Roman" w:hAnsi="Times New Roman" w:eastAsia="仿宋_GB2312" w:cs="Times New Roman"/>
          <w:b w:val="0"/>
          <w:bCs w:val="0"/>
          <w:color w:val="000000"/>
          <w:spacing w:val="17"/>
        </w:rPr>
        <w:t>1</w:t>
      </w:r>
    </w:p>
    <w:p>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3、绩效评价方法</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（1）比较法</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通过对绩效目标与实施效果、历史与当期情况，综合分析绩效目标实现程度。对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color w:val="000000"/>
          <w:spacing w:val="17"/>
          <w:sz w:val="32"/>
          <w:szCs w:val="32"/>
        </w:rPr>
        <w:t>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（2）因素分析法</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通过综合分析影响绩效目标实现、实施效果的内外因素，评价绩效目标实现程度。通过对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color w:val="000000"/>
          <w:spacing w:val="17"/>
          <w:sz w:val="32"/>
          <w:szCs w:val="32"/>
        </w:rPr>
        <w:t>的开展情况、项目产出数量、成本控制、资金拨付文件及自评报告等相关资料的收集和审核，综合分析各因素对绩效目标实现的影响。</w:t>
      </w:r>
    </w:p>
    <w:p>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val="en-US" w:eastAsia="zh-CN"/>
        </w:rPr>
        <w:t>4、评价标准</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lang w:val="en-US" w:eastAsia="zh-CN"/>
        </w:rPr>
      </w:pPr>
      <w:r>
        <w:rPr>
          <w:rFonts w:hint="default" w:ascii="Times New Roman" w:hAnsi="Times New Roman" w:eastAsia="仿宋_GB2312" w:cs="Times New Roman"/>
          <w:color w:val="000000"/>
          <w:spacing w:val="17"/>
          <w:sz w:val="32"/>
          <w:szCs w:val="32"/>
          <w:lang w:val="en-US" w:eastAsia="zh-CN"/>
        </w:rPr>
        <w:t>绩效评价标准通常包括计划标准、行业标准、历史标准等，用于对绩效指标完成情况进行比较。本次评价主要采用了计划标准和行业标准。</w:t>
      </w:r>
    </w:p>
    <w:p>
      <w:pPr>
        <w:pStyle w:val="17"/>
        <w:keepNext w:val="0"/>
        <w:keepLines w:val="0"/>
        <w:pageBreakBefore w:val="0"/>
        <w:numPr>
          <w:ilvl w:val="0"/>
          <w:numId w:val="3"/>
        </w:numPr>
        <w:kinsoku/>
        <w:wordWrap/>
        <w:overflowPunct/>
        <w:topLinePunct w:val="0"/>
        <w:autoSpaceDE/>
        <w:autoSpaceDN/>
        <w:bidi w:val="0"/>
        <w:adjustRightInd/>
        <w:snapToGrid/>
        <w:spacing w:before="0" w:after="0" w:line="600" w:lineRule="exact"/>
        <w:ind w:left="0" w:leftChars="0" w:firstLine="711" w:firstLineChars="200"/>
        <w:jc w:val="both"/>
        <w:textAlignment w:val="auto"/>
        <w:rPr>
          <w:rFonts w:hint="eastAsia" w:ascii="楷体" w:hAnsi="楷体" w:eastAsia="楷体" w:cs="楷体"/>
          <w:color w:val="000000"/>
          <w:spacing w:val="17"/>
          <w:sz w:val="32"/>
          <w:szCs w:val="32"/>
          <w:lang w:val="en-US" w:eastAsia="zh-CN"/>
        </w:rPr>
      </w:pPr>
      <w:r>
        <w:rPr>
          <w:rFonts w:hint="eastAsia" w:ascii="楷体" w:hAnsi="楷体" w:eastAsia="楷体" w:cs="楷体"/>
          <w:color w:val="000000"/>
          <w:spacing w:val="17"/>
          <w:sz w:val="32"/>
          <w:szCs w:val="32"/>
          <w:lang w:val="en-US" w:eastAsia="zh-CN"/>
        </w:rPr>
        <w:t>绩效评价工作过程</w:t>
      </w:r>
    </w:p>
    <w:p>
      <w:pPr>
        <w:keepNext w:val="0"/>
        <w:keepLines w:val="0"/>
        <w:pageBreakBefore w:val="0"/>
        <w:numPr>
          <w:ilvl w:val="0"/>
          <w:numId w:val="4"/>
        </w:numPr>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_GB2312"/>
          <w:bCs/>
          <w:color w:val="auto"/>
          <w:sz w:val="32"/>
          <w:szCs w:val="32"/>
        </w:rPr>
      </w:pPr>
      <w:r>
        <w:rPr>
          <w:rFonts w:hint="eastAsia" w:ascii="Times New Roman" w:hAnsi="Times New Roman"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numPr>
          <w:ilvl w:val="0"/>
          <w:numId w:val="4"/>
        </w:numPr>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_GB2312"/>
          <w:bCs/>
          <w:color w:val="auto"/>
          <w:sz w:val="32"/>
          <w:szCs w:val="32"/>
        </w:rPr>
      </w:pPr>
      <w:r>
        <w:rPr>
          <w:rFonts w:hint="eastAsia" w:ascii="Times New Roman" w:hAnsi="Times New Roman"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numPr>
          <w:ilvl w:val="0"/>
          <w:numId w:val="4"/>
        </w:numPr>
        <w:kinsoku/>
        <w:wordWrap/>
        <w:overflowPunct/>
        <w:topLinePunct w:val="0"/>
        <w:autoSpaceDE/>
        <w:autoSpaceDN/>
        <w:bidi w:val="0"/>
        <w:adjustRightInd/>
        <w:snapToGrid/>
        <w:spacing w:line="600" w:lineRule="exact"/>
        <w:ind w:left="0" w:leftChars="0" w:firstLine="640" w:firstLineChars="200"/>
        <w:textAlignment w:val="auto"/>
        <w:rPr>
          <w:rFonts w:hint="default"/>
          <w:color w:val="auto"/>
          <w:sz w:val="32"/>
          <w:szCs w:val="32"/>
          <w:lang w:val="en-US" w:eastAsia="zh-CN"/>
        </w:rPr>
      </w:pPr>
      <w:r>
        <w:rPr>
          <w:rFonts w:hint="eastAsia" w:ascii="Times New Roman" w:hAnsi="Times New Roman"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5"/>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对</w:t>
      </w:r>
      <w:r>
        <w:rPr>
          <w:rFonts w:hint="default" w:ascii="Times New Roman" w:hAnsi="Times New Roman" w:eastAsia="仿宋_GB2312" w:cs="Times New Roman"/>
          <w:b w:val="0"/>
          <w:bCs w:val="0"/>
          <w:highlight w:val="none"/>
          <w:lang w:val="en-US" w:eastAsia="zh-CN"/>
        </w:rPr>
        <w:t>后勤保障运行经费</w:t>
      </w:r>
      <w:r>
        <w:rPr>
          <w:rFonts w:hint="eastAsia" w:ascii="Times New Roman" w:hAnsi="Times New Roman" w:eastAsia="仿宋_GB2312" w:cs="Times New Roman"/>
          <w:b w:val="0"/>
          <w:bCs w:val="0"/>
          <w:highlight w:val="none"/>
          <w:lang w:val="en-US" w:eastAsia="zh-CN"/>
        </w:rPr>
        <w:t>资金</w:t>
      </w:r>
      <w:r>
        <w:rPr>
          <w:rFonts w:hint="default" w:ascii="Times New Roman" w:hAnsi="Times New Roman" w:eastAsia="仿宋_GB2312" w:cs="Times New Roman"/>
          <w:b w:val="0"/>
          <w:bCs w:val="0"/>
          <w:highlight w:val="none"/>
        </w:rPr>
        <w:t xml:space="preserve">项目进行客观评价，最终评分结果：总得分为 </w:t>
      </w:r>
      <w:r>
        <w:rPr>
          <w:rFonts w:hint="eastAsia" w:ascii="Times New Roman" w:hAnsi="Times New Roman" w:eastAsia="仿宋_GB2312" w:cs="Times New Roman"/>
          <w:b w:val="0"/>
          <w:bCs w:val="0"/>
          <w:highlight w:val="none"/>
          <w:lang w:val="en-US" w:eastAsia="zh-CN"/>
        </w:rPr>
        <w:t>99.89</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color w:val="000000"/>
          <w:spacing w:val="17"/>
          <w:kern w:val="2"/>
          <w:lang w:val="en-US" w:eastAsia="zh-CN"/>
        </w:rPr>
        <w:t>优</w:t>
      </w:r>
      <w:r>
        <w:rPr>
          <w:rFonts w:hint="default" w:ascii="Times New Roman" w:hAnsi="Times New Roman" w:eastAsia="仿宋_GB2312" w:cs="Times New Roman"/>
          <w:b w:val="0"/>
          <w:bCs w:val="0"/>
          <w:highlight w:val="none"/>
        </w:rPr>
        <w:t>”。其中，项目决策类指标权重为</w:t>
      </w:r>
      <w:r>
        <w:rPr>
          <w:rFonts w:hint="eastAsia" w:ascii="Times New Roman" w:hAnsi="Times New Roman" w:eastAsia="仿宋_GB2312" w:cs="Times New Roman"/>
          <w:b w:val="0"/>
          <w:bCs w:val="0"/>
          <w:highlight w:val="none"/>
          <w:lang w:val="en-US" w:eastAsia="zh-CN"/>
        </w:rPr>
        <w:t>5</w:t>
      </w:r>
      <w:r>
        <w:rPr>
          <w:rFonts w:hint="default" w:ascii="Times New Roman" w:hAnsi="Times New Roman" w:eastAsia="仿宋_GB2312" w:cs="Times New Roman"/>
          <w:b w:val="0"/>
          <w:bCs w:val="0"/>
          <w:highlight w:val="none"/>
        </w:rPr>
        <w:t xml:space="preserve">分，得分为 </w:t>
      </w:r>
      <w:r>
        <w:rPr>
          <w:rFonts w:hint="eastAsia" w:ascii="Times New Roman" w:hAnsi="Times New Roman" w:eastAsia="仿宋_GB2312" w:cs="Times New Roman"/>
          <w:b w:val="0"/>
          <w:bCs w:val="0"/>
          <w:highlight w:val="none"/>
          <w:lang w:val="en-US" w:eastAsia="zh-CN"/>
        </w:rPr>
        <w:t>5</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%。项目过程类指标权重为5分，得分为</w:t>
      </w:r>
      <w:r>
        <w:rPr>
          <w:rFonts w:hint="eastAsia" w:ascii="Times New Roman" w:hAnsi="Times New Roman" w:eastAsia="仿宋_GB2312" w:cs="Times New Roman"/>
          <w:b w:val="0"/>
          <w:bCs w:val="0"/>
          <w:highlight w:val="none"/>
          <w:lang w:val="en-US" w:eastAsia="zh-CN"/>
        </w:rPr>
        <w:t>4.89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97.8</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50</w:t>
      </w:r>
      <w:r>
        <w:rPr>
          <w:rFonts w:hint="default" w:ascii="Times New Roman" w:hAnsi="Times New Roman" w:eastAsia="仿宋_GB2312" w:cs="Times New Roman"/>
          <w:b w:val="0"/>
          <w:bCs w:val="0"/>
          <w:highlight w:val="none"/>
        </w:rPr>
        <w:t>分，得分为</w:t>
      </w:r>
      <w:r>
        <w:rPr>
          <w:rFonts w:hint="eastAsia" w:ascii="Times New Roman" w:hAnsi="Times New Roman" w:eastAsia="仿宋_GB2312" w:cs="Times New Roman"/>
          <w:b w:val="0"/>
          <w:bCs w:val="0"/>
          <w:highlight w:val="none"/>
          <w:lang w:val="en-US" w:eastAsia="zh-CN"/>
        </w:rPr>
        <w:t>50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w:t>
      </w:r>
      <w:r>
        <w:rPr>
          <w:rFonts w:hint="eastAsia"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p>
    <w:p>
      <w:pPr>
        <w:rPr>
          <w:rFonts w:hint="default" w:ascii="Times New Roman" w:hAnsi="Times New Roman" w:eastAsia="仿宋_GB2312" w:cs="Times New Roman"/>
          <w:b w:val="0"/>
          <w:bCs w:val="0"/>
          <w:highlight w:val="none"/>
        </w:rPr>
      </w:pPr>
    </w:p>
    <w:p>
      <w:pPr>
        <w:pStyle w:val="17"/>
        <w:rPr>
          <w:rFonts w:hint="default" w:ascii="Times New Roman" w:hAnsi="Times New Roman" w:eastAsia="仿宋_GB2312" w:cs="Times New Roman"/>
          <w:b w:val="0"/>
          <w:bCs w:val="0"/>
          <w:highlight w:val="none"/>
        </w:rPr>
      </w:pPr>
    </w:p>
    <w:p>
      <w:pPr>
        <w:rPr>
          <w:rFonts w:hint="default" w:ascii="Times New Roman" w:hAnsi="Times New Roman" w:eastAsia="仿宋_GB2312" w:cs="Times New Roman"/>
          <w:b w:val="0"/>
          <w:bCs w:val="0"/>
          <w:highlight w:val="none"/>
        </w:rPr>
      </w:pPr>
    </w:p>
    <w:p>
      <w:pPr>
        <w:pStyle w:val="17"/>
        <w:rPr>
          <w:rFonts w:hint="default" w:ascii="Times New Roman" w:hAnsi="Times New Roman" w:eastAsia="仿宋_GB2312" w:cs="Times New Roman"/>
          <w:b w:val="0"/>
          <w:bCs w:val="0"/>
          <w:highlight w:val="none"/>
        </w:rPr>
      </w:pPr>
    </w:p>
    <w:p>
      <w:pPr>
        <w:rPr>
          <w:rFonts w:hint="default"/>
        </w:rPr>
      </w:pPr>
    </w:p>
    <w:p>
      <w:pPr>
        <w:rPr>
          <w:rFonts w:hint="default" w:ascii="Times New Roman" w:hAnsi="Times New Roman" w:eastAsia="仿宋_GB2312" w:cs="Times New Roman"/>
          <w:b w:val="0"/>
          <w:bCs w:val="0"/>
          <w:highlight w:val="none"/>
        </w:rPr>
      </w:pPr>
    </w:p>
    <w:p>
      <w:pPr>
        <w:pStyle w:val="17"/>
        <w:rPr>
          <w:rFonts w:hint="default" w:ascii="Times New Roman" w:hAnsi="Times New Roman" w:eastAsia="仿宋_GB2312" w:cs="Times New Roman"/>
          <w:sz w:val="30"/>
          <w:szCs w:val="30"/>
          <w:highlight w:val="none"/>
        </w:rPr>
      </w:pPr>
    </w:p>
    <w:p>
      <w:pPr>
        <w:pStyle w:val="17"/>
        <w:rPr>
          <w:rFonts w:hint="default" w:ascii="Times New Roman" w:hAnsi="Times New Roman" w:eastAsia="仿宋_GB2312" w:cs="Times New Roman"/>
          <w:sz w:val="30"/>
          <w:szCs w:val="30"/>
          <w:highlight w:val="none"/>
        </w:rPr>
      </w:pPr>
    </w:p>
    <w:p>
      <w:pPr>
        <w:pStyle w:val="17"/>
        <w:rPr>
          <w:rFonts w:hint="default" w:ascii="Times New Roman" w:hAnsi="Times New Roman" w:eastAsia="仿宋_GB2312" w:cs="Times New Roman"/>
          <w:sz w:val="30"/>
          <w:szCs w:val="30"/>
          <w:highlight w:val="none"/>
        </w:rPr>
      </w:pPr>
    </w:p>
    <w:p>
      <w:pPr>
        <w:pStyle w:val="17"/>
        <w:rPr>
          <w:rFonts w:hint="default" w:ascii="Times New Roman" w:hAnsi="Times New Roman" w:eastAsia="仿宋_GB2312" w:cs="Times New Roman"/>
          <w:sz w:val="30"/>
          <w:szCs w:val="30"/>
          <w:highlight w:val="none"/>
        </w:rPr>
      </w:pPr>
    </w:p>
    <w:p>
      <w:pPr>
        <w:pStyle w:val="17"/>
        <w:rPr>
          <w:rFonts w:hint="default" w:ascii="Times New Roman" w:hAnsi="Times New Roman" w:eastAsia="仿宋_GB2312" w:cs="Times New Roman"/>
          <w:sz w:val="30"/>
          <w:szCs w:val="30"/>
          <w:highlight w:val="none"/>
        </w:rPr>
      </w:pPr>
      <w:r>
        <w:rPr>
          <w:rFonts w:hint="default" w:ascii="Times New Roman" w:hAnsi="Times New Roman" w:eastAsia="仿宋_GB2312" w:cs="Times New Roman"/>
          <w:sz w:val="30"/>
          <w:szCs w:val="30"/>
          <w:highlight w:val="none"/>
        </w:rPr>
        <w:t>表</w:t>
      </w:r>
      <w:r>
        <w:rPr>
          <w:rFonts w:hint="default" w:ascii="Times New Roman" w:hAnsi="Times New Roman" w:eastAsia="仿宋_GB2312" w:cs="Times New Roman"/>
          <w:sz w:val="30"/>
          <w:szCs w:val="30"/>
          <w:highlight w:val="none"/>
          <w:lang w:val="en-US" w:eastAsia="zh-CN"/>
        </w:rPr>
        <w:t>1</w:t>
      </w:r>
      <w:r>
        <w:rPr>
          <w:rFonts w:hint="default" w:ascii="Times New Roman" w:hAnsi="Times New Roman" w:eastAsia="仿宋_GB2312" w:cs="Times New Roman"/>
          <w:sz w:val="30"/>
          <w:szCs w:val="30"/>
          <w:highlight w:val="none"/>
        </w:rPr>
        <w:t>综合评分表</w:t>
      </w:r>
    </w:p>
    <w:p>
      <w:pPr>
        <w:pStyle w:val="17"/>
        <w:rPr>
          <w:rFonts w:hint="default" w:ascii="Times New Roman" w:hAnsi="Times New Roman" w:eastAsia="仿宋_GB2312" w:cs="Times New Roman"/>
          <w:sz w:val="30"/>
          <w:szCs w:val="30"/>
        </w:rPr>
      </w:pPr>
    </w:p>
    <w:tbl>
      <w:tblPr>
        <w:tblStyle w:val="20"/>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一级指标</w:t>
            </w:r>
          </w:p>
        </w:tc>
        <w:tc>
          <w:tcPr>
            <w:tcW w:w="990"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分值</w:t>
            </w:r>
          </w:p>
        </w:tc>
        <w:tc>
          <w:tcPr>
            <w:tcW w:w="1283"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二级指标</w:t>
            </w:r>
          </w:p>
        </w:tc>
        <w:tc>
          <w:tcPr>
            <w:tcW w:w="1707"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三级指标</w:t>
            </w:r>
          </w:p>
        </w:tc>
        <w:tc>
          <w:tcPr>
            <w:tcW w:w="727"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权重</w:t>
            </w:r>
          </w:p>
        </w:tc>
        <w:tc>
          <w:tcPr>
            <w:tcW w:w="104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目标值</w:t>
            </w:r>
          </w:p>
        </w:tc>
        <w:tc>
          <w:tcPr>
            <w:tcW w:w="92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业绩值</w:t>
            </w:r>
          </w:p>
        </w:tc>
        <w:tc>
          <w:tcPr>
            <w:tcW w:w="1215"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得分率</w:t>
            </w:r>
          </w:p>
        </w:tc>
        <w:tc>
          <w:tcPr>
            <w:tcW w:w="960"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决策　</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p>
            <w:pP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kern w:val="0"/>
                <w:sz w:val="22"/>
                <w:szCs w:val="22"/>
                <w:highlight w:val="none"/>
              </w:rPr>
              <w:t>5分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项目立项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立项依据</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充分性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0.5</w:t>
            </w:r>
          </w:p>
        </w:tc>
        <w:tc>
          <w:tcPr>
            <w:tcW w:w="104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充分</w:t>
            </w:r>
          </w:p>
        </w:tc>
        <w:tc>
          <w:tcPr>
            <w:tcW w:w="92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充分</w:t>
            </w:r>
          </w:p>
        </w:tc>
        <w:tc>
          <w:tcPr>
            <w:tcW w:w="1215"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eastAsia" w:cs="Times New Roman"/>
                <w:color w:val="000000"/>
                <w:kern w:val="0"/>
                <w:sz w:val="22"/>
                <w:szCs w:val="22"/>
                <w:highlight w:val="none"/>
                <w:lang w:val="en-US" w:eastAsia="zh-CN"/>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立项程序</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规范性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0.5</w:t>
            </w:r>
          </w:p>
        </w:tc>
        <w:tc>
          <w:tcPr>
            <w:tcW w:w="104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规范</w:t>
            </w:r>
          </w:p>
        </w:tc>
        <w:tc>
          <w:tcPr>
            <w:tcW w:w="92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规范</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lang w:val="en-US"/>
              </w:rPr>
            </w:pPr>
            <w:r>
              <w:rPr>
                <w:rFonts w:hint="eastAsia" w:cs="Times New Roman"/>
                <w:color w:val="000000"/>
                <w:kern w:val="0"/>
                <w:sz w:val="22"/>
                <w:szCs w:val="22"/>
                <w:highlight w:val="none"/>
                <w:lang w:val="en-US" w:eastAsia="zh-CN"/>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绩效目标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绩效目标</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合理</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合理</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绩效指标</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明确性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明确</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明确</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资金投入</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预算编制</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科学性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科学</w:t>
            </w:r>
          </w:p>
        </w:tc>
        <w:tc>
          <w:tcPr>
            <w:tcW w:w="92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科学</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资金分配</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合理</w:t>
            </w:r>
          </w:p>
        </w:tc>
        <w:tc>
          <w:tcPr>
            <w:tcW w:w="92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合理</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过程</w:t>
            </w:r>
          </w:p>
          <w:p>
            <w:pP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kern w:val="0"/>
                <w:sz w:val="22"/>
                <w:szCs w:val="22"/>
                <w:highlight w:val="none"/>
              </w:rPr>
              <w:t>5分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资金管理</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资金到位率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lang w:val="en-US" w:eastAsia="zh-CN"/>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预算执行率</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89%</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89</w:t>
            </w:r>
            <w:r>
              <w:rPr>
                <w:rFonts w:hint="default" w:ascii="Times New Roman" w:hAnsi="Times New Roman" w:cs="Times New Roman"/>
                <w:color w:val="000000"/>
                <w:kern w:val="0"/>
                <w:sz w:val="22"/>
                <w:szCs w:val="22"/>
                <w:highlight w:val="none"/>
                <w:lang w:val="en-US" w:eastAsia="zh-CN"/>
              </w:rPr>
              <w:t>%</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lang w:val="en-US"/>
              </w:rPr>
            </w:pPr>
            <w:r>
              <w:rPr>
                <w:rFonts w:hint="eastAsia" w:cs="Times New Roman"/>
                <w:color w:val="000000"/>
                <w:kern w:val="0"/>
                <w:sz w:val="22"/>
                <w:szCs w:val="22"/>
                <w:highlight w:val="none"/>
                <w:lang w:val="en-US" w:eastAsia="zh-CN"/>
              </w:rPr>
              <w:t>0.89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资金管理</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资金使用</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合规性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合格</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合格</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组织实施</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管理制度</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健全性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健全</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健全</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制度执行</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有效</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有效</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kern w:val="0"/>
                <w:sz w:val="22"/>
                <w:szCs w:val="22"/>
                <w:highlight w:val="none"/>
              </w:rPr>
              <w:t>50分</w:t>
            </w: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产出数量</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实际完成率</w:t>
            </w:r>
          </w:p>
        </w:tc>
        <w:tc>
          <w:tcPr>
            <w:tcW w:w="727"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rPr>
              <w:t>15</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lang w:val="en-US" w:eastAsia="zh-CN"/>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lang w:val="en-US"/>
              </w:rPr>
            </w:pPr>
            <w:r>
              <w:rPr>
                <w:rFonts w:hint="eastAsia" w:cs="Times New Roman"/>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产出质量</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质量达标率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lang w:val="en-US" w:eastAsia="zh-CN"/>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lang w:val="en-US"/>
              </w:rPr>
            </w:pPr>
            <w:r>
              <w:rPr>
                <w:rFonts w:hint="eastAsia"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1283" w:type="dxa"/>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产出时效</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完成及时性</w:t>
            </w:r>
          </w:p>
        </w:tc>
        <w:tc>
          <w:tcPr>
            <w:tcW w:w="727" w:type="dxa"/>
            <w:shd w:val="clear" w:color="000000" w:fill="FFFFFF"/>
            <w:vAlign w:val="center"/>
          </w:tcPr>
          <w:p>
            <w:pPr>
              <w:widowControl/>
              <w:spacing w:line="0" w:lineRule="atLeast"/>
              <w:jc w:val="center"/>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rPr>
              <w:t>15</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及时</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及时</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lang w:val="en-US"/>
              </w:rPr>
            </w:pPr>
            <w:r>
              <w:rPr>
                <w:rFonts w:hint="eastAsia" w:cs="Times New Roman"/>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产出成本</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成本节约率</w:t>
            </w:r>
          </w:p>
        </w:tc>
        <w:tc>
          <w:tcPr>
            <w:tcW w:w="727"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lang w:val="en-US" w:eastAsia="zh-CN"/>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lang w:val="en-US"/>
              </w:rPr>
            </w:pPr>
            <w:r>
              <w:rPr>
                <w:rFonts w:hint="eastAsia"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效益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40分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项目效益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实施效益</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（社会效益、经济效益、可持续效益）</w:t>
            </w:r>
          </w:p>
        </w:tc>
        <w:tc>
          <w:tcPr>
            <w:tcW w:w="72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rPr>
              <w:t>30</w:t>
            </w:r>
          </w:p>
        </w:tc>
        <w:tc>
          <w:tcPr>
            <w:tcW w:w="104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有效</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有效</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lang w:val="en-US"/>
              </w:rPr>
            </w:pPr>
            <w:r>
              <w:rPr>
                <w:rFonts w:hint="eastAsia" w:cs="Times New Roman"/>
                <w:color w:val="000000"/>
                <w:kern w:val="0"/>
                <w:sz w:val="22"/>
                <w:szCs w:val="22"/>
                <w:highlight w:val="none"/>
                <w:lang w:val="en-US" w:eastAsia="zh-CN"/>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满意度</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lang w:val="en-US" w:eastAsia="zh-CN"/>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lang w:val="en-US"/>
              </w:rPr>
            </w:pPr>
            <w:r>
              <w:rPr>
                <w:rFonts w:hint="eastAsia" w:cs="Times New Roman"/>
                <w:color w:val="000000"/>
                <w:kern w:val="0"/>
                <w:sz w:val="22"/>
                <w:szCs w:val="22"/>
                <w:highlight w:val="none"/>
                <w:lang w:val="en-US" w:eastAsia="zh-CN"/>
              </w:rPr>
              <w:t>10</w:t>
            </w:r>
          </w:p>
        </w:tc>
      </w:tr>
    </w:tbl>
    <w:p>
      <w:pPr>
        <w:rPr>
          <w:rFonts w:hint="default" w:ascii="Times New Roman" w:hAnsi="Times New Roman" w:cs="Times New Roman"/>
        </w:rPr>
      </w:pPr>
    </w:p>
    <w:p>
      <w:pPr>
        <w:spacing w:line="600" w:lineRule="exact"/>
        <w:ind w:firstLine="320" w:firstLineChars="1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7"/>
        <w:ind w:firstLine="321" w:firstLineChars="1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pacing w:line="600" w:lineRule="exact"/>
        <w:ind w:firstLine="640" w:firstLineChars="200"/>
        <w:outlineLvl w:val="0"/>
        <w:rPr>
          <w:rFonts w:hint="default" w:ascii="Times New Roman" w:hAnsi="Times New Roman" w:cs="Times New Roman"/>
        </w:rPr>
      </w:pPr>
      <w:r>
        <w:rPr>
          <w:rFonts w:hint="eastAsia" w:ascii="仿宋_GB2312" w:hAnsi="仿宋_GB2312" w:eastAsia="仿宋_GB2312" w:cs="仿宋_GB2312"/>
          <w:sz w:val="32"/>
          <w:szCs w:val="32"/>
        </w:rPr>
        <w:t>项目立项符合法律法规、相关政策及部门职责，能反映和考核项目立项依据情况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项目申请、设立过程符合相关要求，能反映和考核项目立项的规范情况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所设定的绩效目标依据充分，符合客观实际，能反映和考核项目绩效目标与项目实施的相符情况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依据绩效目标设定的绩效指标清晰、细化、可衡量，能反映和考核项目绩效目标的明细化情况</w:t>
      </w:r>
      <w:r>
        <w:rPr>
          <w:rFonts w:hint="eastAsia" w:ascii="仿宋_GB2312" w:hAnsi="仿宋_GB2312" w:eastAsia="仿宋_GB2312" w:cs="仿宋_GB2312"/>
          <w:sz w:val="32"/>
          <w:szCs w:val="32"/>
          <w:lang w:eastAsia="zh-CN"/>
        </w:rPr>
        <w:t>。</w:t>
      </w:r>
    </w:p>
    <w:p>
      <w:pPr>
        <w:pStyle w:val="17"/>
        <w:numPr>
          <w:ilvl w:val="0"/>
          <w:numId w:val="6"/>
        </w:numPr>
        <w:ind w:firstLine="321" w:firstLineChars="100"/>
        <w:jc w:val="both"/>
        <w:rPr>
          <w:rFonts w:hint="default" w:ascii="Times New Roman" w:hAnsi="Times New Roman" w:cs="Times New Roman"/>
        </w:rPr>
      </w:pPr>
      <w:r>
        <w:rPr>
          <w:rFonts w:hint="default" w:ascii="Times New Roman" w:hAnsi="Times New Roman" w:eastAsia="楷体_GB2312" w:cs="Times New Roman"/>
        </w:rPr>
        <w:t>项目过程情况</w:t>
      </w:r>
    </w:p>
    <w:p>
      <w:pPr>
        <w:numPr>
          <w:ilvl w:val="0"/>
          <w:numId w:val="0"/>
        </w:num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rPr>
          <w:rFonts w:hint="default" w:ascii="Times New Roman" w:hAnsi="Times New Roman" w:cs="Times New Roman"/>
        </w:rPr>
      </w:pPr>
    </w:p>
    <w:p>
      <w:pPr>
        <w:pStyle w:val="18"/>
        <w:numPr>
          <w:ilvl w:val="0"/>
          <w:numId w:val="6"/>
        </w:numPr>
        <w:ind w:firstLine="321" w:firstLineChars="1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p>
    <w:p>
      <w:pPr>
        <w:numPr>
          <w:ilvl w:val="0"/>
          <w:numId w:val="0"/>
        </w:num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US" w:eastAsia="zh-CN"/>
        </w:rPr>
        <w:t>数量指标方面：</w:t>
      </w:r>
      <w:r>
        <w:rPr>
          <w:rFonts w:hint="eastAsia" w:ascii="仿宋_GB2312" w:hAnsi="仿宋_GB2312" w:eastAsia="仿宋_GB2312" w:cs="仿宋_GB2312"/>
          <w:sz w:val="32"/>
          <w:szCs w:val="32"/>
          <w:lang w:val="en-US" w:eastAsia="zh-CN"/>
        </w:rPr>
        <w:t>项目数量合计6项。</w:t>
      </w:r>
    </w:p>
    <w:p>
      <w:pPr>
        <w:numPr>
          <w:ilvl w:val="0"/>
          <w:numId w:val="0"/>
        </w:numP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eastAsia="zh-CN"/>
        </w:rPr>
        <w:t>质量指标方面：</w:t>
      </w:r>
    </w:p>
    <w:p>
      <w:pPr>
        <w:numPr>
          <w:ilvl w:val="0"/>
          <w:numId w:val="0"/>
        </w:num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（1）项目变更率0%。</w:t>
      </w:r>
    </w:p>
    <w:p>
      <w:pPr>
        <w:numPr>
          <w:ilvl w:val="0"/>
          <w:numId w:val="0"/>
        </w:numP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（2）竣工验收合格率100%。</w:t>
      </w:r>
    </w:p>
    <w:p>
      <w:pPr>
        <w:pageBreakBefore w:val="0"/>
        <w:kinsoku/>
        <w:wordWrap/>
        <w:overflowPunct/>
        <w:topLinePunct w:val="0"/>
        <w:autoSpaceDE/>
        <w:autoSpaceDN/>
        <w:bidi w:val="0"/>
        <w:adjustRightInd/>
        <w:snapToGrid/>
        <w:spacing w:line="600" w:lineRule="exact"/>
        <w:ind w:firstLine="640" w:firstLineChars="200"/>
        <w:textAlignment w:val="auto"/>
        <w:rPr>
          <w:rStyle w:val="51"/>
          <w:rFonts w:hint="default" w:ascii="Times New Roman" w:hAnsi="Times New Roman" w:cs="Times New Roman"/>
          <w:color w:val="auto"/>
          <w:lang w:val="en-US" w:eastAsia="zh-CN"/>
        </w:rPr>
      </w:pPr>
      <w:r>
        <w:rPr>
          <w:rStyle w:val="51"/>
          <w:rFonts w:hint="eastAsia" w:ascii="Times New Roman" w:hAnsi="Times New Roman" w:cs="Times New Roman"/>
          <w:b w:val="0"/>
          <w:bCs w:val="0"/>
          <w:color w:val="auto"/>
          <w:lang w:val="en-US" w:eastAsia="zh-CN"/>
        </w:rPr>
        <w:t>3、</w:t>
      </w:r>
      <w:r>
        <w:rPr>
          <w:rStyle w:val="51"/>
          <w:rFonts w:hint="default" w:ascii="Times New Roman" w:hAnsi="Times New Roman" w:cs="Times New Roman"/>
          <w:color w:val="auto"/>
          <w:lang w:val="en-US" w:eastAsia="zh-CN"/>
        </w:rPr>
        <w:t>时效指标方面：</w:t>
      </w:r>
    </w:p>
    <w:p>
      <w:pPr>
        <w:numPr>
          <w:ilvl w:val="0"/>
          <w:numId w:val="0"/>
        </w:num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（1）项目按计划开工率100%。</w:t>
      </w:r>
    </w:p>
    <w:p>
      <w:pPr>
        <w:numPr>
          <w:ilvl w:val="0"/>
          <w:numId w:val="0"/>
        </w:numPr>
        <w:spacing w:line="600" w:lineRule="exact"/>
        <w:ind w:firstLine="640" w:firstLineChars="200"/>
        <w:outlineLvl w:val="0"/>
        <w:rPr>
          <w:rStyle w:val="51"/>
          <w:rFonts w:hint="default" w:ascii="Times New Roman" w:hAnsi="Times New Roman" w:cs="Times New Roman"/>
          <w:b w:val="0"/>
          <w:bCs w:val="0"/>
          <w:color w:val="auto"/>
          <w:lang w:val="en-US" w:eastAsia="zh-CN"/>
        </w:rPr>
      </w:pPr>
      <w:r>
        <w:rPr>
          <w:rFonts w:hint="eastAsia" w:ascii="仿宋_GB2312" w:hAnsi="仿宋_GB2312" w:eastAsia="仿宋_GB2312" w:cs="仿宋_GB2312"/>
          <w:sz w:val="32"/>
          <w:szCs w:val="32"/>
          <w:lang w:val="en-US" w:eastAsia="zh-CN"/>
        </w:rPr>
        <w:t>（2）项目按计划完工率95%。</w:t>
      </w:r>
      <w:r>
        <w:rPr>
          <w:rStyle w:val="51"/>
          <w:rFonts w:hint="eastAsia" w:ascii="Times New Roman" w:hAnsi="Times New Roman" w:cs="Times New Roman"/>
          <w:b w:val="0"/>
          <w:bCs w:val="0"/>
          <w:color w:val="auto"/>
          <w:lang w:val="en-US" w:eastAsia="zh-CN"/>
        </w:rPr>
        <w:tab/>
      </w:r>
    </w:p>
    <w:p>
      <w:pPr>
        <w:pStyle w:val="17"/>
        <w:pageBreakBefore w:val="0"/>
        <w:kinsoku/>
        <w:wordWrap/>
        <w:overflowPunct/>
        <w:topLinePunct w:val="0"/>
        <w:autoSpaceDE/>
        <w:autoSpaceDN/>
        <w:bidi w:val="0"/>
        <w:adjustRightInd/>
        <w:snapToGrid/>
        <w:spacing w:before="0" w:after="0" w:line="600" w:lineRule="exact"/>
        <w:ind w:firstLine="640" w:firstLineChars="200"/>
        <w:jc w:val="both"/>
        <w:textAlignment w:val="auto"/>
        <w:rPr>
          <w:rStyle w:val="51"/>
          <w:rFonts w:hint="default" w:ascii="Times New Roman" w:hAnsi="Times New Roman" w:cs="Times New Roman"/>
          <w:b w:val="0"/>
          <w:bCs w:val="0"/>
          <w:color w:val="auto"/>
          <w:lang w:val="en-US" w:eastAsia="zh-CN"/>
        </w:rPr>
      </w:pPr>
      <w:r>
        <w:rPr>
          <w:rStyle w:val="51"/>
          <w:rFonts w:hint="eastAsia" w:ascii="Times New Roman" w:hAnsi="Times New Roman" w:cs="Times New Roman"/>
          <w:b w:val="0"/>
          <w:bCs w:val="0"/>
          <w:color w:val="auto"/>
          <w:lang w:val="en-US" w:eastAsia="zh-CN"/>
        </w:rPr>
        <w:t>4、</w:t>
      </w:r>
      <w:r>
        <w:rPr>
          <w:rStyle w:val="51"/>
          <w:rFonts w:hint="default" w:ascii="Times New Roman" w:hAnsi="Times New Roman" w:cs="Times New Roman"/>
          <w:b w:val="0"/>
          <w:bCs w:val="0"/>
          <w:color w:val="auto"/>
          <w:lang w:val="en-US" w:eastAsia="zh-CN"/>
        </w:rPr>
        <w:t>成本指标方面：</w:t>
      </w:r>
    </w:p>
    <w:p>
      <w:pPr>
        <w:numPr>
          <w:ilvl w:val="0"/>
          <w:numId w:val="0"/>
        </w:num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（1）项目预算成本偏差控制率10%。</w:t>
      </w:r>
    </w:p>
    <w:p>
      <w:pPr>
        <w:pStyle w:val="18"/>
        <w:pageBreakBefore w:val="0"/>
        <w:numPr>
          <w:ilvl w:val="0"/>
          <w:numId w:val="6"/>
        </w:numPr>
        <w:kinsoku/>
        <w:wordWrap/>
        <w:overflowPunct/>
        <w:topLinePunct w:val="0"/>
        <w:autoSpaceDE/>
        <w:autoSpaceDN/>
        <w:bidi w:val="0"/>
        <w:adjustRightInd/>
        <w:snapToGrid/>
        <w:spacing w:after="0" w:line="60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效益情况</w:t>
      </w:r>
    </w:p>
    <w:p>
      <w:pPr>
        <w:pageBreakBefore w:val="0"/>
        <w:kinsoku/>
        <w:wordWrap/>
        <w:overflowPunct/>
        <w:topLinePunct w:val="0"/>
        <w:autoSpaceDE/>
        <w:autoSpaceDN/>
        <w:bidi w:val="0"/>
        <w:adjustRightInd/>
        <w:snapToGrid/>
        <w:spacing w:line="600" w:lineRule="exact"/>
        <w:ind w:firstLine="640" w:firstLineChars="200"/>
        <w:textAlignment w:val="auto"/>
        <w:rPr>
          <w:rStyle w:val="51"/>
          <w:rFonts w:hint="default" w:eastAsia="仿宋_GB2312" w:cs="Times New Roman"/>
          <w:color w:val="auto"/>
          <w:lang w:val="en-US" w:eastAsia="zh-CN"/>
        </w:rPr>
      </w:pPr>
      <w:r>
        <w:rPr>
          <w:rStyle w:val="51"/>
          <w:rFonts w:hint="eastAsia" w:eastAsia="仿宋_GB2312" w:cs="Times New Roman"/>
          <w:color w:val="auto"/>
          <w:lang w:val="en-US" w:eastAsia="zh-CN"/>
        </w:rPr>
        <w:t>1、</w:t>
      </w:r>
      <w:r>
        <w:rPr>
          <w:rStyle w:val="51"/>
          <w:rFonts w:hint="default" w:eastAsia="仿宋_GB2312" w:cs="Times New Roman"/>
          <w:color w:val="auto"/>
          <w:lang w:val="en-US" w:eastAsia="zh-CN"/>
        </w:rPr>
        <w:t>经济效益指标方面：</w:t>
      </w:r>
    </w:p>
    <w:p>
      <w:pPr>
        <w:pageBreakBefore w:val="0"/>
        <w:kinsoku/>
        <w:wordWrap/>
        <w:overflowPunct/>
        <w:topLinePunct w:val="0"/>
        <w:autoSpaceDE/>
        <w:autoSpaceDN/>
        <w:bidi w:val="0"/>
        <w:adjustRightInd/>
        <w:snapToGrid/>
        <w:spacing w:line="600" w:lineRule="exact"/>
        <w:ind w:firstLine="640" w:firstLineChars="200"/>
        <w:textAlignment w:val="auto"/>
        <w:rPr>
          <w:rStyle w:val="51"/>
          <w:rFonts w:hint="default" w:eastAsia="仿宋_GB2312" w:cs="Times New Roman"/>
          <w:color w:val="auto"/>
          <w:lang w:val="en-US" w:eastAsia="zh-CN"/>
        </w:rPr>
      </w:pPr>
      <w:r>
        <w:rPr>
          <w:rStyle w:val="51"/>
          <w:rFonts w:hint="default" w:eastAsia="仿宋_GB2312" w:cs="Times New Roman"/>
          <w:color w:val="auto"/>
          <w:lang w:val="en-US" w:eastAsia="zh-CN"/>
        </w:rPr>
        <w:t>资金按需支付率</w:t>
      </w:r>
      <w:r>
        <w:rPr>
          <w:rStyle w:val="51"/>
          <w:rFonts w:hint="eastAsia" w:eastAsia="仿宋_GB2312" w:cs="Times New Roman"/>
          <w:color w:val="auto"/>
          <w:lang w:val="en-US" w:eastAsia="zh-CN"/>
        </w:rPr>
        <w:t>100%。</w:t>
      </w:r>
    </w:p>
    <w:p>
      <w:pPr>
        <w:pageBreakBefore w:val="0"/>
        <w:kinsoku/>
        <w:wordWrap/>
        <w:overflowPunct/>
        <w:topLinePunct w:val="0"/>
        <w:autoSpaceDE/>
        <w:autoSpaceDN/>
        <w:bidi w:val="0"/>
        <w:adjustRightInd/>
        <w:snapToGrid/>
        <w:spacing w:line="600" w:lineRule="exact"/>
        <w:ind w:firstLine="640" w:firstLineChars="200"/>
        <w:textAlignment w:val="auto"/>
        <w:rPr>
          <w:rStyle w:val="51"/>
          <w:rFonts w:hint="default" w:eastAsia="仿宋_GB2312" w:cs="Times New Roman"/>
          <w:color w:val="auto"/>
          <w:lang w:val="en-US" w:eastAsia="zh-CN"/>
        </w:rPr>
      </w:pPr>
      <w:r>
        <w:rPr>
          <w:rStyle w:val="51"/>
          <w:rFonts w:hint="eastAsia" w:eastAsia="仿宋_GB2312" w:cs="Times New Roman"/>
          <w:color w:val="auto"/>
          <w:lang w:val="en-US" w:eastAsia="zh-CN"/>
        </w:rPr>
        <w:t>2、</w:t>
      </w:r>
      <w:r>
        <w:rPr>
          <w:rStyle w:val="51"/>
          <w:rFonts w:hint="default" w:eastAsia="仿宋_GB2312" w:cs="Times New Roman"/>
          <w:color w:val="auto"/>
          <w:lang w:val="en-US" w:eastAsia="zh-CN"/>
        </w:rPr>
        <w:t>社会效益指标方面：</w:t>
      </w:r>
    </w:p>
    <w:p>
      <w:pPr>
        <w:pageBreakBefore w:val="0"/>
        <w:kinsoku/>
        <w:wordWrap/>
        <w:overflowPunct/>
        <w:topLinePunct w:val="0"/>
        <w:autoSpaceDE/>
        <w:autoSpaceDN/>
        <w:bidi w:val="0"/>
        <w:adjustRightInd/>
        <w:snapToGrid/>
        <w:spacing w:line="600" w:lineRule="exact"/>
        <w:ind w:firstLine="640" w:firstLineChars="200"/>
        <w:textAlignment w:val="auto"/>
        <w:rPr>
          <w:rStyle w:val="51"/>
          <w:rFonts w:hint="eastAsia" w:eastAsia="仿宋_GB2312" w:cs="Times New Roman"/>
          <w:color w:val="auto"/>
          <w:lang w:val="en-US" w:eastAsia="zh-CN"/>
        </w:rPr>
      </w:pPr>
      <w:r>
        <w:rPr>
          <w:rStyle w:val="51"/>
          <w:rFonts w:hint="eastAsia" w:eastAsia="仿宋_GB2312" w:cs="Times New Roman"/>
          <w:color w:val="auto"/>
          <w:lang w:val="en-US" w:eastAsia="zh-CN"/>
        </w:rPr>
        <w:t>（1）正常运转率100%。</w:t>
      </w:r>
    </w:p>
    <w:p>
      <w:pPr>
        <w:pageBreakBefore w:val="0"/>
        <w:kinsoku/>
        <w:wordWrap/>
        <w:overflowPunct/>
        <w:topLinePunct w:val="0"/>
        <w:autoSpaceDE/>
        <w:autoSpaceDN/>
        <w:bidi w:val="0"/>
        <w:adjustRightInd/>
        <w:snapToGrid/>
        <w:spacing w:line="600" w:lineRule="exact"/>
        <w:ind w:firstLine="640" w:firstLineChars="200"/>
        <w:textAlignment w:val="auto"/>
        <w:rPr>
          <w:rStyle w:val="51"/>
          <w:rFonts w:hint="default" w:eastAsia="仿宋_GB2312" w:cs="Times New Roman"/>
          <w:color w:val="auto"/>
          <w:lang w:val="en-US" w:eastAsia="zh-CN"/>
        </w:rPr>
      </w:pPr>
      <w:r>
        <w:rPr>
          <w:rStyle w:val="51"/>
          <w:rFonts w:hint="eastAsia" w:eastAsia="仿宋_GB2312" w:cs="Times New Roman"/>
          <w:color w:val="auto"/>
          <w:lang w:val="en-US" w:eastAsia="zh-CN"/>
        </w:rPr>
        <w:t>（2）受益人数16800人。</w:t>
      </w:r>
    </w:p>
    <w:p>
      <w:pPr>
        <w:pageBreakBefore w:val="0"/>
        <w:kinsoku/>
        <w:wordWrap/>
        <w:overflowPunct/>
        <w:topLinePunct w:val="0"/>
        <w:autoSpaceDE/>
        <w:autoSpaceDN/>
        <w:bidi w:val="0"/>
        <w:adjustRightInd/>
        <w:snapToGrid/>
        <w:spacing w:line="600" w:lineRule="exact"/>
        <w:ind w:firstLine="640" w:firstLineChars="200"/>
        <w:textAlignment w:val="auto"/>
        <w:rPr>
          <w:rStyle w:val="51"/>
          <w:rFonts w:hint="eastAsia" w:eastAsia="仿宋_GB2312" w:cs="Times New Roman"/>
          <w:color w:val="auto"/>
          <w:lang w:val="en-US" w:eastAsia="zh-CN"/>
        </w:rPr>
      </w:pPr>
      <w:r>
        <w:rPr>
          <w:rStyle w:val="51"/>
          <w:rFonts w:hint="eastAsia" w:eastAsia="仿宋_GB2312" w:cs="Times New Roman"/>
          <w:color w:val="auto"/>
          <w:lang w:val="en-US" w:eastAsia="zh-CN"/>
        </w:rPr>
        <w:t>3、生态效益指标方面：</w:t>
      </w:r>
    </w:p>
    <w:p>
      <w:pPr>
        <w:pageBreakBefore w:val="0"/>
        <w:kinsoku/>
        <w:wordWrap/>
        <w:overflowPunct/>
        <w:topLinePunct w:val="0"/>
        <w:autoSpaceDE/>
        <w:autoSpaceDN/>
        <w:bidi w:val="0"/>
        <w:adjustRightInd/>
        <w:snapToGrid/>
        <w:spacing w:line="600" w:lineRule="exact"/>
        <w:ind w:firstLine="640" w:firstLineChars="200"/>
        <w:textAlignment w:val="auto"/>
        <w:rPr>
          <w:rStyle w:val="51"/>
          <w:rFonts w:hint="default" w:eastAsia="仿宋_GB2312" w:cs="Times New Roman"/>
          <w:color w:val="auto"/>
          <w:lang w:val="en-US" w:eastAsia="zh-CN"/>
        </w:rPr>
      </w:pPr>
      <w:r>
        <w:rPr>
          <w:rStyle w:val="51"/>
          <w:rFonts w:hint="default" w:eastAsia="仿宋_GB2312" w:cs="Times New Roman"/>
          <w:color w:val="auto"/>
          <w:lang w:val="en-US" w:eastAsia="zh-CN"/>
        </w:rPr>
        <w:t>依照环保规定进行工程施工</w:t>
      </w:r>
      <w:r>
        <w:rPr>
          <w:rStyle w:val="51"/>
          <w:rFonts w:hint="eastAsia" w:eastAsia="仿宋_GB2312" w:cs="Times New Roman"/>
          <w:color w:val="auto"/>
          <w:lang w:val="en-US" w:eastAsia="zh-CN"/>
        </w:rPr>
        <w:t>有效保障。</w:t>
      </w:r>
    </w:p>
    <w:p>
      <w:pPr>
        <w:pageBreakBefore w:val="0"/>
        <w:kinsoku/>
        <w:wordWrap/>
        <w:overflowPunct/>
        <w:topLinePunct w:val="0"/>
        <w:autoSpaceDE/>
        <w:autoSpaceDN/>
        <w:bidi w:val="0"/>
        <w:adjustRightInd/>
        <w:snapToGrid/>
        <w:spacing w:line="600" w:lineRule="exact"/>
        <w:ind w:firstLine="640" w:firstLineChars="200"/>
        <w:textAlignment w:val="auto"/>
        <w:rPr>
          <w:rStyle w:val="51"/>
          <w:rFonts w:hint="default" w:eastAsia="仿宋_GB2312" w:cs="Times New Roman"/>
          <w:color w:val="auto"/>
          <w:lang w:val="en-US" w:eastAsia="zh-CN"/>
        </w:rPr>
      </w:pPr>
      <w:r>
        <w:rPr>
          <w:rStyle w:val="51"/>
          <w:rFonts w:hint="eastAsia" w:eastAsia="仿宋_GB2312" w:cs="Times New Roman"/>
          <w:color w:val="auto"/>
          <w:lang w:val="en-US" w:eastAsia="zh-CN"/>
        </w:rPr>
        <w:t>4、</w:t>
      </w:r>
      <w:r>
        <w:rPr>
          <w:rStyle w:val="51"/>
          <w:rFonts w:hint="default" w:eastAsia="仿宋_GB2312" w:cs="Times New Roman"/>
          <w:color w:val="auto"/>
          <w:lang w:val="en-US" w:eastAsia="zh-CN"/>
        </w:rPr>
        <w:t>可持续影响指标方面：</w:t>
      </w:r>
    </w:p>
    <w:p>
      <w:pPr>
        <w:pageBreakBefore w:val="0"/>
        <w:kinsoku/>
        <w:wordWrap/>
        <w:overflowPunct/>
        <w:topLinePunct w:val="0"/>
        <w:autoSpaceDE/>
        <w:autoSpaceDN/>
        <w:bidi w:val="0"/>
        <w:adjustRightInd/>
        <w:snapToGrid/>
        <w:spacing w:line="600" w:lineRule="exact"/>
        <w:ind w:firstLine="640" w:firstLineChars="200"/>
        <w:textAlignment w:val="auto"/>
        <w:rPr>
          <w:rStyle w:val="51"/>
          <w:rFonts w:hint="default" w:eastAsia="仿宋_GB2312" w:cs="Times New Roman"/>
          <w:color w:val="auto"/>
          <w:lang w:val="en-US" w:eastAsia="zh-CN"/>
        </w:rPr>
      </w:pPr>
      <w:r>
        <w:rPr>
          <w:rStyle w:val="51"/>
          <w:rFonts w:hint="default" w:eastAsia="仿宋_GB2312" w:cs="Times New Roman"/>
          <w:color w:val="auto"/>
          <w:lang w:val="en-US" w:eastAsia="zh-CN"/>
        </w:rPr>
        <w:t>促进学院发展，项目使用年限</w:t>
      </w:r>
      <w:r>
        <w:rPr>
          <w:rStyle w:val="51"/>
          <w:rFonts w:hint="eastAsia" w:eastAsia="仿宋_GB2312" w:cs="Times New Roman"/>
          <w:color w:val="auto"/>
          <w:lang w:val="en-US" w:eastAsia="zh-CN"/>
        </w:rPr>
        <w:t>按照设计使用年限进行使用。</w:t>
      </w:r>
    </w:p>
    <w:p>
      <w:pPr>
        <w:pStyle w:val="18"/>
        <w:pageBreakBefore w:val="0"/>
        <w:numPr>
          <w:ilvl w:val="0"/>
          <w:numId w:val="6"/>
        </w:numPr>
        <w:kinsoku/>
        <w:wordWrap/>
        <w:overflowPunct/>
        <w:topLinePunct w:val="0"/>
        <w:autoSpaceDE/>
        <w:autoSpaceDN/>
        <w:bidi w:val="0"/>
        <w:adjustRightInd/>
        <w:snapToGrid/>
        <w:spacing w:after="0" w:line="60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满意度指标方面：</w:t>
      </w:r>
    </w:p>
    <w:p>
      <w:pPr>
        <w:pageBreakBefore w:val="0"/>
        <w:kinsoku/>
        <w:wordWrap/>
        <w:overflowPunct/>
        <w:topLinePunct w:val="0"/>
        <w:autoSpaceDE/>
        <w:autoSpaceDN/>
        <w:bidi w:val="0"/>
        <w:adjustRightInd/>
        <w:snapToGrid/>
        <w:spacing w:line="600" w:lineRule="exact"/>
        <w:ind w:firstLine="640" w:firstLineChars="200"/>
        <w:textAlignment w:val="auto"/>
        <w:rPr>
          <w:rStyle w:val="51"/>
          <w:rFonts w:hint="default" w:eastAsia="仿宋_GB2312" w:cs="Times New Roman"/>
          <w:color w:val="auto"/>
          <w:lang w:val="en-US" w:eastAsia="zh-CN"/>
        </w:rPr>
      </w:pPr>
      <w:r>
        <w:rPr>
          <w:rStyle w:val="51"/>
          <w:rFonts w:hint="eastAsia" w:eastAsia="仿宋_GB2312" w:cs="Times New Roman"/>
          <w:color w:val="auto"/>
          <w:lang w:val="en-US" w:eastAsia="zh-CN"/>
        </w:rPr>
        <w:t>1、</w:t>
      </w:r>
      <w:r>
        <w:rPr>
          <w:rStyle w:val="51"/>
          <w:rFonts w:hint="default" w:eastAsia="仿宋_GB2312" w:cs="Times New Roman"/>
          <w:color w:val="auto"/>
          <w:lang w:val="en-US" w:eastAsia="zh-CN"/>
        </w:rPr>
        <w:t>服务对象满意度指标</w:t>
      </w:r>
      <w:r>
        <w:rPr>
          <w:rStyle w:val="51"/>
          <w:rFonts w:hint="eastAsia" w:eastAsia="仿宋_GB2312" w:cs="Times New Roman"/>
          <w:color w:val="auto"/>
          <w:lang w:val="en-US" w:eastAsia="zh-CN"/>
        </w:rPr>
        <w:t>：</w:t>
      </w:r>
      <w:r>
        <w:rPr>
          <w:rStyle w:val="51"/>
          <w:rFonts w:hint="default" w:eastAsia="仿宋_GB2312" w:cs="Times New Roman"/>
          <w:color w:val="auto"/>
          <w:lang w:val="en-US" w:eastAsia="zh-CN"/>
        </w:rPr>
        <w:t>师生满意度</w:t>
      </w:r>
      <w:r>
        <w:rPr>
          <w:rStyle w:val="51"/>
          <w:rFonts w:hint="eastAsia" w:eastAsia="仿宋_GB2312" w:cs="Times New Roman"/>
          <w:color w:val="auto"/>
          <w:lang w:val="en-US" w:eastAsia="zh-CN"/>
        </w:rPr>
        <w:t>92%。</w:t>
      </w:r>
    </w:p>
    <w:p>
      <w:pPr>
        <w:pageBreakBefore w:val="0"/>
        <w:kinsoku/>
        <w:wordWrap/>
        <w:overflowPunct/>
        <w:topLinePunct w:val="0"/>
        <w:autoSpaceDE/>
        <w:autoSpaceDN/>
        <w:bidi w:val="0"/>
        <w:adjustRightInd/>
        <w:snapToGrid/>
        <w:spacing w:line="600" w:lineRule="exact"/>
        <w:ind w:firstLine="640" w:firstLineChars="200"/>
        <w:textAlignment w:val="auto"/>
        <w:rPr>
          <w:rStyle w:val="51"/>
          <w:rFonts w:hint="default" w:ascii="Times New Roman" w:hAnsi="Times New Roman" w:cs="Times New Roman"/>
          <w:color w:val="auto"/>
        </w:rPr>
      </w:pPr>
      <w:r>
        <w:rPr>
          <w:rFonts w:hint="default" w:ascii="Times New Roman" w:hAnsi="Times New Roman" w:eastAsia="黑体" w:cs="Times New Roman"/>
          <w:sz w:val="32"/>
          <w:szCs w:val="32"/>
        </w:rPr>
        <w:t>五、主要经验及做法、存在的问题及原因分析</w:t>
      </w:r>
    </w:p>
    <w:p>
      <w:pPr>
        <w:pageBreakBefore w:val="0"/>
        <w:kinsoku/>
        <w:wordWrap/>
        <w:overflowPunct/>
        <w:topLinePunct w:val="0"/>
        <w:autoSpaceDE/>
        <w:autoSpaceDN/>
        <w:bidi w:val="0"/>
        <w:adjustRightInd/>
        <w:snapToGrid/>
        <w:spacing w:line="60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7"/>
        <w:pageBreakBefore w:val="0"/>
        <w:kinsoku/>
        <w:wordWrap/>
        <w:overflowPunct/>
        <w:topLinePunct w:val="0"/>
        <w:autoSpaceDE/>
        <w:autoSpaceDN/>
        <w:bidi w:val="0"/>
        <w:adjustRightInd/>
        <w:snapToGrid/>
        <w:spacing w:before="0" w:after="0" w:line="600" w:lineRule="exact"/>
        <w:ind w:firstLine="640" w:firstLineChars="200"/>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pageBreakBefore w:val="0"/>
        <w:numPr>
          <w:ilvl w:val="0"/>
          <w:numId w:val="7"/>
        </w:numPr>
        <w:kinsoku/>
        <w:wordWrap/>
        <w:overflowPunct/>
        <w:topLinePunct w:val="0"/>
        <w:autoSpaceDE/>
        <w:autoSpaceDN/>
        <w:bidi w:val="0"/>
        <w:adjustRightInd/>
        <w:snapToGrid/>
        <w:spacing w:line="60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pStyle w:val="17"/>
        <w:pageBreakBefore w:val="0"/>
        <w:kinsoku/>
        <w:wordWrap/>
        <w:overflowPunct/>
        <w:topLinePunct w:val="0"/>
        <w:autoSpaceDE/>
        <w:autoSpaceDN/>
        <w:bidi w:val="0"/>
        <w:adjustRightInd/>
        <w:snapToGrid/>
        <w:spacing w:before="0" w:after="0" w:line="600" w:lineRule="exact"/>
        <w:ind w:firstLine="640" w:firstLineChars="200"/>
        <w:jc w:val="left"/>
        <w:textAlignment w:val="auto"/>
        <w:rPr>
          <w:rFonts w:hint="eastAsia" w:ascii="Times New Roman" w:hAnsi="Times New Roman" w:eastAsia="仿宋_GB2312" w:cs="Times New Roman"/>
          <w:b w:val="0"/>
          <w:bCs w:val="0"/>
          <w:kern w:val="2"/>
          <w:highlight w:val="none"/>
        </w:rPr>
      </w:pPr>
      <w:r>
        <w:rPr>
          <w:rFonts w:hint="eastAsia" w:ascii="Times New Roman" w:hAnsi="Times New Roman" w:eastAsia="仿宋_GB2312" w:cs="Times New Roman"/>
          <w:b w:val="0"/>
          <w:bCs w:val="0"/>
          <w:kern w:val="2"/>
          <w:highlight w:val="none"/>
        </w:rPr>
        <w:t>建设项目必须独立承担建设期间及经营活动中的各种风险。因此，只有对各种风险进行准确地识别、分析、控制和转移，建设项目才能得以顺利进行。本报告根据项目本身的特点，从主要风险识别入手，分析各种风险程度，并提出了相应的防范和降低风险对策。</w:t>
      </w:r>
    </w:p>
    <w:p>
      <w:pPr>
        <w:ind w:firstLine="627" w:firstLineChars="200"/>
        <w:rPr>
          <w:rStyle w:val="22"/>
          <w:rFonts w:ascii="仿宋_GB2312"/>
          <w:spacing w:val="-4"/>
          <w:sz w:val="32"/>
          <w:szCs w:val="32"/>
          <w:highlight w:val="none"/>
        </w:rPr>
      </w:pPr>
      <w:r>
        <w:rPr>
          <w:rStyle w:val="22"/>
          <w:rFonts w:hint="eastAsia" w:ascii="仿宋_GB2312"/>
          <w:spacing w:val="-4"/>
          <w:sz w:val="32"/>
          <w:szCs w:val="32"/>
          <w:highlight w:val="none"/>
          <w:lang w:val="en-US" w:eastAsia="zh-CN"/>
        </w:rPr>
        <w:t>1、</w:t>
      </w:r>
      <w:r>
        <w:rPr>
          <w:rStyle w:val="22"/>
          <w:rFonts w:hint="eastAsia" w:ascii="仿宋_GB2312"/>
          <w:spacing w:val="-4"/>
          <w:sz w:val="32"/>
          <w:szCs w:val="32"/>
          <w:highlight w:val="none"/>
        </w:rPr>
        <w:t>项目实施风险因素分析</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lang w:eastAsia="zh-CN"/>
        </w:rPr>
        <w:t>（</w:t>
      </w:r>
      <w:r>
        <w:rPr>
          <w:rFonts w:hint="eastAsia" w:ascii="仿宋_GB2312" w:hAnsi="仿宋_GB2312" w:eastAsia="仿宋_GB2312" w:cs="仿宋_GB2312"/>
          <w:sz w:val="32"/>
          <w:szCs w:val="28"/>
          <w:highlight w:val="none"/>
          <w:lang w:val="en-US" w:eastAsia="zh-CN"/>
        </w:rPr>
        <w:t>1</w:t>
      </w:r>
      <w:r>
        <w:rPr>
          <w:rFonts w:hint="eastAsia" w:ascii="仿宋_GB2312" w:hAnsi="仿宋_GB2312" w:eastAsia="仿宋_GB2312" w:cs="仿宋_GB2312"/>
          <w:sz w:val="32"/>
          <w:szCs w:val="28"/>
          <w:highlight w:val="none"/>
          <w:lang w:eastAsia="zh-CN"/>
        </w:rPr>
        <w:t>）</w:t>
      </w:r>
      <w:r>
        <w:rPr>
          <w:rFonts w:hint="eastAsia" w:ascii="仿宋_GB2312" w:hAnsi="仿宋_GB2312" w:eastAsia="仿宋_GB2312" w:cs="仿宋_GB2312"/>
          <w:sz w:val="32"/>
          <w:szCs w:val="28"/>
          <w:highlight w:val="none"/>
        </w:rPr>
        <w:t>工程工期风险</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鉴于项目目前准备阶段和实施过程中，虽然准备充足，但仍有很多不确定问题存在，诸如项目建设用地的地质详勘尚未详细进行、项目施工进度尚未制定详细计划等均将影响项目的建设工期；此外，项目管理手段及效率也会影响项目本身的建设工期。正常情况下，该风险程度一般。</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为了减少或降低影响项目工期正常进行的风险和因素，需针对不同的影响因素制定相应的防范措施，准备相应的预案，给项目实施的各个阶段的工期安排一定的弹性。</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lang w:eastAsia="zh-CN"/>
        </w:rPr>
        <w:t>（</w:t>
      </w:r>
      <w:r>
        <w:rPr>
          <w:rFonts w:hint="eastAsia" w:ascii="仿宋_GB2312" w:hAnsi="仿宋_GB2312" w:eastAsia="仿宋_GB2312" w:cs="仿宋_GB2312"/>
          <w:sz w:val="32"/>
          <w:szCs w:val="28"/>
          <w:highlight w:val="none"/>
          <w:lang w:val="en-US" w:eastAsia="zh-CN"/>
        </w:rPr>
        <w:t>2</w:t>
      </w:r>
      <w:r>
        <w:rPr>
          <w:rFonts w:hint="eastAsia" w:ascii="仿宋_GB2312" w:hAnsi="仿宋_GB2312" w:eastAsia="仿宋_GB2312" w:cs="仿宋_GB2312"/>
          <w:sz w:val="32"/>
          <w:szCs w:val="28"/>
          <w:highlight w:val="none"/>
          <w:lang w:eastAsia="zh-CN"/>
        </w:rPr>
        <w:t>）</w:t>
      </w:r>
      <w:r>
        <w:rPr>
          <w:rFonts w:hint="eastAsia" w:ascii="仿宋_GB2312" w:hAnsi="仿宋_GB2312" w:eastAsia="仿宋_GB2312" w:cs="仿宋_GB2312"/>
          <w:sz w:val="32"/>
          <w:szCs w:val="28"/>
          <w:highlight w:val="none"/>
        </w:rPr>
        <w:t>工程质量风险</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能够产生项目工程质量问题的原因主要来自于项目管理水平、设计任务书的条件深度、设计质量和施工企业的质量管理水平、技术手段和能力，也来自于工期紧张可能造成的非正常施工操作，以及项目所需各种材料的品质保证。正常情况下，该风险程度一般。</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因此，应把好设计、施工、监理等队伍选择的各个环节，所有的合作和服务关系均按市场经济条件下依法签订的合约加以控制，建立违约赔偿制度，从而将质量风险因素降到最小程度。</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lang w:eastAsia="zh-CN"/>
        </w:rPr>
        <w:t>（</w:t>
      </w:r>
      <w:r>
        <w:rPr>
          <w:rFonts w:hint="eastAsia" w:ascii="仿宋_GB2312" w:hAnsi="仿宋_GB2312" w:eastAsia="仿宋_GB2312" w:cs="仿宋_GB2312"/>
          <w:sz w:val="32"/>
          <w:szCs w:val="28"/>
          <w:highlight w:val="none"/>
          <w:lang w:val="en-US" w:eastAsia="zh-CN"/>
        </w:rPr>
        <w:t>3</w:t>
      </w:r>
      <w:r>
        <w:rPr>
          <w:rFonts w:hint="eastAsia" w:ascii="仿宋_GB2312" w:hAnsi="仿宋_GB2312" w:eastAsia="仿宋_GB2312" w:cs="仿宋_GB2312"/>
          <w:sz w:val="32"/>
          <w:szCs w:val="28"/>
          <w:highlight w:val="none"/>
          <w:lang w:eastAsia="zh-CN"/>
        </w:rPr>
        <w:t>）</w:t>
      </w:r>
      <w:r>
        <w:rPr>
          <w:rFonts w:hint="eastAsia" w:ascii="仿宋_GB2312" w:hAnsi="仿宋_GB2312" w:eastAsia="仿宋_GB2312" w:cs="仿宋_GB2312"/>
          <w:sz w:val="32"/>
          <w:szCs w:val="28"/>
          <w:highlight w:val="none"/>
        </w:rPr>
        <w:t>组织管理风险</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项目实施过程中由于组织不当、内部控制制度不完善等因素，都会导致项目不能按时完成，从而使得已经确立的项目进度受到影响，造成项目原定目标不能实现。</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lang w:eastAsia="zh-CN"/>
        </w:rPr>
        <w:t>（</w:t>
      </w:r>
      <w:r>
        <w:rPr>
          <w:rFonts w:hint="eastAsia" w:ascii="仿宋_GB2312" w:hAnsi="仿宋_GB2312" w:eastAsia="仿宋_GB2312" w:cs="仿宋_GB2312"/>
          <w:sz w:val="32"/>
          <w:szCs w:val="28"/>
          <w:highlight w:val="none"/>
          <w:lang w:val="en-US" w:eastAsia="zh-CN"/>
        </w:rPr>
        <w:t>4</w:t>
      </w:r>
      <w:r>
        <w:rPr>
          <w:rFonts w:hint="eastAsia" w:ascii="仿宋_GB2312" w:hAnsi="仿宋_GB2312" w:eastAsia="仿宋_GB2312" w:cs="仿宋_GB2312"/>
          <w:sz w:val="32"/>
          <w:szCs w:val="28"/>
          <w:highlight w:val="none"/>
          <w:lang w:eastAsia="zh-CN"/>
        </w:rPr>
        <w:t>）</w:t>
      </w:r>
      <w:r>
        <w:rPr>
          <w:rFonts w:hint="eastAsia" w:ascii="仿宋_GB2312" w:hAnsi="仿宋_GB2312" w:eastAsia="仿宋_GB2312" w:cs="仿宋_GB2312"/>
          <w:sz w:val="32"/>
          <w:szCs w:val="28"/>
          <w:highlight w:val="none"/>
        </w:rPr>
        <w:t>外部协作风险</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项目实施过程中，供水、供电、污水处理、垃圾处理、供暖等外部配套与现状存在较大差异，将给项目实施造成一定的困难。</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lang w:eastAsia="zh-CN"/>
        </w:rPr>
        <w:t>（</w:t>
      </w:r>
      <w:r>
        <w:rPr>
          <w:rFonts w:hint="eastAsia" w:ascii="仿宋_GB2312" w:hAnsi="仿宋_GB2312" w:eastAsia="仿宋_GB2312" w:cs="仿宋_GB2312"/>
          <w:sz w:val="32"/>
          <w:szCs w:val="28"/>
          <w:highlight w:val="none"/>
          <w:lang w:val="en-US" w:eastAsia="zh-CN"/>
        </w:rPr>
        <w:t>5</w:t>
      </w:r>
      <w:r>
        <w:rPr>
          <w:rFonts w:hint="eastAsia" w:ascii="仿宋_GB2312" w:hAnsi="仿宋_GB2312" w:eastAsia="仿宋_GB2312" w:cs="仿宋_GB2312"/>
          <w:sz w:val="32"/>
          <w:szCs w:val="28"/>
          <w:highlight w:val="none"/>
          <w:lang w:eastAsia="zh-CN"/>
        </w:rPr>
        <w:t>）</w:t>
      </w:r>
      <w:r>
        <w:rPr>
          <w:rFonts w:hint="eastAsia" w:ascii="仿宋_GB2312" w:hAnsi="仿宋_GB2312" w:eastAsia="仿宋_GB2312" w:cs="仿宋_GB2312"/>
          <w:sz w:val="32"/>
          <w:szCs w:val="28"/>
          <w:highlight w:val="none"/>
        </w:rPr>
        <w:t>资金风险</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对于市场建筑材料的价格变化情况关注度不够等会对项目的实施造成一定的影响。</w:t>
      </w:r>
    </w:p>
    <w:p>
      <w:pPr>
        <w:ind w:firstLine="627" w:firstLineChars="200"/>
        <w:rPr>
          <w:rStyle w:val="22"/>
          <w:rFonts w:ascii="仿宋_GB2312"/>
          <w:spacing w:val="-4"/>
          <w:sz w:val="32"/>
          <w:szCs w:val="32"/>
          <w:highlight w:val="none"/>
        </w:rPr>
      </w:pPr>
      <w:r>
        <w:rPr>
          <w:rStyle w:val="22"/>
          <w:rFonts w:hint="eastAsia" w:ascii="仿宋_GB2312"/>
          <w:spacing w:val="-4"/>
          <w:sz w:val="32"/>
          <w:szCs w:val="32"/>
          <w:highlight w:val="none"/>
          <w:lang w:val="en-US" w:eastAsia="zh-CN"/>
        </w:rPr>
        <w:t>2、</w:t>
      </w:r>
      <w:r>
        <w:rPr>
          <w:rStyle w:val="22"/>
          <w:rFonts w:hint="eastAsia" w:ascii="仿宋_GB2312"/>
          <w:spacing w:val="-4"/>
          <w:sz w:val="32"/>
          <w:szCs w:val="32"/>
          <w:highlight w:val="none"/>
        </w:rPr>
        <w:t>项目风险控制</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解决方案：过程中聘请具有</w:t>
      </w:r>
      <w:r>
        <w:rPr>
          <w:rFonts w:hint="eastAsia" w:ascii="仿宋_GB2312" w:hAnsi="仿宋_GB2312" w:eastAsia="仿宋_GB2312" w:cs="仿宋_GB2312"/>
          <w:sz w:val="32"/>
          <w:szCs w:val="28"/>
          <w:highlight w:val="none"/>
          <w:lang w:val="en-US" w:eastAsia="zh-CN"/>
        </w:rPr>
        <w:t>相关</w:t>
      </w:r>
      <w:r>
        <w:rPr>
          <w:rFonts w:hint="eastAsia" w:ascii="仿宋_GB2312" w:hAnsi="仿宋_GB2312" w:eastAsia="仿宋_GB2312" w:cs="仿宋_GB2312"/>
          <w:sz w:val="32"/>
          <w:szCs w:val="28"/>
          <w:highlight w:val="none"/>
        </w:rPr>
        <w:t>资质的专业设计、地勘、监理、全过程造价跟踪等单位，严格按照国家法律法规及行业规范执行。</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以财务实际发生数据为依据，由计划财务处提供相应的项目支出数据，数据来源真实有效，可充分反映本项目开展及实施情况。</w:t>
      </w:r>
    </w:p>
    <w:p>
      <w:pPr>
        <w:pageBreakBefore w:val="0"/>
        <w:numPr>
          <w:ilvl w:val="0"/>
          <w:numId w:val="8"/>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rPr>
      </w:pPr>
      <w:r>
        <w:rPr>
          <w:rFonts w:hint="eastAsia" w:ascii="仿宋_GB2312" w:hAnsi="仿宋_GB2312" w:eastAsia="仿宋_GB2312" w:cs="仿宋_GB2312"/>
          <w:sz w:val="32"/>
          <w:szCs w:val="28"/>
          <w:highlight w:val="none"/>
        </w:rPr>
        <w:t>进一步加强对绩效管理工作的组织领导，提高对预算绩效管理工作重要性的认识，总结经验查找问题，抓紧研究制定更全面更完善的绩效评价管理办法。结合安全考核建立绩效工作考核制度，</w:t>
      </w:r>
      <w:r>
        <w:rPr>
          <w:rFonts w:hint="eastAsia" w:ascii="仿宋_GB2312" w:hAnsi="仿宋_GB2312" w:eastAsia="仿宋_GB2312" w:cs="仿宋_GB2312"/>
          <w:sz w:val="32"/>
          <w:szCs w:val="28"/>
          <w:highlight w:val="none"/>
          <w:lang w:val="en-US" w:eastAsia="zh-CN"/>
        </w:rPr>
        <w:t>统筹</w:t>
      </w:r>
      <w:r>
        <w:rPr>
          <w:rFonts w:hint="eastAsia" w:ascii="仿宋_GB2312" w:hAnsi="仿宋_GB2312" w:eastAsia="仿宋_GB2312" w:cs="仿宋_GB2312"/>
          <w:sz w:val="32"/>
          <w:szCs w:val="28"/>
          <w:highlight w:val="none"/>
        </w:rPr>
        <w:t>全局加大对全面实施预算绩效管理和绩效管理工作的学习力度，让“花钱必问效，无效必问责”的理念深入工作每个环节。</w:t>
      </w:r>
    </w:p>
    <w:p>
      <w:pPr>
        <w:pageBreakBefore w:val="0"/>
        <w:numPr>
          <w:ilvl w:val="0"/>
          <w:numId w:val="8"/>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其他需要说</w:t>
      </w:r>
      <w:bookmarkStart w:id="1" w:name="page8"/>
      <w:bookmarkEnd w:id="1"/>
      <w:r>
        <w:rPr>
          <w:rFonts w:hint="default" w:ascii="Times New Roman" w:hAnsi="Times New Roman" w:eastAsia="黑体" w:cs="Times New Roman"/>
          <w:sz w:val="32"/>
          <w:szCs w:val="32"/>
        </w:rPr>
        <w:t>明的问题</w:t>
      </w:r>
    </w:p>
    <w:p>
      <w:pPr>
        <w:pStyle w:val="19"/>
        <w:numPr>
          <w:ilvl w:val="0"/>
          <w:numId w:val="0"/>
        </w:numPr>
        <w:ind w:leftChars="200"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pStyle w:val="17"/>
        <w:rPr>
          <w:rFonts w:hint="default"/>
        </w:rPr>
        <w:sectPr>
          <w:footerReference r:id="rId3" w:type="default"/>
          <w:pgSz w:w="11906" w:h="16838"/>
          <w:pgMar w:top="1134" w:right="1417" w:bottom="1134" w:left="1417" w:header="851" w:footer="992" w:gutter="0"/>
          <w:cols w:space="0" w:num="1"/>
          <w:rtlGutter w:val="0"/>
          <w:docGrid w:type="lines" w:linePitch="316" w:charSpace="0"/>
        </w:sectPr>
      </w:pPr>
    </w:p>
    <w:p/>
    <w:p>
      <w:pPr>
        <w:spacing w:line="540" w:lineRule="exact"/>
        <w:rPr>
          <w:rStyle w:val="22"/>
          <w:rFonts w:hint="default" w:ascii="Times New Roman" w:hAnsi="Times New Roman" w:eastAsia="仿宋" w:cs="Times New Roman"/>
          <w:b w:val="0"/>
          <w:spacing w:val="-4"/>
          <w:sz w:val="32"/>
          <w:szCs w:val="32"/>
        </w:rPr>
      </w:pPr>
    </w:p>
    <w:sectPr>
      <w:pgSz w:w="16838" w:h="11906" w:orient="landscape"/>
      <w:pgMar w:top="1417" w:right="1134" w:bottom="1417"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38F0C646"/>
    <w:multiLevelType w:val="singleLevel"/>
    <w:tmpl w:val="38F0C646"/>
    <w:lvl w:ilvl="0" w:tentative="0">
      <w:start w:val="1"/>
      <w:numFmt w:val="decimal"/>
      <w:suff w:val="nothing"/>
      <w:lvlText w:val="%1、"/>
      <w:lvlJc w:val="left"/>
    </w:lvl>
  </w:abstractNum>
  <w:abstractNum w:abstractNumId="7">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5"/>
  </w:num>
  <w:num w:numId="4">
    <w:abstractNumId w:val="6"/>
  </w:num>
  <w:num w:numId="5">
    <w:abstractNumId w:val="4"/>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E5OTUxNzU1NGRkYTk1NGY4ZjQ2ZmZmOTJjNWJhODEifQ=="/>
    <w:docVar w:name="KSO_WPS_MARK_KEY" w:val="fb820c56-67a6-472b-8d14-041073a72826"/>
  </w:docVars>
  <w:rsids>
    <w:rsidRoot w:val="00172A27"/>
    <w:rsid w:val="00056465"/>
    <w:rsid w:val="000E50F0"/>
    <w:rsid w:val="000E586C"/>
    <w:rsid w:val="00121AE4"/>
    <w:rsid w:val="00146AAD"/>
    <w:rsid w:val="001B3A40"/>
    <w:rsid w:val="003C18BC"/>
    <w:rsid w:val="00430B95"/>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DF7C45"/>
    <w:rsid w:val="00E31565"/>
    <w:rsid w:val="00E46C51"/>
    <w:rsid w:val="00E769FE"/>
    <w:rsid w:val="00EA2CBE"/>
    <w:rsid w:val="00F32FEE"/>
    <w:rsid w:val="00F71278"/>
    <w:rsid w:val="00FB10BB"/>
    <w:rsid w:val="046B6032"/>
    <w:rsid w:val="051A56F5"/>
    <w:rsid w:val="066D6EAA"/>
    <w:rsid w:val="06DC1681"/>
    <w:rsid w:val="08A30F74"/>
    <w:rsid w:val="08C662D4"/>
    <w:rsid w:val="09BD4D95"/>
    <w:rsid w:val="0B0F58D6"/>
    <w:rsid w:val="0BC76E9A"/>
    <w:rsid w:val="0F8D41CB"/>
    <w:rsid w:val="0FEE2F21"/>
    <w:rsid w:val="10D34B99"/>
    <w:rsid w:val="11C75270"/>
    <w:rsid w:val="12637CC3"/>
    <w:rsid w:val="12E657C5"/>
    <w:rsid w:val="133C6E2A"/>
    <w:rsid w:val="167C7687"/>
    <w:rsid w:val="168B3546"/>
    <w:rsid w:val="18B60A0F"/>
    <w:rsid w:val="1A2374E0"/>
    <w:rsid w:val="1BAD6733"/>
    <w:rsid w:val="1C317CE2"/>
    <w:rsid w:val="1DD45808"/>
    <w:rsid w:val="1DED42AC"/>
    <w:rsid w:val="1E68005E"/>
    <w:rsid w:val="20005763"/>
    <w:rsid w:val="20FB313D"/>
    <w:rsid w:val="220B4804"/>
    <w:rsid w:val="26447207"/>
    <w:rsid w:val="282475E3"/>
    <w:rsid w:val="29E421D9"/>
    <w:rsid w:val="29E97020"/>
    <w:rsid w:val="2C6100C1"/>
    <w:rsid w:val="2D302CCA"/>
    <w:rsid w:val="3235157C"/>
    <w:rsid w:val="3264220D"/>
    <w:rsid w:val="326A4B3B"/>
    <w:rsid w:val="35074CC7"/>
    <w:rsid w:val="38872456"/>
    <w:rsid w:val="3963178C"/>
    <w:rsid w:val="3CED0699"/>
    <w:rsid w:val="3EB02FD6"/>
    <w:rsid w:val="41CC2676"/>
    <w:rsid w:val="46B21672"/>
    <w:rsid w:val="476E313F"/>
    <w:rsid w:val="47CB5946"/>
    <w:rsid w:val="4ED544C0"/>
    <w:rsid w:val="4F552460"/>
    <w:rsid w:val="4FCC6863"/>
    <w:rsid w:val="500A214A"/>
    <w:rsid w:val="522D604D"/>
    <w:rsid w:val="5297585E"/>
    <w:rsid w:val="52AD7D6F"/>
    <w:rsid w:val="551C51B3"/>
    <w:rsid w:val="5549519D"/>
    <w:rsid w:val="5557596B"/>
    <w:rsid w:val="57B11090"/>
    <w:rsid w:val="5B3477B9"/>
    <w:rsid w:val="5B596DFC"/>
    <w:rsid w:val="5DF03945"/>
    <w:rsid w:val="5F03526B"/>
    <w:rsid w:val="6164006F"/>
    <w:rsid w:val="62E515AF"/>
    <w:rsid w:val="637C2815"/>
    <w:rsid w:val="63F62964"/>
    <w:rsid w:val="65187119"/>
    <w:rsid w:val="682144B7"/>
    <w:rsid w:val="6B503F77"/>
    <w:rsid w:val="6ECF197F"/>
    <w:rsid w:val="6F8F2C67"/>
    <w:rsid w:val="747B2D0C"/>
    <w:rsid w:val="7A353D0B"/>
    <w:rsid w:val="7A965738"/>
    <w:rsid w:val="7C253826"/>
    <w:rsid w:val="7CB927D8"/>
    <w:rsid w:val="7D3A5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5"/>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6"/>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7"/>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8"/>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9"/>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0"/>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1"/>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2"/>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1">
    <w:name w:val="Default Paragraph Font"/>
    <w:autoRedefine/>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11">
    <w:name w:val="Body Text"/>
    <w:basedOn w:val="1"/>
    <w:autoRedefine/>
    <w:qFormat/>
    <w:uiPriority w:val="0"/>
    <w:pPr>
      <w:spacing w:after="120"/>
    </w:pPr>
  </w:style>
  <w:style w:type="paragraph" w:styleId="12">
    <w:name w:val="Body Text Indent"/>
    <w:basedOn w:val="1"/>
    <w:autoRedefine/>
    <w:qFormat/>
    <w:uiPriority w:val="0"/>
    <w:pPr>
      <w:spacing w:after="120"/>
      <w:ind w:left="420" w:leftChars="200"/>
    </w:pPr>
    <w:rPr>
      <w:rFonts w:ascii="Calibri" w:hAnsi="Calibri" w:eastAsia="宋体"/>
    </w:rPr>
  </w:style>
  <w:style w:type="paragraph" w:styleId="13">
    <w:name w:val="Balloon Text"/>
    <w:basedOn w:val="1"/>
    <w:link w:val="49"/>
    <w:autoRedefine/>
    <w:semiHidden/>
    <w:unhideWhenUsed/>
    <w:qFormat/>
    <w:uiPriority w:val="99"/>
    <w:rPr>
      <w:sz w:val="18"/>
      <w:szCs w:val="18"/>
    </w:rPr>
  </w:style>
  <w:style w:type="paragraph" w:styleId="14">
    <w:name w:val="footer"/>
    <w:basedOn w:val="1"/>
    <w:link w:val="48"/>
    <w:autoRedefine/>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7"/>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4"/>
    <w:autoRedefine/>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3"/>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8">
    <w:name w:val="Body Text First Indent"/>
    <w:basedOn w:val="11"/>
    <w:autoRedefine/>
    <w:qFormat/>
    <w:uiPriority w:val="0"/>
    <w:pPr>
      <w:spacing w:after="0"/>
      <w:ind w:firstLine="200" w:firstLineChars="200"/>
    </w:pPr>
  </w:style>
  <w:style w:type="paragraph" w:styleId="19">
    <w:name w:val="Body Text First Indent 2"/>
    <w:basedOn w:val="12"/>
    <w:autoRedefine/>
    <w:qFormat/>
    <w:uiPriority w:val="0"/>
    <w:pPr>
      <w:ind w:firstLine="420" w:firstLineChars="200"/>
    </w:pPr>
  </w:style>
  <w:style w:type="character" w:styleId="22">
    <w:name w:val="Strong"/>
    <w:basedOn w:val="21"/>
    <w:autoRedefine/>
    <w:qFormat/>
    <w:uiPriority w:val="0"/>
    <w:rPr>
      <w:b/>
      <w:bCs/>
    </w:rPr>
  </w:style>
  <w:style w:type="character" w:styleId="23">
    <w:name w:val="Emphasis"/>
    <w:basedOn w:val="21"/>
    <w:autoRedefine/>
    <w:qFormat/>
    <w:uiPriority w:val="20"/>
    <w:rPr>
      <w:rFonts w:asciiTheme="minorHAnsi" w:hAnsiTheme="minorHAnsi"/>
      <w:b/>
      <w:i/>
      <w:iCs/>
    </w:rPr>
  </w:style>
  <w:style w:type="character" w:customStyle="1" w:styleId="24">
    <w:name w:val="标题 1 字符"/>
    <w:basedOn w:val="21"/>
    <w:link w:val="2"/>
    <w:autoRedefine/>
    <w:qFormat/>
    <w:uiPriority w:val="9"/>
    <w:rPr>
      <w:rFonts w:asciiTheme="majorHAnsi" w:hAnsiTheme="majorHAnsi" w:eastAsiaTheme="majorEastAsia"/>
      <w:b/>
      <w:bCs/>
      <w:kern w:val="32"/>
      <w:sz w:val="32"/>
      <w:szCs w:val="32"/>
    </w:rPr>
  </w:style>
  <w:style w:type="character" w:customStyle="1" w:styleId="25">
    <w:name w:val="标题 2 字符"/>
    <w:basedOn w:val="21"/>
    <w:link w:val="3"/>
    <w:autoRedefine/>
    <w:semiHidden/>
    <w:qFormat/>
    <w:uiPriority w:val="9"/>
    <w:rPr>
      <w:rFonts w:asciiTheme="majorHAnsi" w:hAnsiTheme="majorHAnsi" w:eastAsiaTheme="majorEastAsia"/>
      <w:b/>
      <w:bCs/>
      <w:i/>
      <w:iCs/>
      <w:sz w:val="28"/>
      <w:szCs w:val="28"/>
    </w:rPr>
  </w:style>
  <w:style w:type="character" w:customStyle="1" w:styleId="26">
    <w:name w:val="标题 3 字符"/>
    <w:basedOn w:val="21"/>
    <w:link w:val="4"/>
    <w:autoRedefine/>
    <w:semiHidden/>
    <w:qFormat/>
    <w:uiPriority w:val="9"/>
    <w:rPr>
      <w:rFonts w:asciiTheme="majorHAnsi" w:hAnsiTheme="majorHAnsi" w:eastAsiaTheme="majorEastAsia"/>
      <w:b/>
      <w:bCs/>
      <w:sz w:val="26"/>
      <w:szCs w:val="26"/>
    </w:rPr>
  </w:style>
  <w:style w:type="character" w:customStyle="1" w:styleId="27">
    <w:name w:val="标题 4 字符"/>
    <w:basedOn w:val="21"/>
    <w:link w:val="5"/>
    <w:autoRedefine/>
    <w:semiHidden/>
    <w:qFormat/>
    <w:uiPriority w:val="9"/>
    <w:rPr>
      <w:b/>
      <w:bCs/>
      <w:sz w:val="28"/>
      <w:szCs w:val="28"/>
    </w:rPr>
  </w:style>
  <w:style w:type="character" w:customStyle="1" w:styleId="28">
    <w:name w:val="标题 5 字符"/>
    <w:basedOn w:val="21"/>
    <w:link w:val="6"/>
    <w:autoRedefine/>
    <w:semiHidden/>
    <w:qFormat/>
    <w:uiPriority w:val="9"/>
    <w:rPr>
      <w:b/>
      <w:bCs/>
      <w:i/>
      <w:iCs/>
      <w:sz w:val="26"/>
      <w:szCs w:val="26"/>
    </w:rPr>
  </w:style>
  <w:style w:type="character" w:customStyle="1" w:styleId="29">
    <w:name w:val="标题 6 字符"/>
    <w:basedOn w:val="21"/>
    <w:link w:val="7"/>
    <w:autoRedefine/>
    <w:semiHidden/>
    <w:qFormat/>
    <w:uiPriority w:val="9"/>
    <w:rPr>
      <w:b/>
      <w:bCs/>
    </w:rPr>
  </w:style>
  <w:style w:type="character" w:customStyle="1" w:styleId="30">
    <w:name w:val="标题 7 字符"/>
    <w:basedOn w:val="21"/>
    <w:link w:val="8"/>
    <w:autoRedefine/>
    <w:semiHidden/>
    <w:qFormat/>
    <w:uiPriority w:val="9"/>
    <w:rPr>
      <w:sz w:val="24"/>
      <w:szCs w:val="24"/>
    </w:rPr>
  </w:style>
  <w:style w:type="character" w:customStyle="1" w:styleId="31">
    <w:name w:val="标题 8 字符"/>
    <w:basedOn w:val="21"/>
    <w:link w:val="9"/>
    <w:autoRedefine/>
    <w:semiHidden/>
    <w:qFormat/>
    <w:uiPriority w:val="9"/>
    <w:rPr>
      <w:i/>
      <w:iCs/>
      <w:sz w:val="24"/>
      <w:szCs w:val="24"/>
    </w:rPr>
  </w:style>
  <w:style w:type="character" w:customStyle="1" w:styleId="32">
    <w:name w:val="标题 9 字符"/>
    <w:basedOn w:val="21"/>
    <w:link w:val="10"/>
    <w:autoRedefine/>
    <w:semiHidden/>
    <w:qFormat/>
    <w:uiPriority w:val="9"/>
    <w:rPr>
      <w:rFonts w:asciiTheme="majorHAnsi" w:hAnsiTheme="majorHAnsi" w:eastAsiaTheme="majorEastAsia"/>
    </w:rPr>
  </w:style>
  <w:style w:type="character" w:customStyle="1" w:styleId="33">
    <w:name w:val="标题 字符"/>
    <w:basedOn w:val="21"/>
    <w:link w:val="17"/>
    <w:autoRedefine/>
    <w:qFormat/>
    <w:uiPriority w:val="10"/>
    <w:rPr>
      <w:rFonts w:asciiTheme="majorHAnsi" w:hAnsiTheme="majorHAnsi" w:eastAsiaTheme="majorEastAsia"/>
      <w:b/>
      <w:bCs/>
      <w:kern w:val="28"/>
      <w:sz w:val="32"/>
      <w:szCs w:val="32"/>
    </w:rPr>
  </w:style>
  <w:style w:type="character" w:customStyle="1" w:styleId="34">
    <w:name w:val="副标题 字符"/>
    <w:basedOn w:val="21"/>
    <w:link w:val="16"/>
    <w:autoRedefine/>
    <w:qFormat/>
    <w:uiPriority w:val="11"/>
    <w:rPr>
      <w:rFonts w:asciiTheme="majorHAnsi" w:hAnsiTheme="majorHAnsi" w:eastAsiaTheme="majorEastAsia"/>
      <w:sz w:val="24"/>
      <w:szCs w:val="24"/>
    </w:rPr>
  </w:style>
  <w:style w:type="paragraph" w:styleId="35">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6">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7">
    <w:name w:val="Quote"/>
    <w:basedOn w:val="1"/>
    <w:next w:val="1"/>
    <w:link w:val="38"/>
    <w:autoRedefine/>
    <w:qFormat/>
    <w:uiPriority w:val="29"/>
    <w:pPr>
      <w:widowControl/>
      <w:jc w:val="left"/>
    </w:pPr>
    <w:rPr>
      <w:rFonts w:asciiTheme="minorHAnsi" w:hAnsiTheme="minorHAnsi" w:eastAsiaTheme="minorEastAsia"/>
      <w:i/>
      <w:kern w:val="0"/>
      <w:sz w:val="24"/>
    </w:rPr>
  </w:style>
  <w:style w:type="character" w:customStyle="1" w:styleId="38">
    <w:name w:val="引用 字符"/>
    <w:basedOn w:val="21"/>
    <w:link w:val="37"/>
    <w:autoRedefine/>
    <w:qFormat/>
    <w:uiPriority w:val="29"/>
    <w:rPr>
      <w:i/>
      <w:sz w:val="24"/>
      <w:szCs w:val="24"/>
    </w:rPr>
  </w:style>
  <w:style w:type="paragraph" w:styleId="39">
    <w:name w:val="Intense Quote"/>
    <w:basedOn w:val="1"/>
    <w:next w:val="1"/>
    <w:link w:val="40"/>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40">
    <w:name w:val="明显引用 字符"/>
    <w:basedOn w:val="21"/>
    <w:link w:val="39"/>
    <w:autoRedefine/>
    <w:qFormat/>
    <w:uiPriority w:val="30"/>
    <w:rPr>
      <w:b/>
      <w:i/>
      <w:sz w:val="24"/>
    </w:rPr>
  </w:style>
  <w:style w:type="character" w:customStyle="1" w:styleId="41">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42">
    <w:name w:val="明显强调1"/>
    <w:basedOn w:val="21"/>
    <w:autoRedefine/>
    <w:qFormat/>
    <w:uiPriority w:val="21"/>
    <w:rPr>
      <w:b/>
      <w:i/>
      <w:sz w:val="24"/>
      <w:szCs w:val="24"/>
      <w:u w:val="single"/>
    </w:rPr>
  </w:style>
  <w:style w:type="character" w:customStyle="1" w:styleId="43">
    <w:name w:val="不明显参考1"/>
    <w:basedOn w:val="21"/>
    <w:autoRedefine/>
    <w:qFormat/>
    <w:uiPriority w:val="31"/>
    <w:rPr>
      <w:sz w:val="24"/>
      <w:szCs w:val="24"/>
      <w:u w:val="single"/>
    </w:rPr>
  </w:style>
  <w:style w:type="character" w:customStyle="1" w:styleId="44">
    <w:name w:val="明显参考1"/>
    <w:basedOn w:val="21"/>
    <w:autoRedefine/>
    <w:qFormat/>
    <w:uiPriority w:val="32"/>
    <w:rPr>
      <w:b/>
      <w:sz w:val="24"/>
      <w:u w:val="single"/>
    </w:rPr>
  </w:style>
  <w:style w:type="character" w:customStyle="1" w:styleId="45">
    <w:name w:val="书籍标题1"/>
    <w:basedOn w:val="21"/>
    <w:autoRedefine/>
    <w:qFormat/>
    <w:uiPriority w:val="33"/>
    <w:rPr>
      <w:rFonts w:asciiTheme="majorHAnsi" w:hAnsiTheme="majorHAnsi" w:eastAsiaTheme="majorEastAsia"/>
      <w:b/>
      <w:i/>
      <w:sz w:val="24"/>
      <w:szCs w:val="24"/>
    </w:rPr>
  </w:style>
  <w:style w:type="paragraph" w:customStyle="1" w:styleId="46">
    <w:name w:val="TOC 标题1"/>
    <w:basedOn w:val="2"/>
    <w:next w:val="1"/>
    <w:autoRedefine/>
    <w:semiHidden/>
    <w:unhideWhenUsed/>
    <w:qFormat/>
    <w:uiPriority w:val="39"/>
    <w:pPr>
      <w:outlineLvl w:val="9"/>
    </w:pPr>
    <w:rPr>
      <w:lang w:eastAsia="en-US" w:bidi="en-US"/>
    </w:rPr>
  </w:style>
  <w:style w:type="character" w:customStyle="1" w:styleId="47">
    <w:name w:val="页眉 字符"/>
    <w:basedOn w:val="21"/>
    <w:link w:val="15"/>
    <w:autoRedefine/>
    <w:qFormat/>
    <w:uiPriority w:val="99"/>
    <w:rPr>
      <w:rFonts w:ascii="Calibri" w:hAnsi="Calibri" w:eastAsia="宋体"/>
      <w:kern w:val="2"/>
      <w:sz w:val="18"/>
      <w:szCs w:val="18"/>
    </w:rPr>
  </w:style>
  <w:style w:type="character" w:customStyle="1" w:styleId="48">
    <w:name w:val="页脚 字符"/>
    <w:basedOn w:val="21"/>
    <w:link w:val="14"/>
    <w:autoRedefine/>
    <w:qFormat/>
    <w:uiPriority w:val="99"/>
    <w:rPr>
      <w:rFonts w:ascii="Calibri" w:hAnsi="Calibri" w:eastAsia="宋体"/>
      <w:kern w:val="2"/>
      <w:sz w:val="18"/>
      <w:szCs w:val="18"/>
    </w:rPr>
  </w:style>
  <w:style w:type="character" w:customStyle="1" w:styleId="49">
    <w:name w:val="批注框文本 字符"/>
    <w:basedOn w:val="21"/>
    <w:link w:val="13"/>
    <w:autoRedefine/>
    <w:semiHidden/>
    <w:qFormat/>
    <w:uiPriority w:val="99"/>
    <w:rPr>
      <w:rFonts w:ascii="Times New Roman" w:hAnsi="Times New Roman" w:eastAsia="宋体"/>
      <w:kern w:val="2"/>
      <w:sz w:val="18"/>
      <w:szCs w:val="18"/>
    </w:rPr>
  </w:style>
  <w:style w:type="paragraph" w:customStyle="1" w:styleId="50">
    <w:name w:val="Heading2"/>
    <w:next w:val="1"/>
    <w:autoRedefine/>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1">
    <w:name w:val="fontstyle01"/>
    <w:autoRedefine/>
    <w:qFormat/>
    <w:uiPriority w:val="0"/>
    <w:rPr>
      <w:rFonts w:ascii="仿宋_GB2312" w:hAnsi="仿宋_GB2312" w:eastAsia="仿宋_GB2312" w:cs="仿宋_GB2312"/>
      <w:color w:val="000000"/>
      <w:sz w:val="32"/>
      <w:szCs w:val="32"/>
    </w:rPr>
  </w:style>
  <w:style w:type="character" w:customStyle="1" w:styleId="52">
    <w:name w:val="font31"/>
    <w:basedOn w:val="21"/>
    <w:autoRedefine/>
    <w:qFormat/>
    <w:uiPriority w:val="0"/>
    <w:rPr>
      <w:rFonts w:hint="eastAsia" w:ascii="宋体" w:hAnsi="宋体" w:eastAsia="宋体" w:cs="宋体"/>
      <w:color w:val="000000"/>
      <w:sz w:val="18"/>
      <w:szCs w:val="18"/>
      <w:u w:val="none"/>
    </w:rPr>
  </w:style>
  <w:style w:type="character" w:customStyle="1" w:styleId="53">
    <w:name w:val="font61"/>
    <w:basedOn w:val="21"/>
    <w:autoRedefine/>
    <w:qFormat/>
    <w:uiPriority w:val="0"/>
    <w:rPr>
      <w:rFonts w:hint="eastAsia" w:ascii="宋体" w:hAnsi="宋体" w:eastAsia="宋体" w:cs="宋体"/>
      <w:color w:val="000000"/>
      <w:sz w:val="18"/>
      <w:szCs w:val="18"/>
      <w:u w:val="none"/>
    </w:rPr>
  </w:style>
  <w:style w:type="character" w:customStyle="1" w:styleId="54">
    <w:name w:val="font131"/>
    <w:basedOn w:val="21"/>
    <w:autoRedefine/>
    <w:qFormat/>
    <w:uiPriority w:val="0"/>
    <w:rPr>
      <w:rFonts w:ascii="Arial" w:hAnsi="Arial" w:cs="Arial"/>
      <w:color w:val="000000"/>
      <w:sz w:val="18"/>
      <w:szCs w:val="18"/>
      <w:u w:val="none"/>
    </w:rPr>
  </w:style>
  <w:style w:type="character" w:customStyle="1" w:styleId="55">
    <w:name w:val="font141"/>
    <w:basedOn w:val="21"/>
    <w:autoRedefine/>
    <w:qFormat/>
    <w:uiPriority w:val="0"/>
    <w:rPr>
      <w:rFonts w:ascii="Arial" w:hAnsi="Arial" w:cs="Arial"/>
      <w:color w:val="000000"/>
      <w:sz w:val="18"/>
      <w:szCs w:val="18"/>
      <w:u w:val="none"/>
    </w:rPr>
  </w:style>
  <w:style w:type="character" w:customStyle="1" w:styleId="56">
    <w:name w:val="font11"/>
    <w:basedOn w:val="21"/>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5307</Words>
  <Characters>5541</Characters>
  <Lines>63</Lines>
  <Paragraphs>17</Paragraphs>
  <TotalTime>6</TotalTime>
  <ScaleCrop>false</ScaleCrop>
  <LinksUpToDate>false</LinksUpToDate>
  <CharactersWithSpaces>5557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2020-07-04T08:35:00Z</dcterms:created>
  <dc:creator>赵 恺（预算处）</dc:creator>
  <cp:lastModifiedBy>冯瑞</cp:lastModifiedBy>
  <cp:lastPrinted>2024-03-21T10:19:00Z</cp:lastPrinted>
  <dcterms:modified xsi:type="dcterms:W3CDTF">2025-08-26T05:05:35Z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20D1A391ACB5423A8E856A52A35E73B7</vt:lpwstr>
  </property>
  <property fmtid="{D5CDD505-2E9C-101B-9397-08002B2CF9AE}" pid="4" name="KSOSaveFontToCloudKey">
    <vt:lpwstr>229835342_cloud</vt:lpwstr>
  </property>
  <property fmtid="{D5CDD505-2E9C-101B-9397-08002B2CF9AE}" pid="5" name="KSOTemplateDocerSaveRecord">
    <vt:lpwstr>eyJoZGlkIjoiOWNkNTExNGRkZmJhOGEwM2ViNzE1ZmU3NTY0NTBhMDkiLCJ1c2VySWQiOiI5NzY5NjA3ODAifQ==</vt:lpwstr>
  </property>
</Properties>
</file>