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460" w:lineRule="exact"/>
        <w:ind w:firstLine="1041" w:firstLineChars="200"/>
        <w:jc w:val="center"/>
        <w:textAlignment w:val="auto"/>
        <w:rPr>
          <w:rFonts w:hint="eastAsia" w:ascii="华文中宋" w:hAnsi="华文中宋" w:eastAsia="华文中宋" w:cs="宋体"/>
          <w:b/>
          <w:kern w:val="0"/>
          <w:sz w:val="52"/>
          <w:szCs w:val="52"/>
          <w:lang w:eastAsia="zh-CN"/>
        </w:rPr>
      </w:pPr>
    </w:p>
    <w:p>
      <w:pPr>
        <w:keepNext w:val="0"/>
        <w:keepLines w:val="0"/>
        <w:pageBreakBefore w:val="0"/>
        <w:kinsoku/>
        <w:wordWrap/>
        <w:overflowPunct/>
        <w:topLinePunct w:val="0"/>
        <w:autoSpaceDE/>
        <w:autoSpaceDN/>
        <w:bidi w:val="0"/>
        <w:adjustRightInd/>
        <w:spacing w:line="460" w:lineRule="exact"/>
        <w:ind w:firstLine="1041" w:firstLineChars="200"/>
        <w:jc w:val="center"/>
        <w:textAlignment w:val="auto"/>
        <w:rPr>
          <w:rFonts w:hint="eastAsia" w:ascii="华文中宋" w:hAnsi="华文中宋" w:eastAsia="华文中宋" w:cs="宋体"/>
          <w:b/>
          <w:kern w:val="0"/>
          <w:sz w:val="52"/>
          <w:szCs w:val="52"/>
          <w:lang w:eastAsia="zh-CN"/>
        </w:rPr>
      </w:pPr>
    </w:p>
    <w:p>
      <w:pPr>
        <w:keepNext w:val="0"/>
        <w:keepLines w:val="0"/>
        <w:pageBreakBefore w:val="0"/>
        <w:kinsoku/>
        <w:wordWrap/>
        <w:overflowPunct/>
        <w:topLinePunct w:val="0"/>
        <w:autoSpaceDE/>
        <w:autoSpaceDN/>
        <w:bidi w:val="0"/>
        <w:adjustRightInd/>
        <w:spacing w:line="460" w:lineRule="exact"/>
        <w:ind w:firstLine="1041" w:firstLineChars="200"/>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460" w:lineRule="exact"/>
        <w:ind w:firstLine="1041" w:firstLineChars="200"/>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460" w:lineRule="exact"/>
        <w:ind w:firstLine="1041" w:firstLineChars="200"/>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460" w:lineRule="exact"/>
        <w:ind w:firstLine="1041" w:firstLineChars="200"/>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460" w:lineRule="exact"/>
        <w:ind w:firstLine="1041" w:firstLineChars="200"/>
        <w:jc w:val="center"/>
        <w:textAlignment w:val="auto"/>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keepNext w:val="0"/>
        <w:keepLines w:val="0"/>
        <w:pageBreakBefore w:val="0"/>
        <w:kinsoku/>
        <w:wordWrap/>
        <w:overflowPunct/>
        <w:topLinePunct w:val="0"/>
        <w:autoSpaceDE/>
        <w:autoSpaceDN/>
        <w:bidi w:val="0"/>
        <w:adjustRightInd/>
        <w:spacing w:line="460" w:lineRule="exact"/>
        <w:ind w:firstLine="1041" w:firstLineChars="200"/>
        <w:jc w:val="center"/>
        <w:textAlignment w:val="auto"/>
        <w:rPr>
          <w:rFonts w:ascii="华文中宋" w:hAnsi="华文中宋" w:eastAsia="华文中宋" w:cs="宋体"/>
          <w:b/>
          <w:kern w:val="0"/>
          <w:sz w:val="52"/>
          <w:szCs w:val="52"/>
        </w:rPr>
      </w:pPr>
    </w:p>
    <w:p>
      <w:pPr>
        <w:keepNext w:val="0"/>
        <w:keepLines w:val="0"/>
        <w:pageBreakBefore w:val="0"/>
        <w:kinsoku/>
        <w:wordWrap/>
        <w:overflowPunct/>
        <w:topLinePunct w:val="0"/>
        <w:autoSpaceDE/>
        <w:autoSpaceDN/>
        <w:bidi w:val="0"/>
        <w:adjustRightInd/>
        <w:spacing w:line="460" w:lineRule="exact"/>
        <w:ind w:firstLine="720" w:firstLineChars="200"/>
        <w:jc w:val="center"/>
        <w:textAlignment w:val="auto"/>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Ansi="宋体" w:eastAsia="仿宋_GB2312" w:cs="宋体"/>
          <w:kern w:val="0"/>
          <w:sz w:val="30"/>
          <w:szCs w:val="30"/>
        </w:rPr>
      </w:pPr>
    </w:p>
    <w:p>
      <w:pPr>
        <w:keepNext w:val="0"/>
        <w:keepLines w:val="0"/>
        <w:pageBreakBefore w:val="0"/>
        <w:kinsoku/>
        <w:wordWrap/>
        <w:overflowPunct/>
        <w:topLinePunct w:val="0"/>
        <w:autoSpaceDE/>
        <w:autoSpaceDN/>
        <w:bidi w:val="0"/>
        <w:adjustRightInd/>
        <w:spacing w:line="460" w:lineRule="exact"/>
        <w:ind w:firstLine="720" w:firstLineChars="200"/>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pPr>
        <w:keepNext w:val="0"/>
        <w:keepLines w:val="0"/>
        <w:pageBreakBefore w:val="0"/>
        <w:kinsoku/>
        <w:wordWrap/>
        <w:overflowPunct/>
        <w:topLinePunct w:val="0"/>
        <w:autoSpaceDE/>
        <w:autoSpaceDN/>
        <w:bidi w:val="0"/>
        <w:adjustRightInd/>
        <w:spacing w:line="460" w:lineRule="exact"/>
        <w:ind w:firstLine="720" w:firstLineChars="200"/>
        <w:jc w:val="left"/>
        <w:textAlignment w:val="auto"/>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w:t>
      </w:r>
      <w:bookmarkStart w:id="1" w:name="_GoBack"/>
      <w:bookmarkEnd w:id="1"/>
      <w:r>
        <w:rPr>
          <w:rFonts w:hint="eastAsia" w:hAnsi="宋体" w:cs="宋体"/>
          <w:kern w:val="0"/>
          <w:sz w:val="36"/>
          <w:szCs w:val="36"/>
          <w:lang w:val="en-US" w:eastAsia="zh-CN"/>
        </w:rPr>
        <w:t>学院</w:t>
      </w:r>
    </w:p>
    <w:p>
      <w:pPr>
        <w:keepNext w:val="0"/>
        <w:keepLines w:val="0"/>
        <w:pageBreakBefore w:val="0"/>
        <w:kinsoku/>
        <w:wordWrap/>
        <w:overflowPunct/>
        <w:topLinePunct w:val="0"/>
        <w:autoSpaceDE/>
        <w:autoSpaceDN/>
        <w:bidi w:val="0"/>
        <w:adjustRightInd/>
        <w:spacing w:line="460" w:lineRule="exact"/>
        <w:ind w:firstLine="720" w:firstLineChars="200"/>
        <w:jc w:val="left"/>
        <w:textAlignment w:val="auto"/>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2025</w:t>
      </w:r>
      <w:r>
        <w:rPr>
          <w:rFonts w:hint="eastAsia" w:hAnsi="宋体" w:eastAsia="仿宋_GB2312" w:cs="宋体"/>
          <w:kern w:val="0"/>
          <w:sz w:val="36"/>
          <w:szCs w:val="36"/>
        </w:rPr>
        <w:t xml:space="preserve"> 年 </w:t>
      </w:r>
      <w:r>
        <w:rPr>
          <w:rFonts w:hint="eastAsia" w:hAnsi="宋体" w:cs="宋体"/>
          <w:kern w:val="0"/>
          <w:sz w:val="36"/>
          <w:szCs w:val="36"/>
          <w:lang w:val="en-US" w:eastAsia="zh-CN"/>
        </w:rPr>
        <w:t>2</w:t>
      </w:r>
      <w:r>
        <w:rPr>
          <w:rFonts w:hint="eastAsia" w:hAnsi="宋体" w:eastAsia="仿宋_GB2312" w:cs="宋体"/>
          <w:kern w:val="0"/>
          <w:sz w:val="36"/>
          <w:szCs w:val="36"/>
        </w:rPr>
        <w:t xml:space="preserve"> 月 </w:t>
      </w:r>
      <w:r>
        <w:rPr>
          <w:rFonts w:hint="eastAsia" w:hAnsi="宋体" w:cs="宋体"/>
          <w:kern w:val="0"/>
          <w:sz w:val="36"/>
          <w:szCs w:val="36"/>
          <w:lang w:val="en-US" w:eastAsia="zh-CN"/>
        </w:rPr>
        <w:t>26</w:t>
      </w:r>
      <w:r>
        <w:rPr>
          <w:rFonts w:hint="eastAsia" w:hAnsi="宋体" w:eastAsia="仿宋_GB2312" w:cs="宋体"/>
          <w:kern w:val="0"/>
          <w:sz w:val="36"/>
          <w:szCs w:val="36"/>
        </w:rPr>
        <w:t xml:space="preserve"> 日</w:t>
      </w:r>
    </w:p>
    <w:p>
      <w:pPr>
        <w:keepNext w:val="0"/>
        <w:keepLines w:val="0"/>
        <w:pageBreakBefore w:val="0"/>
        <w:kinsoku/>
        <w:wordWrap/>
        <w:overflowPunct/>
        <w:topLinePunct w:val="0"/>
        <w:autoSpaceDE/>
        <w:autoSpaceDN/>
        <w:bidi w:val="0"/>
        <w:adjustRightInd/>
        <w:spacing w:line="4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460" w:lineRule="exact"/>
        <w:ind w:firstLine="720" w:firstLineChars="200"/>
        <w:jc w:val="left"/>
        <w:textAlignment w:val="auto"/>
        <w:rPr>
          <w:rFonts w:hAnsi="宋体" w:eastAsia="仿宋_GB2312" w:cs="宋体"/>
          <w:kern w:val="0"/>
          <w:sz w:val="36"/>
          <w:szCs w:val="36"/>
        </w:rPr>
      </w:pPr>
    </w:p>
    <w:p>
      <w:pPr>
        <w:keepNext w:val="0"/>
        <w:keepLines w:val="0"/>
        <w:pageBreakBefore w:val="0"/>
        <w:kinsoku/>
        <w:wordWrap/>
        <w:overflowPunct/>
        <w:topLinePunct w:val="0"/>
        <w:autoSpaceDE/>
        <w:autoSpaceDN/>
        <w:bidi w:val="0"/>
        <w:adjustRightInd/>
        <w:spacing w:line="460" w:lineRule="exact"/>
        <w:ind w:firstLine="723" w:firstLineChars="200"/>
        <w:jc w:val="center"/>
        <w:textAlignment w:val="auto"/>
        <w:rPr>
          <w:rFonts w:hint="eastAsia" w:ascii="宋体" w:hAnsi="宋体" w:eastAsia="宋体" w:cs="Arial"/>
          <w:b/>
          <w:bCs/>
          <w:sz w:val="36"/>
          <w:szCs w:val="36"/>
        </w:rPr>
        <w:sectPr>
          <w:pgSz w:w="11906" w:h="16838"/>
          <w:pgMar w:top="1928" w:right="1531" w:bottom="1701" w:left="1531" w:header="737" w:footer="851" w:gutter="0"/>
          <w:cols w:space="720" w:num="1"/>
          <w:docGrid w:type="lines" w:linePitch="408" w:charSpace="0"/>
        </w:sectPr>
      </w:pPr>
    </w:p>
    <w:p>
      <w:pPr>
        <w:keepNext w:val="0"/>
        <w:keepLines w:val="0"/>
        <w:pageBreakBefore w:val="0"/>
        <w:kinsoku/>
        <w:wordWrap/>
        <w:overflowPunct/>
        <w:topLinePunct w:val="0"/>
        <w:autoSpaceDE/>
        <w:autoSpaceDN/>
        <w:bidi w:val="0"/>
        <w:adjustRightInd/>
        <w:spacing w:line="4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keepNext w:val="0"/>
        <w:keepLines w:val="0"/>
        <w:pageBreakBefore w:val="0"/>
        <w:kinsoku/>
        <w:wordWrap/>
        <w:overflowPunct/>
        <w:topLinePunct w:val="0"/>
        <w:autoSpaceDE/>
        <w:autoSpaceDN/>
        <w:bidi w:val="0"/>
        <w:adjustRightInd/>
        <w:spacing w:line="460" w:lineRule="exact"/>
        <w:ind w:firstLine="600" w:firstLineChars="200"/>
        <w:jc w:val="center"/>
        <w:textAlignment w:val="auto"/>
        <w:rPr>
          <w:rFonts w:ascii="仿宋_GB2312"/>
          <w:szCs w:val="30"/>
        </w:rPr>
      </w:pP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黑体" w:hAnsi="黑体" w:eastAsia="黑体"/>
        </w:rPr>
      </w:pPr>
      <w:r>
        <w:rPr>
          <w:rFonts w:hint="eastAsia" w:ascii="黑体" w:hAnsi="黑体" w:eastAsia="黑体"/>
        </w:rPr>
        <w:t>一、基本情况</w:t>
      </w:r>
    </w:p>
    <w:p>
      <w:pPr>
        <w:keepNext w:val="0"/>
        <w:keepLines w:val="0"/>
        <w:pageBreakBefore w:val="0"/>
        <w:kinsoku/>
        <w:wordWrap/>
        <w:overflowPunct/>
        <w:topLinePunct w:val="0"/>
        <w:autoSpaceDE/>
        <w:autoSpaceDN/>
        <w:bidi w:val="0"/>
        <w:adjustRightInd/>
        <w:spacing w:line="460" w:lineRule="exact"/>
        <w:ind w:firstLine="602" w:firstLineChars="200"/>
        <w:textAlignment w:val="auto"/>
        <w:outlineLvl w:val="0"/>
        <w:rPr>
          <w:rFonts w:hint="eastAsia" w:ascii="仿宋_GB2312"/>
        </w:rPr>
      </w:pPr>
      <w:r>
        <w:rPr>
          <w:rFonts w:hint="eastAsia" w:ascii="仿宋_GB2312"/>
          <w:b/>
          <w:bCs/>
        </w:rPr>
        <w:t>（一）项目概况。</w:t>
      </w:r>
    </w:p>
    <w:p>
      <w:pPr>
        <w:pStyle w:val="4"/>
        <w:keepNext w:val="0"/>
        <w:keepLines w:val="0"/>
        <w:pageBreakBefore w:val="0"/>
        <w:numPr>
          <w:ilvl w:val="0"/>
          <w:numId w:val="0"/>
        </w:numPr>
        <w:kinsoku/>
        <w:wordWrap/>
        <w:overflowPunct/>
        <w:topLinePunct w:val="0"/>
        <w:autoSpaceDE/>
        <w:autoSpaceDN/>
        <w:bidi w:val="0"/>
        <w:adjustRightInd/>
        <w:snapToGrid/>
        <w:spacing w:before="0" w:after="0" w:line="460" w:lineRule="exact"/>
        <w:ind w:leftChars="200" w:firstLine="602" w:firstLineChars="200"/>
        <w:jc w:val="both"/>
        <w:textAlignment w:val="auto"/>
        <w:rPr>
          <w:rFonts w:hint="eastAsia" w:ascii="仿宋_GB2312" w:hAnsi="仿宋_GB2312" w:eastAsia="仿宋_GB2312" w:cs="仿宋_GB2312"/>
          <w:b/>
          <w:bCs/>
          <w:kern w:val="2"/>
          <w:sz w:val="30"/>
          <w:szCs w:val="30"/>
          <w:lang w:val="en-US" w:eastAsia="zh-CN"/>
        </w:rPr>
      </w:pPr>
      <w:r>
        <w:rPr>
          <w:rFonts w:hint="eastAsia" w:ascii="仿宋_GB2312" w:hAnsi="仿宋_GB2312" w:eastAsia="仿宋_GB2312" w:cs="仿宋_GB2312"/>
          <w:b/>
          <w:bCs/>
          <w:kern w:val="2"/>
          <w:sz w:val="30"/>
          <w:szCs w:val="30"/>
          <w:lang w:val="en-US" w:eastAsia="zh-CN"/>
        </w:rPr>
        <w:t>1、项目背景</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color w:val="auto"/>
          <w:sz w:val="30"/>
          <w:szCs w:val="30"/>
          <w:u w:val="none"/>
          <w:lang w:val="en-US" w:eastAsia="zh-CN"/>
        </w:rPr>
        <w:t>根</w:t>
      </w:r>
      <w:r>
        <w:rPr>
          <w:rFonts w:hint="eastAsia" w:ascii="仿宋_GB2312" w:hAnsi="仿宋_GB2312" w:eastAsia="仿宋_GB2312" w:cs="仿宋_GB2312"/>
          <w:color w:val="auto"/>
          <w:sz w:val="30"/>
          <w:szCs w:val="30"/>
          <w:u w:val="none"/>
          <w:lang w:eastAsia="zh-CN"/>
        </w:rPr>
        <w:t>据</w:t>
      </w:r>
      <w:r>
        <w:rPr>
          <w:rFonts w:hint="eastAsia" w:ascii="仿宋_GB2312" w:hAnsi="仿宋_GB2312" w:eastAsia="仿宋_GB2312" w:cs="仿宋_GB2312"/>
          <w:color w:val="auto"/>
          <w:sz w:val="30"/>
          <w:szCs w:val="30"/>
          <w:lang w:val="en-US" w:eastAsia="zh-CN"/>
        </w:rPr>
        <w:t>《教育部办公厅关于实施宏志助航计划——全国低收入家庭高校毕业生就业帮扶项目的通知》(教学厅函〔2021〕33号)、</w:t>
      </w:r>
      <w:r>
        <w:rPr>
          <w:rFonts w:hint="eastAsia" w:ascii="仿宋_GB2312" w:hAnsi="仿宋_GB2312" w:eastAsia="仿宋_GB2312" w:cs="仿宋_GB2312"/>
          <w:bCs/>
          <w:color w:val="auto"/>
          <w:sz w:val="30"/>
          <w:szCs w:val="30"/>
          <w:lang w:val="en-US" w:eastAsia="zh-CN"/>
        </w:rPr>
        <w:t>《财政部 教育部关于印发中央专项彩票公益金支持教育相关项目资金管理办法的通知》（财教〔2021〕156号）、《中央专项彩票公益金宏志助航计划-全国低收入家庭高校毕业生就业帮扶项目资金管理办法》。</w:t>
      </w:r>
    </w:p>
    <w:p>
      <w:pPr>
        <w:pStyle w:val="4"/>
        <w:keepNext w:val="0"/>
        <w:keepLines w:val="0"/>
        <w:pageBreakBefore w:val="0"/>
        <w:numPr>
          <w:ilvl w:val="0"/>
          <w:numId w:val="1"/>
        </w:numPr>
        <w:kinsoku/>
        <w:wordWrap/>
        <w:overflowPunct/>
        <w:topLinePunct w:val="0"/>
        <w:autoSpaceDE/>
        <w:autoSpaceDN/>
        <w:bidi w:val="0"/>
        <w:adjustRightInd/>
        <w:snapToGrid/>
        <w:spacing w:before="0" w:after="0" w:line="460" w:lineRule="exact"/>
        <w:ind w:left="0" w:firstLine="602" w:firstLineChars="200"/>
        <w:jc w:val="both"/>
        <w:textAlignment w:val="auto"/>
        <w:rPr>
          <w:rFonts w:hint="eastAsia" w:ascii="仿宋_GB2312" w:hAnsi="仿宋_GB2312" w:eastAsia="仿宋_GB2312" w:cs="仿宋_GB2312"/>
          <w:b/>
          <w:bCs/>
          <w:kern w:val="2"/>
          <w:sz w:val="30"/>
          <w:szCs w:val="30"/>
        </w:rPr>
      </w:pPr>
      <w:r>
        <w:rPr>
          <w:rFonts w:hint="eastAsia" w:ascii="仿宋_GB2312" w:hAnsi="仿宋_GB2312" w:eastAsia="仿宋_GB2312" w:cs="仿宋_GB2312"/>
          <w:b/>
          <w:bCs/>
          <w:kern w:val="2"/>
          <w:sz w:val="30"/>
          <w:szCs w:val="30"/>
        </w:rPr>
        <w:t>项目主要内容：</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Cs/>
          <w:color w:val="000000"/>
          <w:sz w:val="30"/>
          <w:szCs w:val="30"/>
          <w:lang w:val="en-US" w:eastAsia="zh-CN"/>
        </w:rPr>
        <w:t>本项目是该项目属于教育部学生司宏志助航计划项目，项目资金主要用于本年度对</w:t>
      </w:r>
      <w:r>
        <w:rPr>
          <w:rFonts w:hint="eastAsia" w:ascii="仿宋_GB2312" w:hAnsi="仿宋_GB2312" w:eastAsia="仿宋_GB2312" w:cs="仿宋_GB2312"/>
          <w:bCs/>
          <w:color w:val="000000"/>
          <w:sz w:val="30"/>
          <w:szCs w:val="30"/>
        </w:rPr>
        <w:t>7</w:t>
      </w:r>
      <w:r>
        <w:rPr>
          <w:rFonts w:hint="eastAsia" w:ascii="仿宋_GB2312" w:hAnsi="仿宋_GB2312" w:cs="仿宋_GB2312"/>
          <w:bCs/>
          <w:color w:val="000000"/>
          <w:sz w:val="30"/>
          <w:szCs w:val="30"/>
          <w:lang w:val="en-US" w:eastAsia="zh-CN"/>
        </w:rPr>
        <w:t>24</w:t>
      </w:r>
      <w:r>
        <w:rPr>
          <w:rFonts w:hint="eastAsia" w:ascii="仿宋_GB2312" w:hAnsi="仿宋_GB2312" w:eastAsia="仿宋_GB2312" w:cs="仿宋_GB2312"/>
          <w:bCs/>
          <w:color w:val="000000"/>
          <w:sz w:val="30"/>
          <w:szCs w:val="30"/>
        </w:rPr>
        <w:t>名低收入家庭毕业生开展就业能力帮扶培训。培训过程中，为学生提供培训课程、培训材料、培训教具、培训过程中的餐食补助以及特色内容等。</w:t>
      </w:r>
    </w:p>
    <w:p>
      <w:pPr>
        <w:keepNext w:val="0"/>
        <w:keepLines w:val="0"/>
        <w:pageBreakBefore w:val="0"/>
        <w:numPr>
          <w:ilvl w:val="0"/>
          <w:numId w:val="1"/>
        </w:numPr>
        <w:kinsoku/>
        <w:wordWrap/>
        <w:overflowPunct/>
        <w:topLinePunct w:val="0"/>
        <w:autoSpaceDE/>
        <w:autoSpaceDN/>
        <w:bidi w:val="0"/>
        <w:adjustRightInd/>
        <w:snapToGrid/>
        <w:spacing w:line="460" w:lineRule="exact"/>
        <w:ind w:left="0" w:leftChars="0" w:firstLine="602" w:firstLineChars="200"/>
        <w:textAlignment w:val="auto"/>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资金投入和使用情况</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（1）资金安排</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2024年预算44.8万元</w:t>
      </w:r>
      <w:r>
        <w:rPr>
          <w:rFonts w:hint="eastAsia" w:ascii="仿宋_GB2312" w:hAnsi="仿宋_GB2312" w:eastAsia="仿宋_GB2312" w:cs="仿宋_GB2312"/>
          <w:sz w:val="30"/>
          <w:szCs w:val="30"/>
        </w:rPr>
        <w:t>，按照单位财务制度等相关规定，资金支出符合202</w:t>
      </w:r>
      <w:r>
        <w:rPr>
          <w:rFonts w:hint="eastAsia" w:ascii="仿宋_GB2312" w:hAnsi="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教育部学生司宏志助航计划</w:t>
      </w:r>
      <w:r>
        <w:rPr>
          <w:rFonts w:hint="eastAsia" w:ascii="仿宋_GB2312" w:hAnsi="仿宋_GB2312" w:eastAsia="仿宋_GB2312" w:cs="仿宋_GB2312"/>
          <w:sz w:val="30"/>
          <w:szCs w:val="30"/>
        </w:rPr>
        <w:t>专项资金费用范围，做到了专款专用。在项目资金拨付和使用过程中，为确保项目资金的安全性，提高项目资金使用效率，严格遵循202</w:t>
      </w:r>
      <w:r>
        <w:rPr>
          <w:rFonts w:hint="eastAsia" w:ascii="仿宋_GB2312" w:hAnsi="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教育部学生司宏志助航计划</w:t>
      </w:r>
      <w:r>
        <w:rPr>
          <w:rFonts w:hint="eastAsia" w:ascii="仿宋_GB2312" w:hAnsi="仿宋_GB2312" w:eastAsia="仿宋_GB2312" w:cs="仿宋_GB2312"/>
          <w:sz w:val="30"/>
          <w:szCs w:val="30"/>
        </w:rPr>
        <w:t>专项资金的拨付程序，认真审核项目实施各阶段的相关材料和手续，根据项目实施进展情况拨付资金。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（2）预算资金来源及使用情况</w:t>
      </w:r>
      <w:bookmarkStart w:id="0" w:name="page10"/>
      <w:bookmarkEnd w:id="0"/>
    </w:p>
    <w:p>
      <w:pPr>
        <w:keepNext w:val="0"/>
        <w:keepLines w:val="0"/>
        <w:pageBreakBefore w:val="0"/>
        <w:kinsoku/>
        <w:wordWrap/>
        <w:overflowPunct/>
        <w:topLinePunct w:val="0"/>
        <w:autoSpaceDE/>
        <w:autoSpaceDN/>
        <w:bidi w:val="0"/>
        <w:adjustRightInd/>
        <w:spacing w:line="460" w:lineRule="exact"/>
        <w:ind w:firstLine="600" w:firstLineChars="200"/>
        <w:textAlignment w:val="auto"/>
        <w:outlineLvl w:val="0"/>
        <w:rPr>
          <w:rFonts w:hint="eastAsia" w:ascii="仿宋_GB2312" w:hAnsi="仿宋_GB2312" w:eastAsia="仿宋_GB2312" w:cs="仿宋_GB2312"/>
          <w:sz w:val="30"/>
          <w:szCs w:val="30"/>
        </w:rPr>
      </w:pPr>
      <w:r>
        <w:rPr>
          <w:rFonts w:hint="eastAsia" w:ascii="仿宋_GB2312" w:hAnsi="仿宋_GB2312" w:eastAsia="仿宋_GB2312" w:cs="仿宋_GB2312"/>
          <w:bCs/>
          <w:color w:val="000000"/>
          <w:sz w:val="30"/>
          <w:szCs w:val="30"/>
        </w:rPr>
        <w:t>本项目资金</w:t>
      </w:r>
      <w:r>
        <w:rPr>
          <w:rFonts w:hint="eastAsia" w:ascii="仿宋_GB2312" w:hAnsi="仿宋_GB2312" w:cs="仿宋_GB2312"/>
          <w:sz w:val="30"/>
          <w:szCs w:val="30"/>
          <w:lang w:val="en-US" w:eastAsia="zh-CN"/>
        </w:rPr>
        <w:t>44.8</w:t>
      </w:r>
      <w:r>
        <w:rPr>
          <w:rFonts w:hint="eastAsia" w:ascii="仿宋_GB2312" w:hAnsi="仿宋_GB2312" w:eastAsia="仿宋_GB2312" w:cs="仿宋_GB2312"/>
          <w:sz w:val="30"/>
          <w:szCs w:val="30"/>
        </w:rPr>
        <w:t>万元</w:t>
      </w:r>
      <w:r>
        <w:rPr>
          <w:rFonts w:hint="eastAsia" w:ascii="仿宋_GB2312" w:hAnsi="仿宋_GB2312" w:eastAsia="仿宋_GB2312" w:cs="仿宋_GB2312"/>
          <w:bCs/>
          <w:color w:val="000000"/>
          <w:sz w:val="30"/>
          <w:szCs w:val="30"/>
        </w:rPr>
        <w:t>为财政</w:t>
      </w:r>
      <w:r>
        <w:rPr>
          <w:rFonts w:hint="eastAsia" w:ascii="仿宋_GB2312" w:hAnsi="仿宋_GB2312" w:eastAsia="仿宋_GB2312" w:cs="仿宋_GB2312"/>
          <w:bCs/>
          <w:color w:val="000000"/>
          <w:sz w:val="30"/>
          <w:szCs w:val="30"/>
          <w:lang w:val="en-US" w:eastAsia="zh-CN"/>
        </w:rPr>
        <w:t>拨款，</w:t>
      </w:r>
      <w:r>
        <w:rPr>
          <w:rFonts w:hint="eastAsia" w:ascii="仿宋_GB2312" w:hAnsi="仿宋_GB2312" w:eastAsia="仿宋_GB2312" w:cs="仿宋_GB2312"/>
          <w:sz w:val="30"/>
          <w:szCs w:val="30"/>
        </w:rPr>
        <w:t>其中：财政本级资金0万元。项目实际支出</w:t>
      </w:r>
      <w:r>
        <w:rPr>
          <w:rFonts w:hint="eastAsia" w:ascii="仿宋_GB2312" w:hAnsi="仿宋_GB2312" w:cs="仿宋_GB2312"/>
          <w:sz w:val="30"/>
          <w:szCs w:val="30"/>
          <w:lang w:val="en-US" w:eastAsia="zh-CN"/>
        </w:rPr>
        <w:t>44.8</w:t>
      </w:r>
      <w:r>
        <w:rPr>
          <w:rFonts w:hint="eastAsia" w:ascii="仿宋_GB2312" w:hAnsi="仿宋_GB2312" w:eastAsia="仿宋_GB2312" w:cs="仿宋_GB2312"/>
          <w:sz w:val="30"/>
          <w:szCs w:val="30"/>
        </w:rPr>
        <w:t>万元，支出率为</w:t>
      </w:r>
      <w:r>
        <w:rPr>
          <w:rFonts w:hint="eastAsia" w:ascii="仿宋_GB2312" w:hAnsi="仿宋_GB2312" w:eastAsia="仿宋_GB2312" w:cs="仿宋_GB2312"/>
          <w:sz w:val="30"/>
          <w:szCs w:val="30"/>
          <w:lang w:val="en-US" w:eastAsia="zh-CN"/>
        </w:rPr>
        <w:t>100</w:t>
      </w:r>
      <w:r>
        <w:rPr>
          <w:rFonts w:hint="eastAsia" w:ascii="仿宋_GB2312" w:hAnsi="仿宋_GB2312" w:eastAsia="仿宋_GB2312" w:cs="仿宋_GB2312"/>
          <w:sz w:val="30"/>
          <w:szCs w:val="30"/>
        </w:rPr>
        <w:t>%。</w:t>
      </w:r>
    </w:p>
    <w:p>
      <w:pPr>
        <w:keepNext w:val="0"/>
        <w:keepLines w:val="0"/>
        <w:pageBreakBefore w:val="0"/>
        <w:numPr>
          <w:ilvl w:val="0"/>
          <w:numId w:val="2"/>
        </w:numPr>
        <w:kinsoku/>
        <w:wordWrap/>
        <w:overflowPunct/>
        <w:topLinePunct w:val="0"/>
        <w:autoSpaceDE/>
        <w:autoSpaceDN/>
        <w:bidi w:val="0"/>
        <w:adjustRightInd/>
        <w:spacing w:line="460" w:lineRule="exact"/>
        <w:ind w:firstLine="602" w:firstLineChars="200"/>
        <w:textAlignment w:val="auto"/>
        <w:rPr>
          <w:rFonts w:hint="eastAsia" w:ascii="仿宋_GB2312"/>
        </w:rPr>
      </w:pPr>
      <w:r>
        <w:rPr>
          <w:rFonts w:hint="eastAsia" w:ascii="仿宋_GB2312"/>
          <w:b/>
          <w:bCs/>
        </w:rPr>
        <w:t>项目绩效目标。</w:t>
      </w:r>
    </w:p>
    <w:p>
      <w:pPr>
        <w:keepNext w:val="0"/>
        <w:keepLines w:val="0"/>
        <w:pageBreakBefore w:val="0"/>
        <w:numPr>
          <w:ilvl w:val="0"/>
          <w:numId w:val="3"/>
        </w:numPr>
        <w:kinsoku/>
        <w:wordWrap/>
        <w:overflowPunct/>
        <w:topLinePunct w:val="0"/>
        <w:autoSpaceDE/>
        <w:autoSpaceDN/>
        <w:bidi w:val="0"/>
        <w:adjustRightInd/>
        <w:snapToGrid/>
        <w:spacing w:line="46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总体目标</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在教育部、自治区教育厅的领导下，坚决贯彻落实培训任务，开展专项帮扶，完善培训制度，强化培训督导，加强安全管理，202</w:t>
      </w:r>
      <w:r>
        <w:rPr>
          <w:rFonts w:hint="eastAsia" w:ascii="仿宋_GB2312" w:hAnsi="仿宋_GB2312" w:cs="仿宋_GB2312"/>
          <w:color w:val="auto"/>
          <w:sz w:val="30"/>
          <w:szCs w:val="30"/>
          <w:lang w:val="en-US" w:eastAsia="zh-CN"/>
        </w:rPr>
        <w:t>4</w:t>
      </w:r>
      <w:r>
        <w:rPr>
          <w:rFonts w:hint="eastAsia" w:ascii="仿宋_GB2312" w:hAnsi="仿宋_GB2312" w:eastAsia="仿宋_GB2312" w:cs="仿宋_GB2312"/>
          <w:color w:val="auto"/>
          <w:sz w:val="30"/>
          <w:szCs w:val="30"/>
          <w:lang w:val="en-US" w:eastAsia="zh-CN"/>
        </w:rPr>
        <w:t>年11月底已完成教育部下达的202</w:t>
      </w:r>
      <w:r>
        <w:rPr>
          <w:rFonts w:hint="eastAsia" w:ascii="仿宋_GB2312" w:hAnsi="仿宋_GB2312" w:cs="仿宋_GB2312"/>
          <w:color w:val="auto"/>
          <w:sz w:val="30"/>
          <w:szCs w:val="30"/>
          <w:lang w:val="en-US" w:eastAsia="zh-CN"/>
        </w:rPr>
        <w:t>4</w:t>
      </w:r>
      <w:r>
        <w:rPr>
          <w:rFonts w:hint="eastAsia" w:ascii="仿宋_GB2312" w:hAnsi="仿宋_GB2312" w:eastAsia="仿宋_GB2312" w:cs="仿宋_GB2312"/>
          <w:color w:val="auto"/>
          <w:sz w:val="30"/>
          <w:szCs w:val="30"/>
          <w:lang w:val="en-US" w:eastAsia="zh-CN"/>
        </w:rPr>
        <w:t>年度“宏志助航计划”培训任务。</w:t>
      </w:r>
    </w:p>
    <w:p>
      <w:pPr>
        <w:keepNext w:val="0"/>
        <w:keepLines w:val="0"/>
        <w:pageBreakBefore w:val="0"/>
        <w:kinsoku/>
        <w:wordWrap/>
        <w:overflowPunct/>
        <w:topLinePunct w:val="0"/>
        <w:autoSpaceDE/>
        <w:autoSpaceDN/>
        <w:bidi w:val="0"/>
        <w:adjustRightInd/>
        <w:snapToGrid/>
        <w:spacing w:line="46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2、阶段性目标</w:t>
      </w:r>
    </w:p>
    <w:p>
      <w:pPr>
        <w:keepNext w:val="0"/>
        <w:keepLines w:val="0"/>
        <w:pageBreakBefore w:val="0"/>
        <w:kinsoku/>
        <w:wordWrap/>
        <w:overflowPunct/>
        <w:topLinePunct w:val="0"/>
        <w:autoSpaceDE/>
        <w:autoSpaceDN/>
        <w:bidi w:val="0"/>
        <w:adjustRightInd/>
        <w:snapToGrid/>
        <w:spacing w:line="460" w:lineRule="exact"/>
        <w:ind w:lef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（1）前期准备：通过制定项目实施方案，经项目负责人审核通过后，有序开展后续</w:t>
      </w:r>
      <w:r>
        <w:rPr>
          <w:rFonts w:hint="eastAsia" w:ascii="仿宋_GB2312" w:hAnsi="仿宋_GB2312" w:eastAsia="仿宋_GB2312" w:cs="仿宋_GB2312"/>
          <w:sz w:val="30"/>
          <w:szCs w:val="30"/>
          <w:lang w:val="en-US" w:eastAsia="zh-CN"/>
        </w:rPr>
        <w:t>工作</w:t>
      </w:r>
      <w:r>
        <w:rPr>
          <w:rFonts w:hint="eastAsia" w:ascii="仿宋_GB2312" w:hAnsi="仿宋_GB2312" w:eastAsia="仿宋_GB2312" w:cs="仿宋_GB2312"/>
          <w:sz w:val="30"/>
          <w:szCs w:val="30"/>
        </w:rPr>
        <w:t>。</w:t>
      </w:r>
    </w:p>
    <w:p>
      <w:pPr>
        <w:keepNext w:val="0"/>
        <w:keepLines w:val="0"/>
        <w:pageBreakBefore w:val="0"/>
        <w:kinsoku/>
        <w:wordWrap/>
        <w:overflowPunct/>
        <w:topLinePunct w:val="0"/>
        <w:autoSpaceDE/>
        <w:autoSpaceDN/>
        <w:bidi w:val="0"/>
        <w:adjustRightInd/>
        <w:snapToGrid/>
        <w:spacing w:line="460" w:lineRule="exact"/>
        <w:ind w:lef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（2）组织实施：资金一到位，立即根据项目要求实施项目。项目责任人按照</w:t>
      </w:r>
      <w:r>
        <w:rPr>
          <w:rFonts w:hint="eastAsia" w:ascii="仿宋_GB2312" w:hAnsi="仿宋_GB2312" w:eastAsia="仿宋_GB2312" w:cs="仿宋_GB2312"/>
          <w:sz w:val="30"/>
          <w:szCs w:val="30"/>
          <w:lang w:val="en-US" w:eastAsia="zh-CN"/>
        </w:rPr>
        <w:t>项目实施</w:t>
      </w:r>
      <w:r>
        <w:rPr>
          <w:rFonts w:hint="eastAsia" w:ascii="仿宋_GB2312" w:hAnsi="仿宋_GB2312" w:eastAsia="仿宋_GB2312" w:cs="仿宋_GB2312"/>
          <w:sz w:val="30"/>
          <w:szCs w:val="30"/>
        </w:rPr>
        <w:t>方案要求逐一进行项目部署安排，提高项目质量及效率性。</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黑体" w:hAnsi="黑体" w:eastAsia="黑体"/>
        </w:rPr>
      </w:pPr>
      <w:r>
        <w:rPr>
          <w:rFonts w:hint="eastAsia" w:ascii="黑体" w:hAnsi="黑体" w:eastAsia="黑体"/>
        </w:rPr>
        <w:t>二、绩效评价工作开展情况</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rPr>
      </w:pPr>
      <w:r>
        <w:rPr>
          <w:rFonts w:hint="eastAsia" w:ascii="仿宋_GB2312"/>
        </w:rPr>
        <w:t>（一）绩效评价目的、对象和范围。</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firstLine="602" w:firstLineChars="200"/>
        <w:jc w:val="both"/>
        <w:textAlignment w:val="auto"/>
        <w:outlineLvl w:val="9"/>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1、绩效评价的目的</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4"/>
        </w:numPr>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（2）项目绩效管理财政支出运行提供及时、有效的信息。</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综合来看，通过开展有效的财政支出绩效评价管理，达到改进预算管理、控制节约成本，提高预算资金使用效益的目的。</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left="0" w:firstLine="602" w:firstLineChars="200"/>
        <w:jc w:val="both"/>
        <w:textAlignment w:val="auto"/>
        <w:outlineLvl w:val="9"/>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2、绩效评价的对象</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联合</w:t>
      </w:r>
      <w:r>
        <w:rPr>
          <w:rFonts w:hint="eastAsia" w:ascii="仿宋_GB2312" w:hAnsi="仿宋_GB2312" w:cs="仿宋_GB2312"/>
          <w:sz w:val="30"/>
          <w:szCs w:val="30"/>
          <w:lang w:val="en-US" w:eastAsia="zh-CN"/>
        </w:rPr>
        <w:t>2</w:t>
      </w:r>
      <w:r>
        <w:rPr>
          <w:rFonts w:hint="eastAsia" w:ascii="仿宋_GB2312" w:hAnsi="仿宋_GB2312" w:eastAsia="仿宋_GB2312" w:cs="仿宋_GB2312"/>
          <w:sz w:val="30"/>
          <w:szCs w:val="30"/>
          <w:lang w:val="en-US" w:eastAsia="zh-CN"/>
        </w:rPr>
        <w:t>所高校，开展</w:t>
      </w:r>
      <w:r>
        <w:rPr>
          <w:rFonts w:hint="eastAsia" w:ascii="仿宋_GB2312" w:hAnsi="仿宋_GB2312" w:cs="仿宋_GB2312"/>
          <w:sz w:val="30"/>
          <w:szCs w:val="30"/>
          <w:lang w:val="en-US" w:eastAsia="zh-CN"/>
        </w:rPr>
        <w:t>3</w:t>
      </w:r>
      <w:r>
        <w:rPr>
          <w:rFonts w:hint="eastAsia" w:ascii="仿宋_GB2312" w:hAnsi="仿宋_GB2312" w:eastAsia="仿宋_GB2312" w:cs="仿宋_GB2312"/>
          <w:sz w:val="30"/>
          <w:szCs w:val="30"/>
          <w:lang w:val="en-US" w:eastAsia="zh-CN"/>
        </w:rPr>
        <w:t>期培训，培训学员7</w:t>
      </w:r>
      <w:r>
        <w:rPr>
          <w:rFonts w:hint="eastAsia" w:ascii="仿宋_GB2312" w:hAnsi="仿宋_GB2312" w:cs="仿宋_GB2312"/>
          <w:sz w:val="30"/>
          <w:szCs w:val="30"/>
          <w:lang w:val="en-US" w:eastAsia="zh-CN"/>
        </w:rPr>
        <w:t>46</w:t>
      </w:r>
      <w:r>
        <w:rPr>
          <w:rFonts w:hint="eastAsia" w:ascii="仿宋_GB2312" w:hAnsi="仿宋_GB2312" w:eastAsia="仿宋_GB2312" w:cs="仿宋_GB2312"/>
          <w:sz w:val="30"/>
          <w:szCs w:val="30"/>
          <w:lang w:val="en-US" w:eastAsia="zh-CN"/>
        </w:rPr>
        <w:t>人，满意度高于9</w:t>
      </w:r>
      <w:r>
        <w:rPr>
          <w:rFonts w:hint="eastAsia" w:ascii="仿宋_GB2312" w:hAnsi="仿宋_GB2312" w:cs="仿宋_GB2312"/>
          <w:sz w:val="30"/>
          <w:szCs w:val="30"/>
          <w:lang w:val="en-US" w:eastAsia="zh-CN"/>
        </w:rPr>
        <w:t>0</w:t>
      </w:r>
      <w:r>
        <w:rPr>
          <w:rFonts w:hint="eastAsia" w:ascii="仿宋_GB2312" w:hAnsi="仿宋_GB2312" w:eastAsia="仿宋_GB2312" w:cs="仿宋_GB2312"/>
          <w:sz w:val="30"/>
          <w:szCs w:val="30"/>
          <w:lang w:val="en-US" w:eastAsia="zh-CN"/>
        </w:rPr>
        <w:t>%。</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firstLine="602" w:firstLineChars="200"/>
        <w:jc w:val="both"/>
        <w:textAlignment w:val="auto"/>
        <w:outlineLvl w:val="9"/>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3、绩效评价的范围</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w:t>
      </w:r>
      <w:r>
        <w:rPr>
          <w:rFonts w:hint="eastAsia" w:ascii="仿宋_GB2312" w:hAnsi="仿宋_GB2312" w:cs="仿宋_GB2312"/>
          <w:sz w:val="30"/>
          <w:szCs w:val="30"/>
          <w:lang w:val="en-US" w:eastAsia="zh-CN"/>
        </w:rPr>
        <w:t>4</w:t>
      </w:r>
      <w:r>
        <w:rPr>
          <w:rFonts w:hint="eastAsia" w:ascii="仿宋_GB2312" w:hAnsi="仿宋_GB2312" w:eastAsia="仿宋_GB2312" w:cs="仿宋_GB2312"/>
          <w:sz w:val="30"/>
          <w:szCs w:val="30"/>
          <w:lang w:val="en-US" w:eastAsia="zh-CN"/>
        </w:rPr>
        <w:t>年教育部学生司宏志助航计划专项资金项目的决策、过程、产出、效益等。</w:t>
      </w:r>
    </w:p>
    <w:p>
      <w:pPr>
        <w:keepNext w:val="0"/>
        <w:keepLines w:val="0"/>
        <w:pageBreakBefore w:val="0"/>
        <w:numPr>
          <w:ilvl w:val="0"/>
          <w:numId w:val="2"/>
        </w:numPr>
        <w:kinsoku/>
        <w:wordWrap/>
        <w:overflowPunct/>
        <w:topLinePunct w:val="0"/>
        <w:autoSpaceDE/>
        <w:autoSpaceDN/>
        <w:bidi w:val="0"/>
        <w:adjustRightInd/>
        <w:spacing w:line="460" w:lineRule="exact"/>
        <w:ind w:left="0" w:leftChars="0" w:firstLine="602" w:firstLineChars="200"/>
        <w:textAlignment w:val="auto"/>
        <w:rPr>
          <w:rFonts w:hint="eastAsia" w:ascii="仿宋_GB2312"/>
          <w:b/>
          <w:bCs/>
        </w:rPr>
      </w:pPr>
      <w:r>
        <w:rPr>
          <w:rFonts w:hint="eastAsia" w:ascii="仿宋_GB2312"/>
          <w:b/>
          <w:bCs/>
        </w:rPr>
        <w:t>绩效评价原则、评价指标体系（附表说明）、评价方法、评价标准等。</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left="0" w:firstLine="602" w:firstLineChars="200"/>
        <w:jc w:val="both"/>
        <w:textAlignment w:val="auto"/>
        <w:outlineLvl w:val="9"/>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1、绩效评价原则</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eastAsia="仿宋_GB2312"/>
          <w:color w:val="000000"/>
          <w:sz w:val="30"/>
          <w:szCs w:val="30"/>
        </w:rPr>
      </w:pPr>
      <w:r>
        <w:rPr>
          <w:rFonts w:eastAsia="仿宋_GB2312"/>
          <w:color w:val="000000"/>
          <w:sz w:val="30"/>
          <w:szCs w:val="30"/>
        </w:rPr>
        <w:t>本次项目绩效评价遵循以下基本原则：</w:t>
      </w:r>
    </w:p>
    <w:p>
      <w:pPr>
        <w:pStyle w:val="4"/>
        <w:keepNext w:val="0"/>
        <w:keepLines w:val="0"/>
        <w:pageBreakBefore w:val="0"/>
        <w:kinsoku/>
        <w:wordWrap/>
        <w:overflowPunct/>
        <w:topLinePunct w:val="0"/>
        <w:autoSpaceDE/>
        <w:autoSpaceDN/>
        <w:bidi w:val="0"/>
        <w:adjustRightInd/>
        <w:snapToGrid/>
        <w:spacing w:before="0" w:after="0" w:line="460" w:lineRule="exact"/>
        <w:ind w:firstLine="600" w:firstLineChars="200"/>
        <w:jc w:val="both"/>
        <w:textAlignment w:val="auto"/>
        <w:outlineLvl w:val="9"/>
        <w:rPr>
          <w:rFonts w:ascii="Times New Roman" w:hAnsi="Times New Roman" w:eastAsia="仿宋_GB2312"/>
          <w:b w:val="0"/>
          <w:bCs w:val="0"/>
          <w:sz w:val="30"/>
          <w:szCs w:val="30"/>
        </w:rPr>
      </w:pPr>
      <w:r>
        <w:rPr>
          <w:rFonts w:ascii="Times New Roman" w:hAnsi="Times New Roman" w:eastAsia="仿宋_GB2312"/>
          <w:b w:val="0"/>
          <w:bCs w:val="0"/>
          <w:sz w:val="30"/>
          <w:szCs w:val="30"/>
        </w:rPr>
        <w:t>（1）科学公正。绩效评价应当运用科学合理的方法，按照规范的程序，对项目绩效进行客观、公正的反映。</w:t>
      </w:r>
    </w:p>
    <w:p>
      <w:pPr>
        <w:pStyle w:val="4"/>
        <w:keepNext w:val="0"/>
        <w:keepLines w:val="0"/>
        <w:pageBreakBefore w:val="0"/>
        <w:kinsoku/>
        <w:wordWrap/>
        <w:overflowPunct/>
        <w:topLinePunct w:val="0"/>
        <w:autoSpaceDE/>
        <w:autoSpaceDN/>
        <w:bidi w:val="0"/>
        <w:adjustRightInd/>
        <w:snapToGrid/>
        <w:spacing w:before="0" w:after="0" w:line="460" w:lineRule="exact"/>
        <w:ind w:firstLine="600" w:firstLineChars="200"/>
        <w:jc w:val="both"/>
        <w:textAlignment w:val="auto"/>
        <w:outlineLvl w:val="9"/>
        <w:rPr>
          <w:rFonts w:ascii="Times New Roman" w:hAnsi="Times New Roman" w:eastAsia="仿宋_GB2312"/>
          <w:b w:val="0"/>
          <w:bCs w:val="0"/>
          <w:sz w:val="30"/>
          <w:szCs w:val="30"/>
        </w:rPr>
      </w:pPr>
      <w:r>
        <w:rPr>
          <w:rFonts w:ascii="Times New Roman" w:hAnsi="Times New Roman" w:eastAsia="仿宋_GB2312"/>
          <w:b w:val="0"/>
          <w:bCs w:val="0"/>
          <w:sz w:val="30"/>
          <w:szCs w:val="30"/>
        </w:rPr>
        <w:t>（2）统筹兼顾。单位自评、部门评价和财政评价应职责明确，各有侧重，相互衔接。单位自评应由项目单位自主实施，即“谁支出、谁自评”。部门评价和财政评价应在单位自评的基础上开展。</w:t>
      </w:r>
    </w:p>
    <w:p>
      <w:pPr>
        <w:pStyle w:val="4"/>
        <w:keepNext w:val="0"/>
        <w:keepLines w:val="0"/>
        <w:pageBreakBefore w:val="0"/>
        <w:kinsoku/>
        <w:wordWrap/>
        <w:overflowPunct/>
        <w:topLinePunct w:val="0"/>
        <w:autoSpaceDE/>
        <w:autoSpaceDN/>
        <w:bidi w:val="0"/>
        <w:adjustRightInd/>
        <w:snapToGrid/>
        <w:spacing w:before="0" w:after="0" w:line="460" w:lineRule="exact"/>
        <w:ind w:firstLine="600" w:firstLineChars="200"/>
        <w:jc w:val="both"/>
        <w:textAlignment w:val="auto"/>
        <w:outlineLvl w:val="9"/>
        <w:rPr>
          <w:rFonts w:ascii="Times New Roman" w:hAnsi="Times New Roman" w:eastAsia="仿宋_GB2312"/>
          <w:b w:val="0"/>
          <w:bCs w:val="0"/>
          <w:sz w:val="30"/>
          <w:szCs w:val="30"/>
        </w:rPr>
      </w:pPr>
      <w:r>
        <w:rPr>
          <w:rFonts w:ascii="Times New Roman" w:hAnsi="Times New Roman" w:eastAsia="仿宋_GB2312"/>
          <w:b w:val="0"/>
          <w:bCs w:val="0"/>
          <w:sz w:val="30"/>
          <w:szCs w:val="30"/>
        </w:rPr>
        <w:t>（3）激励约束。绩效评价结果应与预算安排、政策调整、改进管理实质性挂钩，体现奖优罚劣和激励相容导向，有效要安排、低效要压减、无效要问责。</w:t>
      </w:r>
    </w:p>
    <w:p>
      <w:pPr>
        <w:pStyle w:val="4"/>
        <w:keepNext w:val="0"/>
        <w:keepLines w:val="0"/>
        <w:pageBreakBefore w:val="0"/>
        <w:kinsoku/>
        <w:wordWrap/>
        <w:overflowPunct/>
        <w:topLinePunct w:val="0"/>
        <w:autoSpaceDE/>
        <w:autoSpaceDN/>
        <w:bidi w:val="0"/>
        <w:adjustRightInd/>
        <w:snapToGrid/>
        <w:spacing w:before="0" w:after="0" w:line="460" w:lineRule="exact"/>
        <w:ind w:firstLine="600" w:firstLineChars="200"/>
        <w:jc w:val="both"/>
        <w:textAlignment w:val="auto"/>
        <w:outlineLvl w:val="9"/>
        <w:rPr>
          <w:rFonts w:ascii="Times New Roman" w:hAnsi="Times New Roman" w:eastAsia="仿宋_GB2312"/>
          <w:b w:val="0"/>
          <w:bCs w:val="0"/>
          <w:sz w:val="30"/>
          <w:szCs w:val="30"/>
        </w:rPr>
      </w:pPr>
      <w:r>
        <w:rPr>
          <w:rFonts w:ascii="Times New Roman" w:hAnsi="Times New Roman" w:eastAsia="仿宋_GB2312"/>
          <w:b w:val="0"/>
          <w:bCs w:val="0"/>
          <w:sz w:val="30"/>
          <w:szCs w:val="30"/>
        </w:rPr>
        <w:t>（4）公开透明。绩效评价结果应依法依规公开，并自觉接受社会监督。</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firstLine="602" w:firstLineChars="200"/>
        <w:jc w:val="both"/>
        <w:textAlignment w:val="auto"/>
        <w:outlineLvl w:val="9"/>
        <w:rPr>
          <w:rFonts w:ascii="Times New Roman" w:hAnsi="Times New Roman" w:eastAsia="仿宋_GB2312"/>
          <w:b/>
          <w:bCs/>
          <w:sz w:val="30"/>
          <w:szCs w:val="30"/>
        </w:rPr>
      </w:pPr>
      <w:r>
        <w:rPr>
          <w:rFonts w:ascii="Times New Roman" w:hAnsi="Times New Roman" w:eastAsia="仿宋_GB2312"/>
          <w:b/>
          <w:bCs/>
          <w:sz w:val="30"/>
          <w:szCs w:val="30"/>
        </w:rPr>
        <w:t>2、评价指标体系</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color w:val="000000"/>
          <w:spacing w:val="17"/>
          <w:sz w:val="30"/>
          <w:szCs w:val="30"/>
        </w:rPr>
      </w:pPr>
      <w:r>
        <w:rPr>
          <w:rFonts w:eastAsia="仿宋_GB2312"/>
          <w:color w:val="000000"/>
          <w:spacing w:val="17"/>
          <w:sz w:val="30"/>
          <w:szCs w:val="30"/>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（1）确定评价指标</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（2）确定权重</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（3）确定指标标准值</w:t>
      </w:r>
    </w:p>
    <w:p>
      <w:pPr>
        <w:keepNext w:val="0"/>
        <w:keepLines w:val="0"/>
        <w:pageBreakBefore w:val="0"/>
        <w:kinsoku/>
        <w:wordWrap/>
        <w:overflowPunct/>
        <w:topLinePunct w:val="0"/>
        <w:autoSpaceDE/>
        <w:autoSpaceDN/>
        <w:bidi w:val="0"/>
        <w:adjustRightInd/>
        <w:snapToGrid/>
        <w:spacing w:line="4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pPr>
        <w:pStyle w:val="4"/>
        <w:keepNext w:val="0"/>
        <w:keepLines w:val="0"/>
        <w:pageBreakBefore w:val="0"/>
        <w:kinsoku/>
        <w:wordWrap/>
        <w:overflowPunct/>
        <w:topLinePunct w:val="0"/>
        <w:autoSpaceDE/>
        <w:autoSpaceDN/>
        <w:bidi w:val="0"/>
        <w:adjustRightInd/>
        <w:snapToGrid/>
        <w:spacing w:before="0" w:after="0" w:line="460" w:lineRule="exact"/>
        <w:ind w:firstLine="668" w:firstLineChars="200"/>
        <w:jc w:val="both"/>
        <w:textAlignment w:val="auto"/>
        <w:rPr>
          <w:rFonts w:ascii="Times New Roman" w:hAnsi="Times New Roman" w:eastAsia="仿宋_GB2312"/>
          <w:b w:val="0"/>
          <w:bCs w:val="0"/>
          <w:color w:val="000000"/>
          <w:spacing w:val="17"/>
          <w:kern w:val="2"/>
          <w:sz w:val="30"/>
          <w:szCs w:val="30"/>
        </w:rPr>
      </w:pPr>
      <w:r>
        <w:rPr>
          <w:rFonts w:ascii="Times New Roman" w:hAnsi="Times New Roman" w:eastAsia="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left="0" w:firstLine="602" w:firstLineChars="200"/>
        <w:jc w:val="both"/>
        <w:textAlignment w:val="auto"/>
        <w:outlineLvl w:val="9"/>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3、绩效评价方法</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（1）比较法</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通过对绩效目标与实施效果、历史与当期情况，综合分析绩效目标实现程度。对</w:t>
      </w:r>
      <w:r>
        <w:rPr>
          <w:rFonts w:hint="default" w:ascii="Times New Roman" w:hAnsi="Times New Roman" w:eastAsia="仿宋_GB2312" w:cs="Times New Roman"/>
          <w:sz w:val="30"/>
          <w:szCs w:val="30"/>
        </w:rPr>
        <w:t>项目</w:t>
      </w:r>
      <w:r>
        <w:rPr>
          <w:rFonts w:hint="default" w:ascii="Times New Roman" w:hAnsi="Times New Roman" w:eastAsia="仿宋_GB2312" w:cs="Times New Roman"/>
          <w:color w:val="000000"/>
          <w:spacing w:val="17"/>
          <w:sz w:val="30"/>
          <w:szCs w:val="30"/>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（2）因素分析法</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通过综合分析影响绩效目标实现、实施效果的内外因素，评价绩效目标实现程度。通过对</w:t>
      </w:r>
      <w:r>
        <w:rPr>
          <w:rFonts w:hint="default" w:ascii="Times New Roman" w:hAnsi="Times New Roman" w:eastAsia="仿宋_GB2312" w:cs="Times New Roman"/>
          <w:sz w:val="30"/>
          <w:szCs w:val="30"/>
        </w:rPr>
        <w:t>项目</w:t>
      </w:r>
      <w:r>
        <w:rPr>
          <w:rFonts w:hint="default" w:ascii="Times New Roman" w:hAnsi="Times New Roman" w:eastAsia="仿宋_GB2312" w:cs="Times New Roman"/>
          <w:color w:val="000000"/>
          <w:spacing w:val="17"/>
          <w:sz w:val="30"/>
          <w:szCs w:val="30"/>
        </w:rPr>
        <w:t>的开展情况、项目产出数量、成本控制、资金拨付文件及自评报告等相关资料的收集和审核，综合分析各因素对绩效目标实现的影响。</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left="0" w:firstLine="602" w:firstLineChars="200"/>
        <w:jc w:val="both"/>
        <w:textAlignment w:val="auto"/>
        <w:outlineLvl w:val="9"/>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4、评价标准</w:t>
      </w:r>
    </w:p>
    <w:p>
      <w:pPr>
        <w:keepNext w:val="0"/>
        <w:keepLines w:val="0"/>
        <w:pageBreakBefore w:val="0"/>
        <w:kinsoku/>
        <w:wordWrap/>
        <w:overflowPunct/>
        <w:topLinePunct w:val="0"/>
        <w:autoSpaceDE/>
        <w:autoSpaceDN/>
        <w:bidi w:val="0"/>
        <w:adjustRightInd/>
        <w:snapToGrid/>
        <w:spacing w:line="460" w:lineRule="exact"/>
        <w:ind w:left="0" w:firstLine="668" w:firstLineChars="200"/>
        <w:textAlignment w:val="auto"/>
        <w:rPr>
          <w:rFonts w:hint="default" w:ascii="Times New Roman" w:hAnsi="Times New Roman" w:eastAsia="仿宋_GB2312" w:cs="Times New Roman"/>
          <w:color w:val="000000"/>
          <w:spacing w:val="17"/>
          <w:sz w:val="30"/>
          <w:szCs w:val="30"/>
          <w:lang w:val="en-US" w:eastAsia="zh-CN"/>
        </w:rPr>
      </w:pPr>
      <w:r>
        <w:rPr>
          <w:rFonts w:hint="default" w:ascii="Times New Roman" w:hAnsi="Times New Roman" w:eastAsia="仿宋_GB2312" w:cs="Times New Roman"/>
          <w:color w:val="000000"/>
          <w:spacing w:val="17"/>
          <w:sz w:val="30"/>
          <w:szCs w:val="30"/>
          <w:lang w:val="en-US" w:eastAsia="zh-CN"/>
        </w:rPr>
        <w:t>绩效评价标准通常包括计划标准、行业标准、历史标准等，用于对绩效指标完成情况进行比较。本次评价主要采用了计划标准和行业标准。</w:t>
      </w:r>
    </w:p>
    <w:p>
      <w:pPr>
        <w:keepNext w:val="0"/>
        <w:keepLines w:val="0"/>
        <w:pageBreakBefore w:val="0"/>
        <w:kinsoku/>
        <w:wordWrap/>
        <w:overflowPunct/>
        <w:topLinePunct w:val="0"/>
        <w:autoSpaceDE/>
        <w:autoSpaceDN/>
        <w:bidi w:val="0"/>
        <w:adjustRightInd/>
        <w:spacing w:line="460" w:lineRule="exact"/>
        <w:ind w:firstLine="602" w:firstLineChars="200"/>
        <w:textAlignment w:val="auto"/>
        <w:rPr>
          <w:rFonts w:hint="eastAsia" w:ascii="仿宋_GB2312"/>
          <w:b/>
          <w:bCs/>
        </w:rPr>
      </w:pPr>
      <w:r>
        <w:rPr>
          <w:rFonts w:hint="eastAsia" w:ascii="仿宋_GB2312"/>
          <w:b/>
          <w:bCs/>
        </w:rPr>
        <w:t>（三）绩效评价工作过程。</w:t>
      </w:r>
    </w:p>
    <w:p>
      <w:pPr>
        <w:keepNext w:val="0"/>
        <w:keepLines w:val="0"/>
        <w:pageBreakBefore w:val="0"/>
        <w:numPr>
          <w:ilvl w:val="0"/>
          <w:numId w:val="5"/>
        </w:numPr>
        <w:kinsoku/>
        <w:wordWrap/>
        <w:overflowPunct/>
        <w:topLinePunct w:val="0"/>
        <w:autoSpaceDE/>
        <w:autoSpaceDN/>
        <w:bidi w:val="0"/>
        <w:adjustRightInd/>
        <w:snapToGrid/>
        <w:spacing w:line="460" w:lineRule="exact"/>
        <w:ind w:left="0" w:leftChars="0" w:firstLine="600" w:firstLineChars="200"/>
        <w:textAlignment w:val="auto"/>
        <w:rPr>
          <w:rFonts w:ascii="Times New Roman" w:hAnsi="Times New Roman" w:eastAsia="仿宋_GB2312"/>
          <w:bCs/>
          <w:color w:val="auto"/>
          <w:sz w:val="30"/>
          <w:szCs w:val="30"/>
        </w:rPr>
      </w:pPr>
      <w:r>
        <w:rPr>
          <w:rFonts w:hint="eastAsia" w:ascii="Times New Roman" w:hAnsi="Times New Roman" w:eastAsia="仿宋_GB2312"/>
          <w:bCs/>
          <w:color w:val="auto"/>
          <w:sz w:val="30"/>
          <w:szCs w:val="30"/>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5"/>
        </w:numPr>
        <w:kinsoku/>
        <w:wordWrap/>
        <w:overflowPunct/>
        <w:topLinePunct w:val="0"/>
        <w:autoSpaceDE/>
        <w:autoSpaceDN/>
        <w:bidi w:val="0"/>
        <w:adjustRightInd/>
        <w:snapToGrid/>
        <w:spacing w:line="460" w:lineRule="exact"/>
        <w:ind w:left="0" w:leftChars="0" w:firstLine="600" w:firstLineChars="200"/>
        <w:textAlignment w:val="auto"/>
        <w:rPr>
          <w:rFonts w:ascii="Times New Roman" w:hAnsi="Times New Roman" w:eastAsia="仿宋_GB2312"/>
          <w:bCs/>
          <w:color w:val="auto"/>
          <w:sz w:val="30"/>
          <w:szCs w:val="30"/>
        </w:rPr>
      </w:pPr>
      <w:r>
        <w:rPr>
          <w:rFonts w:hint="eastAsia" w:ascii="Times New Roman" w:hAnsi="Times New Roman" w:eastAsia="仿宋_GB2312"/>
          <w:bCs/>
          <w:color w:val="auto"/>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5"/>
        </w:numPr>
        <w:kinsoku/>
        <w:wordWrap/>
        <w:overflowPunct/>
        <w:topLinePunct w:val="0"/>
        <w:autoSpaceDE/>
        <w:autoSpaceDN/>
        <w:bidi w:val="0"/>
        <w:adjustRightInd/>
        <w:snapToGrid/>
        <w:spacing w:line="460" w:lineRule="exact"/>
        <w:ind w:left="0" w:leftChars="0" w:firstLine="600" w:firstLineChars="200"/>
        <w:textAlignment w:val="auto"/>
      </w:pPr>
      <w:r>
        <w:rPr>
          <w:rFonts w:hint="eastAsia" w:ascii="Times New Roman" w:hAnsi="Times New Roman" w:eastAsia="仿宋_GB2312"/>
          <w:bCs/>
          <w:color w:val="auto"/>
          <w:sz w:val="30"/>
          <w:szCs w:val="30"/>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6"/>
        </w:numPr>
        <w:kinsoku/>
        <w:wordWrap/>
        <w:overflowPunct/>
        <w:topLinePunct w:val="0"/>
        <w:autoSpaceDE/>
        <w:autoSpaceDN/>
        <w:bidi w:val="0"/>
        <w:adjustRightInd/>
        <w:spacing w:line="460" w:lineRule="exact"/>
        <w:ind w:firstLine="602" w:firstLineChars="200"/>
        <w:textAlignment w:val="auto"/>
        <w:rPr>
          <w:rFonts w:hint="eastAsia" w:ascii="仿宋_GB2312" w:hAnsi="仿宋_GB2312" w:eastAsia="仿宋_GB2312" w:cs="仿宋_GB2312"/>
          <w:b/>
          <w:bCs/>
        </w:rPr>
      </w:pPr>
      <w:r>
        <w:rPr>
          <w:rFonts w:hint="eastAsia" w:ascii="仿宋_GB2312" w:hAnsi="仿宋_GB2312" w:eastAsia="仿宋_GB2312" w:cs="仿宋_GB2312"/>
          <w:b/>
          <w:bCs/>
        </w:rPr>
        <w:t>综合评价情况及评价结论（附相关评分表）</w:t>
      </w:r>
    </w:p>
    <w:p>
      <w:pPr>
        <w:pStyle w:val="4"/>
        <w:keepNext w:val="0"/>
        <w:keepLines w:val="0"/>
        <w:pageBreakBefore w:val="0"/>
        <w:widowControl w:val="0"/>
        <w:kinsoku/>
        <w:wordWrap/>
        <w:overflowPunct/>
        <w:topLinePunct w:val="0"/>
        <w:autoSpaceDE/>
        <w:autoSpaceDN/>
        <w:bidi w:val="0"/>
        <w:adjustRightInd/>
        <w:snapToGrid/>
        <w:spacing w:before="0" w:after="0" w:line="460" w:lineRule="exact"/>
        <w:ind w:firstLine="600" w:firstLineChars="200"/>
        <w:jc w:val="both"/>
        <w:textAlignment w:val="auto"/>
        <w:outlineLvl w:val="9"/>
        <w:rPr>
          <w:rFonts w:ascii="Times New Roman" w:hAnsi="Times New Roman" w:eastAsia="仿宋_GB2312"/>
          <w:b w:val="0"/>
          <w:color w:val="0000FF"/>
          <w:kern w:val="2"/>
        </w:rPr>
      </w:pPr>
      <w:r>
        <w:rPr>
          <w:rFonts w:ascii="Times New Roman" w:hAnsi="Times New Roman" w:eastAsia="仿宋_GB2312"/>
          <w:b w:val="0"/>
          <w:color w:val="auto"/>
          <w:kern w:val="2"/>
          <w:sz w:val="30"/>
          <w:szCs w:val="30"/>
        </w:rPr>
        <w:t>对</w:t>
      </w:r>
      <w:r>
        <w:rPr>
          <w:rFonts w:hint="eastAsia" w:ascii="Times New Roman" w:hAnsi="Times New Roman" w:eastAsia="仿宋_GB2312"/>
          <w:b w:val="0"/>
          <w:color w:val="auto"/>
          <w:kern w:val="2"/>
          <w:sz w:val="30"/>
          <w:szCs w:val="30"/>
        </w:rPr>
        <w:t>202</w:t>
      </w:r>
      <w:r>
        <w:rPr>
          <w:rFonts w:hint="eastAsia" w:ascii="Times New Roman" w:hAnsi="Times New Roman" w:eastAsia="仿宋_GB2312"/>
          <w:b w:val="0"/>
          <w:color w:val="auto"/>
          <w:kern w:val="2"/>
          <w:sz w:val="30"/>
          <w:szCs w:val="30"/>
          <w:lang w:val="en-US" w:eastAsia="zh-CN"/>
        </w:rPr>
        <w:t>4年教育部学生司宏志助航</w:t>
      </w:r>
      <w:r>
        <w:rPr>
          <w:rFonts w:hint="eastAsia" w:ascii="Times New Roman" w:hAnsi="Times New Roman" w:eastAsia="仿宋_GB2312"/>
          <w:b w:val="0"/>
          <w:color w:val="auto"/>
          <w:kern w:val="2"/>
          <w:sz w:val="30"/>
          <w:szCs w:val="30"/>
        </w:rPr>
        <w:t>计划专项资金</w:t>
      </w:r>
      <w:r>
        <w:rPr>
          <w:rFonts w:ascii="Times New Roman" w:hAnsi="Times New Roman" w:eastAsia="仿宋_GB2312"/>
          <w:b w:val="0"/>
          <w:color w:val="auto"/>
          <w:kern w:val="2"/>
          <w:sz w:val="30"/>
          <w:szCs w:val="30"/>
        </w:rPr>
        <w:t>项目进行客观评价，最终评</w:t>
      </w:r>
      <w:r>
        <w:rPr>
          <w:rFonts w:ascii="Times New Roman" w:hAnsi="Times New Roman" w:eastAsia="仿宋_GB2312"/>
          <w:b w:val="0"/>
          <w:bCs w:val="0"/>
          <w:color w:val="auto"/>
          <w:sz w:val="30"/>
          <w:szCs w:val="30"/>
        </w:rPr>
        <w:t>分结果：总得分为</w:t>
      </w:r>
      <w:r>
        <w:rPr>
          <w:rFonts w:hint="eastAsia" w:ascii="Times New Roman" w:hAnsi="Times New Roman" w:eastAsia="仿宋_GB2312"/>
          <w:b w:val="0"/>
          <w:bCs w:val="0"/>
          <w:color w:val="auto"/>
          <w:sz w:val="30"/>
          <w:szCs w:val="30"/>
          <w:lang w:val="en-US" w:eastAsia="zh-CN"/>
        </w:rPr>
        <w:t>90.7</w:t>
      </w:r>
      <w:r>
        <w:rPr>
          <w:rFonts w:ascii="Times New Roman" w:hAnsi="Times New Roman" w:eastAsia="仿宋_GB2312"/>
          <w:b w:val="0"/>
          <w:bCs w:val="0"/>
          <w:color w:val="auto"/>
          <w:sz w:val="30"/>
          <w:szCs w:val="30"/>
        </w:rPr>
        <w:t>分，</w:t>
      </w:r>
      <w:r>
        <w:rPr>
          <w:rFonts w:ascii="Times New Roman" w:hAnsi="Times New Roman" w:eastAsia="仿宋_GB2312"/>
          <w:b w:val="0"/>
          <w:bCs w:val="0"/>
          <w:sz w:val="30"/>
          <w:szCs w:val="30"/>
        </w:rPr>
        <w:t>属于“</w:t>
      </w:r>
      <w:r>
        <w:rPr>
          <w:rFonts w:hint="eastAsia" w:ascii="Times New Roman" w:hAnsi="Times New Roman" w:eastAsia="仿宋_GB2312"/>
          <w:b w:val="0"/>
          <w:bCs w:val="0"/>
          <w:sz w:val="30"/>
          <w:szCs w:val="30"/>
          <w:lang w:val="en-US" w:eastAsia="zh-CN"/>
        </w:rPr>
        <w:t>良</w:t>
      </w:r>
      <w:r>
        <w:rPr>
          <w:rFonts w:ascii="Times New Roman" w:hAnsi="Times New Roman" w:eastAsia="仿宋_GB2312"/>
          <w:b w:val="0"/>
          <w:bCs w:val="0"/>
          <w:sz w:val="30"/>
          <w:szCs w:val="30"/>
        </w:rPr>
        <w:t>”。</w:t>
      </w:r>
      <w:r>
        <w:rPr>
          <w:rFonts w:ascii="Times New Roman" w:hAnsi="Times New Roman" w:eastAsia="仿宋_GB2312"/>
          <w:b w:val="0"/>
          <w:bCs w:val="0"/>
          <w:color w:val="000000" w:themeColor="text1"/>
          <w:sz w:val="30"/>
          <w:szCs w:val="30"/>
          <w14:textFill>
            <w14:solidFill>
              <w14:schemeClr w14:val="tx1"/>
            </w14:solidFill>
          </w14:textFill>
        </w:rPr>
        <w:t>其中，项目决策类指标权重为5分，得分为5分，得分率为</w:t>
      </w:r>
      <w:r>
        <w:rPr>
          <w:rFonts w:ascii="Times New Roman" w:hAnsi="Times New Roman" w:eastAsia="仿宋_GB2312"/>
          <w:b w:val="0"/>
          <w:color w:val="000000" w:themeColor="text1"/>
          <w:kern w:val="2"/>
          <w:sz w:val="30"/>
          <w:szCs w:val="30"/>
          <w14:textFill>
            <w14:solidFill>
              <w14:schemeClr w14:val="tx1"/>
            </w14:solidFill>
          </w14:textFill>
        </w:rPr>
        <w:t>100</w:t>
      </w:r>
      <w:r>
        <w:rPr>
          <w:rFonts w:hint="eastAsia" w:ascii="Times New Roman" w:hAnsi="Times New Roman" w:eastAsia="仿宋_GB2312"/>
          <w:b w:val="0"/>
          <w:color w:val="000000" w:themeColor="text1"/>
          <w:kern w:val="2"/>
          <w:sz w:val="30"/>
          <w:szCs w:val="30"/>
          <w14:textFill>
            <w14:solidFill>
              <w14:schemeClr w14:val="tx1"/>
            </w14:solidFill>
          </w14:textFill>
        </w:rPr>
        <w:t>%</w:t>
      </w:r>
      <w:r>
        <w:rPr>
          <w:rFonts w:ascii="Times New Roman" w:hAnsi="Times New Roman" w:eastAsia="仿宋_GB2312"/>
          <w:b w:val="0"/>
          <w:color w:val="000000" w:themeColor="text1"/>
          <w:kern w:val="2"/>
          <w:sz w:val="30"/>
          <w:szCs w:val="30"/>
          <w14:textFill>
            <w14:solidFill>
              <w14:schemeClr w14:val="tx1"/>
            </w14:solidFill>
          </w14:textFill>
        </w:rPr>
        <w:t>。项目过程类指标权重为5分，得分为5分，得分率为 100%。项目产出类指标权重为50分，得分为</w:t>
      </w:r>
      <w:r>
        <w:rPr>
          <w:rFonts w:hint="eastAsia" w:ascii="Times New Roman" w:hAnsi="Times New Roman" w:eastAsia="仿宋_GB2312"/>
          <w:b w:val="0"/>
          <w:color w:val="000000" w:themeColor="text1"/>
          <w:kern w:val="2"/>
          <w:sz w:val="30"/>
          <w:szCs w:val="30"/>
          <w:lang w:val="en-US" w:eastAsia="zh-CN"/>
          <w14:textFill>
            <w14:solidFill>
              <w14:schemeClr w14:val="tx1"/>
            </w14:solidFill>
          </w14:textFill>
        </w:rPr>
        <w:t>38.75</w:t>
      </w:r>
      <w:r>
        <w:rPr>
          <w:rFonts w:ascii="Times New Roman" w:hAnsi="Times New Roman" w:eastAsia="仿宋_GB2312"/>
          <w:b w:val="0"/>
          <w:color w:val="000000" w:themeColor="text1"/>
          <w:kern w:val="2"/>
          <w:sz w:val="30"/>
          <w:szCs w:val="30"/>
          <w14:textFill>
            <w14:solidFill>
              <w14:schemeClr w14:val="tx1"/>
            </w14:solidFill>
          </w14:textFill>
        </w:rPr>
        <w:t>分，得分率为</w:t>
      </w:r>
      <w:r>
        <w:rPr>
          <w:rFonts w:hint="eastAsia" w:ascii="Times New Roman" w:hAnsi="Times New Roman" w:eastAsia="仿宋_GB2312"/>
          <w:b w:val="0"/>
          <w:color w:val="000000" w:themeColor="text1"/>
          <w:kern w:val="2"/>
          <w:sz w:val="30"/>
          <w:szCs w:val="30"/>
          <w:lang w:val="en-US" w:eastAsia="zh-CN"/>
          <w14:textFill>
            <w14:solidFill>
              <w14:schemeClr w14:val="tx1"/>
            </w14:solidFill>
          </w14:textFill>
        </w:rPr>
        <w:t>77.46</w:t>
      </w:r>
      <w:r>
        <w:rPr>
          <w:rFonts w:ascii="Times New Roman" w:hAnsi="Times New Roman" w:eastAsia="仿宋_GB2312"/>
          <w:b w:val="0"/>
          <w:color w:val="000000" w:themeColor="text1"/>
          <w:kern w:val="2"/>
          <w:sz w:val="30"/>
          <w:szCs w:val="30"/>
          <w14:textFill>
            <w14:solidFill>
              <w14:schemeClr w14:val="tx1"/>
            </w14:solidFill>
          </w14:textFill>
        </w:rPr>
        <w:t>%。项目效益类指标权重为40分，得分为</w:t>
      </w:r>
      <w:r>
        <w:rPr>
          <w:rFonts w:hint="eastAsia" w:ascii="Times New Roman" w:hAnsi="Times New Roman" w:eastAsia="仿宋_GB2312"/>
          <w:b w:val="0"/>
          <w:color w:val="000000" w:themeColor="text1"/>
          <w:kern w:val="2"/>
          <w:sz w:val="30"/>
          <w:szCs w:val="30"/>
          <w:lang w:val="en-US" w:eastAsia="zh-CN"/>
          <w14:textFill>
            <w14:solidFill>
              <w14:schemeClr w14:val="tx1"/>
            </w14:solidFill>
          </w14:textFill>
        </w:rPr>
        <w:t>40</w:t>
      </w:r>
      <w:r>
        <w:rPr>
          <w:rFonts w:ascii="Times New Roman" w:hAnsi="Times New Roman" w:eastAsia="仿宋_GB2312"/>
          <w:b w:val="0"/>
          <w:color w:val="000000" w:themeColor="text1"/>
          <w:kern w:val="2"/>
          <w:sz w:val="30"/>
          <w:szCs w:val="30"/>
          <w14:textFill>
            <w14:solidFill>
              <w14:schemeClr w14:val="tx1"/>
            </w14:solidFill>
          </w14:textFill>
        </w:rPr>
        <w:t>分，得分率为</w:t>
      </w:r>
      <w:r>
        <w:rPr>
          <w:rFonts w:hint="eastAsia" w:ascii="Times New Roman" w:hAnsi="Times New Roman" w:eastAsia="仿宋_GB2312"/>
          <w:b w:val="0"/>
          <w:color w:val="000000" w:themeColor="text1"/>
          <w:kern w:val="2"/>
          <w:sz w:val="30"/>
          <w:szCs w:val="30"/>
          <w:lang w:val="en-US" w:eastAsia="zh-CN"/>
          <w14:textFill>
            <w14:solidFill>
              <w14:schemeClr w14:val="tx1"/>
            </w14:solidFill>
          </w14:textFill>
        </w:rPr>
        <w:t>100</w:t>
      </w:r>
      <w:r>
        <w:rPr>
          <w:rFonts w:ascii="Times New Roman" w:hAnsi="Times New Roman" w:eastAsia="仿宋_GB2312"/>
          <w:b w:val="0"/>
          <w:color w:val="000000" w:themeColor="text1"/>
          <w:kern w:val="2"/>
          <w:sz w:val="30"/>
          <w:szCs w:val="30"/>
          <w14:textFill>
            <w14:solidFill>
              <w14:schemeClr w14:val="tx1"/>
            </w14:solidFill>
          </w14:textFill>
        </w:rPr>
        <w:t>%。</w:t>
      </w:r>
    </w:p>
    <w:p>
      <w:pPr>
        <w:pStyle w:val="4"/>
        <w:keepNext w:val="0"/>
        <w:keepLines w:val="0"/>
        <w:pageBreakBefore w:val="0"/>
        <w:kinsoku/>
        <w:wordWrap/>
        <w:overflowPunct/>
        <w:topLinePunct w:val="0"/>
        <w:autoSpaceDE/>
        <w:autoSpaceDN/>
        <w:bidi w:val="0"/>
        <w:adjustRightInd/>
        <w:spacing w:line="460" w:lineRule="exact"/>
        <w:ind w:firstLine="602" w:firstLineChars="20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6"/>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kern w:val="0"/>
                <w:sz w:val="22"/>
                <w:szCs w:val="22"/>
              </w:rPr>
              <w:t>5分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kern w:val="0"/>
                <w:sz w:val="22"/>
                <w:szCs w:val="22"/>
              </w:rPr>
              <w:t>5分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kern w:val="0"/>
                <w:sz w:val="22"/>
                <w:szCs w:val="22"/>
              </w:rPr>
              <w:t>50分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75</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75</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rFonts w:hint="default" w:eastAsia="仿宋_GB2312"/>
                <w:color w:val="000000"/>
                <w:kern w:val="0"/>
                <w:sz w:val="22"/>
                <w:szCs w:val="22"/>
                <w:lang w:val="en-US" w:eastAsia="zh-CN"/>
              </w:rPr>
            </w:pPr>
            <w:r>
              <w:rPr>
                <w:rFonts w:hint="eastAsia"/>
                <w:color w:val="000000"/>
                <w:kern w:val="0"/>
                <w:sz w:val="22"/>
                <w:szCs w:val="22"/>
                <w:lang w:val="en-US" w:eastAsia="zh-CN"/>
              </w:rPr>
              <w:t>11.25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40分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30</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960"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≥9</w:t>
            </w:r>
            <w:r>
              <w:rPr>
                <w:rFonts w:hint="eastAsia"/>
                <w:color w:val="000000"/>
                <w:kern w:val="0"/>
                <w:sz w:val="22"/>
                <w:szCs w:val="22"/>
                <w:lang w:val="en-US" w:eastAsia="zh-CN"/>
              </w:rPr>
              <w:t>0</w:t>
            </w:r>
            <w:r>
              <w:rPr>
                <w:color w:val="000000"/>
                <w:kern w:val="0"/>
                <w:sz w:val="22"/>
                <w:szCs w:val="22"/>
              </w:rPr>
              <w:t>%</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9</w:t>
            </w:r>
            <w:r>
              <w:rPr>
                <w:rFonts w:hint="eastAsia"/>
                <w:color w:val="000000"/>
                <w:kern w:val="0"/>
                <w:sz w:val="22"/>
                <w:szCs w:val="22"/>
                <w:lang w:val="en-US" w:eastAsia="zh-CN"/>
              </w:rPr>
              <w:t>9</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bl>
    <w:p/>
    <w:p>
      <w:pPr>
        <w:keepNext w:val="0"/>
        <w:keepLines w:val="0"/>
        <w:pageBreakBefore w:val="0"/>
        <w:kinsoku/>
        <w:wordWrap/>
        <w:overflowPunct/>
        <w:topLinePunct w:val="0"/>
        <w:autoSpaceDE/>
        <w:autoSpaceDN/>
        <w:bidi w:val="0"/>
        <w:adjustRightInd/>
        <w:spacing w:line="460" w:lineRule="exact"/>
        <w:ind w:firstLine="600" w:firstLineChars="200"/>
        <w:textAlignment w:val="auto"/>
      </w:pPr>
    </w:p>
    <w:p>
      <w:pPr>
        <w:pStyle w:val="4"/>
        <w:keepNext w:val="0"/>
        <w:keepLines w:val="0"/>
        <w:pageBreakBefore w:val="0"/>
        <w:numPr>
          <w:ilvl w:val="0"/>
          <w:numId w:val="0"/>
        </w:numPr>
        <w:kinsoku/>
        <w:wordWrap/>
        <w:overflowPunct/>
        <w:topLinePunct w:val="0"/>
        <w:autoSpaceDE/>
        <w:autoSpaceDN/>
        <w:bidi w:val="0"/>
        <w:adjustRightInd/>
        <w:spacing w:line="460" w:lineRule="exact"/>
        <w:ind w:firstLine="643" w:firstLineChars="200"/>
        <w:jc w:val="both"/>
        <w:textAlignment w:val="auto"/>
      </w:pP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黑体" w:hAnsi="黑体" w:eastAsia="黑体"/>
        </w:rPr>
      </w:pP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黑体" w:hAnsi="黑体" w:eastAsia="黑体"/>
        </w:rPr>
      </w:pPr>
      <w:r>
        <w:rPr>
          <w:rFonts w:hint="eastAsia" w:ascii="黑体" w:hAnsi="黑体" w:eastAsia="黑体"/>
        </w:rPr>
        <w:t>四、绩效评价指标分析</w:t>
      </w:r>
    </w:p>
    <w:p>
      <w:pPr>
        <w:pStyle w:val="4"/>
        <w:keepNext w:val="0"/>
        <w:keepLines w:val="0"/>
        <w:pageBreakBefore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（一）项目决策情况</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项目立项符合法律法规、相关政策及部门职责，能反映和考核项目立项依据情况</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项目申请、设立过程符合相关要求，能反映和考核项目立项的规范情况</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所设定的绩效目标依据充分，符合客观实际，能反映和考核项目绩效目标与项目实施的相符情况</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依据绩效目标设定的绩效指标清晰、细化、可衡量，能反映和考核项目绩效目标的明细化情况</w:t>
      </w:r>
      <w:r>
        <w:rPr>
          <w:rFonts w:hint="eastAsia" w:ascii="仿宋_GB2312" w:hAnsi="仿宋_GB2312" w:eastAsia="仿宋_GB2312" w:cs="仿宋_GB2312"/>
          <w:sz w:val="30"/>
          <w:szCs w:val="30"/>
          <w:lang w:eastAsia="zh-CN"/>
        </w:rPr>
        <w:t>。</w:t>
      </w:r>
    </w:p>
    <w:p>
      <w:pPr>
        <w:pStyle w:val="5"/>
        <w:keepNext w:val="0"/>
        <w:keepLines w:val="0"/>
        <w:pageBreakBefore w:val="0"/>
        <w:numPr>
          <w:ilvl w:val="0"/>
          <w:numId w:val="7"/>
        </w:numPr>
        <w:kinsoku/>
        <w:wordWrap/>
        <w:overflowPunct/>
        <w:topLinePunct w:val="0"/>
        <w:autoSpaceDE/>
        <w:autoSpaceDN/>
        <w:bidi w:val="0"/>
        <w:adjustRightInd/>
        <w:snapToGrid/>
        <w:spacing w:line="46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项目过程情况</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600" w:firstLineChars="200"/>
        <w:textAlignment w:val="auto"/>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sz w:val="30"/>
          <w:szCs w:val="30"/>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5"/>
        <w:keepNext w:val="0"/>
        <w:keepLines w:val="0"/>
        <w:pageBreakBefore w:val="0"/>
        <w:numPr>
          <w:ilvl w:val="0"/>
          <w:numId w:val="7"/>
        </w:numPr>
        <w:kinsoku/>
        <w:wordWrap/>
        <w:overflowPunct/>
        <w:topLinePunct w:val="0"/>
        <w:autoSpaceDE/>
        <w:autoSpaceDN/>
        <w:bidi w:val="0"/>
        <w:adjustRightInd/>
        <w:snapToGrid/>
        <w:spacing w:line="46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项目产出</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600" w:firstLineChars="200"/>
        <w:textAlignment w:val="auto"/>
        <w:outlineLvl w:val="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数量指标方面：</w:t>
      </w:r>
      <w:r>
        <w:rPr>
          <w:rFonts w:hint="eastAsia" w:ascii="仿宋_GB2312" w:hAnsi="仿宋_GB2312" w:eastAsia="仿宋_GB2312" w:cs="仿宋_GB2312"/>
          <w:sz w:val="30"/>
          <w:szCs w:val="30"/>
          <w:lang w:val="en-US" w:eastAsia="zh-CN"/>
        </w:rPr>
        <w:t>完成一门就业创业在线课程建设；</w:t>
      </w:r>
      <w:r>
        <w:rPr>
          <w:rFonts w:hint="eastAsia" w:ascii="仿宋_GB2312" w:hAnsi="仿宋_GB2312" w:cs="仿宋_GB2312"/>
          <w:sz w:val="30"/>
          <w:szCs w:val="30"/>
          <w:lang w:val="en-US" w:eastAsia="zh-CN"/>
        </w:rPr>
        <w:t>开展</w:t>
      </w:r>
      <w:r>
        <w:rPr>
          <w:rFonts w:hint="eastAsia" w:ascii="仿宋_GB2312" w:hAnsi="仿宋_GB2312" w:eastAsia="仿宋_GB2312" w:cs="仿宋_GB2312"/>
          <w:sz w:val="30"/>
          <w:szCs w:val="30"/>
          <w:lang w:val="en-US" w:eastAsia="zh-CN"/>
        </w:rPr>
        <w:t>“宏志助航计划”系列活动服务学生</w:t>
      </w:r>
      <w:r>
        <w:rPr>
          <w:rFonts w:hint="eastAsia" w:ascii="仿宋_GB2312" w:hAnsi="仿宋_GB2312" w:cs="仿宋_GB2312"/>
          <w:sz w:val="30"/>
          <w:szCs w:val="30"/>
          <w:lang w:val="en-US" w:eastAsia="zh-CN"/>
        </w:rPr>
        <w:t>5场；立项</w:t>
      </w:r>
      <w:r>
        <w:rPr>
          <w:rFonts w:hint="eastAsia" w:ascii="仿宋_GB2312" w:hAnsi="仿宋_GB2312" w:eastAsia="仿宋_GB2312" w:cs="仿宋_GB2312"/>
          <w:sz w:val="30"/>
          <w:szCs w:val="30"/>
          <w:lang w:val="en-US" w:eastAsia="zh-CN"/>
        </w:rPr>
        <w:t>就业创业项目</w:t>
      </w:r>
      <w:r>
        <w:rPr>
          <w:rFonts w:hint="eastAsia" w:ascii="仿宋_GB2312" w:hAnsi="仿宋_GB2312" w:cs="仿宋_GB2312"/>
          <w:sz w:val="30"/>
          <w:szCs w:val="30"/>
          <w:lang w:val="en-US" w:eastAsia="zh-CN"/>
        </w:rPr>
        <w:t>10项；</w:t>
      </w:r>
      <w:r>
        <w:rPr>
          <w:rFonts w:hint="eastAsia" w:ascii="仿宋_GB2312" w:hAnsi="仿宋_GB2312" w:eastAsia="仿宋_GB2312" w:cs="仿宋_GB2312"/>
          <w:sz w:val="30"/>
          <w:szCs w:val="30"/>
          <w:lang w:val="en-US" w:eastAsia="zh-CN"/>
        </w:rPr>
        <w:t>续费北森生涯测评平台</w:t>
      </w:r>
      <w:r>
        <w:rPr>
          <w:rFonts w:hint="eastAsia" w:ascii="仿宋_GB2312" w:hAnsi="仿宋_GB2312" w:cs="仿宋_GB2312"/>
          <w:sz w:val="30"/>
          <w:szCs w:val="30"/>
          <w:lang w:val="en-US" w:eastAsia="zh-CN"/>
        </w:rPr>
        <w:t>一年</w:t>
      </w:r>
      <w:r>
        <w:rPr>
          <w:rFonts w:hint="eastAsia" w:ascii="仿宋_GB2312" w:hAnsi="仿宋_GB2312" w:eastAsia="仿宋_GB2312" w:cs="仿宋_GB2312"/>
          <w:sz w:val="30"/>
          <w:szCs w:val="30"/>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600" w:firstLineChars="200"/>
        <w:textAlignment w:val="auto"/>
        <w:outlineLvl w:val="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质量指标方面：在线课程建设按时完成</w:t>
      </w:r>
      <w:r>
        <w:rPr>
          <w:rFonts w:hint="eastAsia" w:ascii="仿宋_GB2312" w:hAnsi="仿宋_GB2312" w:cs="仿宋_GB2312"/>
          <w:sz w:val="30"/>
          <w:szCs w:val="30"/>
          <w:lang w:val="en-US" w:eastAsia="zh-CN"/>
        </w:rPr>
        <w:t>；</w:t>
      </w:r>
      <w:r>
        <w:rPr>
          <w:rFonts w:hint="eastAsia" w:ascii="仿宋_GB2312" w:hAnsi="仿宋_GB2312" w:eastAsia="仿宋_GB2312" w:cs="仿宋_GB2312"/>
          <w:sz w:val="30"/>
          <w:szCs w:val="30"/>
          <w:lang w:val="en-US" w:eastAsia="zh-CN"/>
        </w:rPr>
        <w:t>服务活动参加人数</w:t>
      </w:r>
      <w:r>
        <w:rPr>
          <w:rFonts w:hint="eastAsia" w:ascii="仿宋_GB2312" w:hAnsi="仿宋_GB2312" w:cs="仿宋_GB2312"/>
          <w:sz w:val="30"/>
          <w:szCs w:val="30"/>
          <w:lang w:val="en-US" w:eastAsia="zh-CN"/>
        </w:rPr>
        <w:t>超过1000人次；</w:t>
      </w:r>
      <w:r>
        <w:rPr>
          <w:rFonts w:hint="eastAsia" w:ascii="仿宋_GB2312" w:hAnsi="仿宋_GB2312" w:eastAsia="仿宋_GB2312" w:cs="仿宋_GB2312"/>
          <w:sz w:val="30"/>
          <w:szCs w:val="30"/>
          <w:lang w:val="en-US" w:eastAsia="zh-CN"/>
        </w:rPr>
        <w:t>北森生涯测评平台</w:t>
      </w:r>
      <w:r>
        <w:rPr>
          <w:rFonts w:hint="eastAsia" w:ascii="仿宋_GB2312" w:hAnsi="仿宋_GB2312" w:cs="仿宋_GB2312"/>
          <w:sz w:val="30"/>
          <w:szCs w:val="30"/>
          <w:lang w:val="en-US" w:eastAsia="zh-CN"/>
        </w:rPr>
        <w:t>人数达8695人次。</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600" w:firstLineChars="200"/>
        <w:textAlignment w:val="auto"/>
        <w:outlineLvl w:val="0"/>
        <w:rPr>
          <w:rStyle w:val="9"/>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sz w:val="30"/>
          <w:szCs w:val="30"/>
          <w:lang w:val="en-US" w:eastAsia="zh-CN"/>
        </w:rPr>
        <w:t>时效指标方面：就业创业项目任务完成度</w:t>
      </w:r>
      <w:r>
        <w:rPr>
          <w:rFonts w:hint="eastAsia" w:ascii="仿宋_GB2312" w:hAnsi="仿宋_GB2312" w:cs="仿宋_GB2312"/>
          <w:sz w:val="30"/>
          <w:szCs w:val="30"/>
          <w:lang w:val="en-US" w:eastAsia="zh-CN"/>
        </w:rPr>
        <w:t>100%</w:t>
      </w:r>
      <w:r>
        <w:rPr>
          <w:rFonts w:hint="eastAsia" w:ascii="仿宋_GB2312" w:hAnsi="仿宋_GB2312" w:eastAsia="仿宋_GB2312" w:cs="仿宋_GB2312"/>
          <w:sz w:val="30"/>
          <w:szCs w:val="30"/>
          <w:lang w:val="en-US" w:eastAsia="zh-CN"/>
        </w:rPr>
        <w:t>，活动服务</w:t>
      </w:r>
      <w:r>
        <w:rPr>
          <w:rFonts w:hint="eastAsia" w:ascii="仿宋_GB2312" w:hAnsi="仿宋_GB2312" w:cs="仿宋_GB2312"/>
          <w:sz w:val="30"/>
          <w:szCs w:val="30"/>
          <w:lang w:val="en-US" w:eastAsia="zh-CN"/>
        </w:rPr>
        <w:t>对培训学生全覆盖，服务</w:t>
      </w:r>
      <w:r>
        <w:rPr>
          <w:rFonts w:hint="eastAsia" w:ascii="仿宋_GB2312" w:hAnsi="仿宋_GB2312" w:eastAsia="仿宋_GB2312" w:cs="仿宋_GB2312"/>
          <w:sz w:val="30"/>
          <w:szCs w:val="30"/>
          <w:lang w:val="en-US" w:eastAsia="zh-CN"/>
        </w:rPr>
        <w:t>率</w:t>
      </w:r>
      <w:r>
        <w:rPr>
          <w:rFonts w:hint="eastAsia" w:ascii="仿宋_GB2312" w:hAnsi="仿宋_GB2312" w:cs="仿宋_GB2312"/>
          <w:sz w:val="30"/>
          <w:szCs w:val="30"/>
          <w:lang w:val="en-US" w:eastAsia="zh-CN"/>
        </w:rPr>
        <w:t>100%。</w:t>
      </w:r>
    </w:p>
    <w:p>
      <w:pPr>
        <w:pStyle w:val="5"/>
        <w:keepNext w:val="0"/>
        <w:keepLines w:val="0"/>
        <w:pageBreakBefore w:val="0"/>
        <w:numPr>
          <w:ilvl w:val="0"/>
          <w:numId w:val="7"/>
        </w:numPr>
        <w:kinsoku/>
        <w:wordWrap/>
        <w:overflowPunct/>
        <w:topLinePunct w:val="0"/>
        <w:autoSpaceDE/>
        <w:autoSpaceDN/>
        <w:bidi w:val="0"/>
        <w:adjustRightInd/>
        <w:snapToGrid/>
        <w:spacing w:line="46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效益情况</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sz w:val="30"/>
          <w:szCs w:val="30"/>
        </w:rPr>
      </w:pPr>
      <w:r>
        <w:rPr>
          <w:rStyle w:val="9"/>
          <w:rFonts w:hint="eastAsia" w:ascii="仿宋_GB2312" w:hAnsi="仿宋_GB2312" w:eastAsia="仿宋_GB2312" w:cs="仿宋_GB2312"/>
          <w:color w:val="auto"/>
          <w:sz w:val="30"/>
          <w:szCs w:val="30"/>
        </w:rPr>
        <w:t>经济效益指标方面：</w:t>
      </w:r>
      <w:r>
        <w:rPr>
          <w:rStyle w:val="9"/>
          <w:rFonts w:hint="eastAsia" w:ascii="仿宋_GB2312" w:hAnsi="仿宋_GB2312" w:eastAsia="仿宋_GB2312" w:cs="仿宋_GB2312"/>
          <w:color w:val="auto"/>
          <w:sz w:val="30"/>
          <w:szCs w:val="30"/>
          <w:lang w:eastAsia="zh-CN"/>
        </w:rPr>
        <w:t>为</w:t>
      </w:r>
      <w:r>
        <w:rPr>
          <w:rStyle w:val="9"/>
          <w:rFonts w:hint="eastAsia" w:ascii="仿宋_GB2312" w:hAnsi="仿宋_GB2312" w:eastAsia="仿宋_GB2312" w:cs="仿宋_GB2312"/>
          <w:color w:val="auto"/>
          <w:sz w:val="30"/>
          <w:szCs w:val="30"/>
          <w:lang w:val="en-US" w:eastAsia="zh-CN"/>
        </w:rPr>
        <w:t>帮扶学生提升就业能力</w:t>
      </w:r>
      <w:r>
        <w:rPr>
          <w:rStyle w:val="9"/>
          <w:rFonts w:hint="eastAsia" w:ascii="仿宋_GB2312" w:hAnsi="仿宋_GB2312" w:eastAsia="仿宋_GB2312" w:cs="仿宋_GB2312"/>
          <w:color w:val="auto"/>
          <w:sz w:val="30"/>
          <w:szCs w:val="30"/>
          <w:lang w:eastAsia="zh-CN"/>
        </w:rPr>
        <w:t>而设立，未产生经济效益。</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outlineLvl w:val="0"/>
        <w:rPr>
          <w:rFonts w:hint="eastAsia" w:ascii="仿宋_GB2312" w:hAnsi="仿宋_GB2312" w:eastAsia="仿宋_GB2312" w:cs="仿宋_GB2312"/>
          <w:sz w:val="30"/>
          <w:szCs w:val="30"/>
          <w:lang w:eastAsia="zh-CN"/>
        </w:rPr>
      </w:pPr>
      <w:r>
        <w:rPr>
          <w:rStyle w:val="9"/>
          <w:rFonts w:hint="eastAsia" w:ascii="仿宋_GB2312" w:hAnsi="仿宋_GB2312" w:eastAsia="仿宋_GB2312" w:cs="仿宋_GB2312"/>
          <w:color w:val="auto"/>
          <w:sz w:val="30"/>
          <w:szCs w:val="30"/>
        </w:rPr>
        <w:t>社会效益指标方面：</w:t>
      </w:r>
      <w:r>
        <w:rPr>
          <w:rFonts w:hint="eastAsia" w:ascii="仿宋_GB2312" w:hAnsi="仿宋_GB2312" w:eastAsia="仿宋_GB2312" w:cs="仿宋_GB2312"/>
          <w:sz w:val="30"/>
          <w:szCs w:val="30"/>
        </w:rPr>
        <w:t>提升参训学员求职就业能力</w:t>
      </w:r>
      <w:r>
        <w:rPr>
          <w:rFonts w:hint="eastAsia" w:ascii="仿宋_GB2312" w:hAnsi="仿宋_GB2312" w:eastAsia="仿宋_GB2312" w:cs="仿宋_GB2312"/>
          <w:sz w:val="30"/>
          <w:szCs w:val="30"/>
          <w:lang w:eastAsia="zh-CN"/>
        </w:rPr>
        <w:t>。</w:t>
      </w:r>
    </w:p>
    <w:p>
      <w:pPr>
        <w:keepNext w:val="0"/>
        <w:keepLines w:val="0"/>
        <w:pageBreakBefore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b/>
          <w:bCs/>
          <w:sz w:val="30"/>
          <w:szCs w:val="30"/>
        </w:rPr>
      </w:pPr>
      <w:r>
        <w:rPr>
          <w:rStyle w:val="9"/>
          <w:rFonts w:hint="eastAsia" w:ascii="仿宋_GB2312" w:hAnsi="仿宋_GB2312" w:eastAsia="仿宋_GB2312" w:cs="仿宋_GB2312"/>
          <w:color w:val="auto"/>
          <w:sz w:val="30"/>
          <w:szCs w:val="30"/>
        </w:rPr>
        <w:t>满意度指标方面：</w:t>
      </w:r>
      <w:r>
        <w:rPr>
          <w:rStyle w:val="9"/>
          <w:rFonts w:hint="eastAsia" w:ascii="仿宋_GB2312" w:hAnsi="仿宋_GB2312" w:eastAsia="仿宋_GB2312" w:cs="仿宋_GB2312"/>
          <w:color w:val="auto"/>
          <w:sz w:val="30"/>
          <w:szCs w:val="30"/>
          <w:lang w:val="en-US" w:eastAsia="zh-CN"/>
        </w:rPr>
        <w:t>参训学员</w:t>
      </w:r>
      <w:r>
        <w:rPr>
          <w:rStyle w:val="9"/>
          <w:rFonts w:hint="eastAsia" w:ascii="仿宋_GB2312" w:hAnsi="仿宋_GB2312" w:eastAsia="仿宋_GB2312" w:cs="仿宋_GB2312"/>
          <w:color w:val="auto"/>
          <w:sz w:val="30"/>
          <w:szCs w:val="30"/>
          <w:lang w:eastAsia="zh-CN"/>
        </w:rPr>
        <w:t>满意度</w:t>
      </w:r>
      <w:r>
        <w:rPr>
          <w:rStyle w:val="9"/>
          <w:rFonts w:hint="eastAsia" w:ascii="仿宋_GB2312" w:hAnsi="仿宋_GB2312" w:eastAsia="仿宋_GB2312" w:cs="仿宋_GB2312"/>
          <w:color w:val="auto"/>
          <w:sz w:val="30"/>
          <w:szCs w:val="30"/>
          <w:lang w:val="en-US" w:eastAsia="zh-CN"/>
        </w:rPr>
        <w:t>9</w:t>
      </w:r>
      <w:r>
        <w:rPr>
          <w:rStyle w:val="9"/>
          <w:rFonts w:hint="eastAsia" w:ascii="仿宋_GB2312" w:hAnsi="仿宋_GB2312" w:cs="仿宋_GB2312"/>
          <w:color w:val="auto"/>
          <w:sz w:val="30"/>
          <w:szCs w:val="30"/>
          <w:lang w:val="en-US" w:eastAsia="zh-CN"/>
        </w:rPr>
        <w:t>0</w:t>
      </w:r>
      <w:r>
        <w:rPr>
          <w:rStyle w:val="9"/>
          <w:rFonts w:hint="eastAsia" w:ascii="仿宋_GB2312" w:hAnsi="仿宋_GB2312" w:eastAsia="仿宋_GB2312" w:cs="仿宋_GB2312"/>
          <w:color w:val="auto"/>
          <w:sz w:val="30"/>
          <w:szCs w:val="30"/>
          <w:lang w:val="en-US" w:eastAsia="zh-CN"/>
        </w:rPr>
        <w:t>%。</w:t>
      </w:r>
    </w:p>
    <w:p>
      <w:pPr>
        <w:keepNext w:val="0"/>
        <w:keepLines w:val="0"/>
        <w:pageBreakBefore w:val="0"/>
        <w:numPr>
          <w:ilvl w:val="0"/>
          <w:numId w:val="0"/>
        </w:numPr>
        <w:kinsoku/>
        <w:wordWrap/>
        <w:overflowPunct/>
        <w:topLinePunct w:val="0"/>
        <w:autoSpaceDE/>
        <w:autoSpaceDN/>
        <w:bidi w:val="0"/>
        <w:adjustRightInd/>
        <w:spacing w:line="460" w:lineRule="exact"/>
        <w:ind w:leftChars="200"/>
        <w:textAlignment w:val="auto"/>
        <w:rPr>
          <w:rFonts w:hint="eastAsia" w:ascii="黑体" w:hAnsi="黑体" w:eastAsia="黑体"/>
        </w:rPr>
      </w:pPr>
      <w:r>
        <w:rPr>
          <w:rFonts w:hint="eastAsia" w:ascii="黑体" w:hAnsi="黑体" w:eastAsia="黑体"/>
          <w:lang w:val="en-US" w:eastAsia="zh-CN"/>
        </w:rPr>
        <w:t>五、</w:t>
      </w:r>
      <w:r>
        <w:rPr>
          <w:rFonts w:hint="eastAsia" w:ascii="黑体" w:hAnsi="黑体" w:eastAsia="黑体"/>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sz w:val="30"/>
          <w:szCs w:val="30"/>
          <w:lang w:val="en-US" w:eastAsia="zh-CN"/>
        </w:rPr>
      </w:pPr>
      <w:r>
        <w:rPr>
          <w:rFonts w:hint="eastAsia" w:ascii="仿宋_GB2312" w:hAnsi="仿宋_GB2312" w:cs="仿宋_GB2312"/>
          <w:b/>
          <w:bCs/>
          <w:sz w:val="30"/>
          <w:szCs w:val="30"/>
          <w:lang w:val="en-US" w:eastAsia="zh-CN"/>
        </w:rPr>
        <w:t>（一）</w:t>
      </w:r>
      <w:r>
        <w:rPr>
          <w:rFonts w:hint="eastAsia" w:ascii="仿宋_GB2312" w:hAnsi="仿宋_GB2312" w:eastAsia="仿宋_GB2312" w:cs="仿宋_GB2312"/>
          <w:b/>
          <w:bCs/>
          <w:sz w:val="30"/>
          <w:szCs w:val="30"/>
          <w:lang w:val="en-US" w:eastAsia="zh-CN"/>
        </w:rPr>
        <w:t>典型经验做法</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为积极响应教育部关于“中央专项彩票公益金宏志助航计划”的号召，全面贯彻落实全国高校毕业生就业帮扶政策，我校高度重视，精心组织，构建了以“培训-见习-求职”为核心的一系列就业帮扶机制，旨在全方位提升毕业生就业能力和竞争力，确保毕业生顺利实现高质量就业。</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1.联合开展培训，拓宽培训覆盖面</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为有效提升毕业生就业能力，我校联合昌吉学院、昌吉职业技术学院，共同组织开展了多专业覆盖的培训活动。培训覆盖了两所高校有培训需求的重点群体高校毕业生，确保了培训资源的充分利用和共享。同时，两所高校均设立了培训负责人，负责培训工作的沟通与协调，确保了培训活动的有序、高效开展。</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2.</w:t>
      </w:r>
      <w:r>
        <w:rPr>
          <w:rFonts w:hint="eastAsia" w:ascii="仿宋_GB2312" w:hAnsi="仿宋_GB2312" w:eastAsia="仿宋_GB2312" w:cs="仿宋_GB2312"/>
          <w:b/>
          <w:bCs/>
          <w:color w:val="auto"/>
          <w:sz w:val="30"/>
          <w:szCs w:val="30"/>
          <w:lang w:val="en-US" w:eastAsia="zh-CN"/>
        </w:rPr>
        <w:t>创新教学方式，提升就业能力</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在培训过程中，注重创新教学方式，采取小组体验式教学法，通过团队任务、小组活动、案例研讨等形式，引导毕业生发掘自身优势，明确就业目标，建立求职网络。同时，还注重提升毕业生的书面沟通和直接沟通能力，做好求职过程管理，为毕业生顺利就业奠定了坚实基础。</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3.</w:t>
      </w:r>
      <w:r>
        <w:rPr>
          <w:rFonts w:hint="eastAsia" w:ascii="仿宋_GB2312" w:hAnsi="仿宋_GB2312" w:eastAsia="仿宋_GB2312" w:cs="仿宋_GB2312"/>
          <w:b/>
          <w:bCs/>
          <w:color w:val="auto"/>
          <w:sz w:val="30"/>
          <w:szCs w:val="30"/>
          <w:lang w:val="en-US" w:eastAsia="zh-CN"/>
        </w:rPr>
        <w:t>推进就业见习，搭建交流平台</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为增强毕业生的实践经验和综合素质，与昌吉市多家企业合作，带领参训学员开展“企业走访”活动。通过现场企业岗位介绍、企业文化宣传、见习基地观摩等内容，为企业和毕业生搭建了面对面的沟通交流平台。这一举措不仅帮助毕业生增长了实践经验，提升了就业能力，还发挥了就业见习在稳定就业方面的积极作用。</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4.</w:t>
      </w:r>
      <w:r>
        <w:rPr>
          <w:rFonts w:hint="eastAsia" w:ascii="仿宋_GB2312" w:hAnsi="仿宋_GB2312" w:eastAsia="仿宋_GB2312" w:cs="仿宋_GB2312"/>
          <w:b/>
          <w:bCs/>
          <w:color w:val="auto"/>
          <w:sz w:val="30"/>
          <w:szCs w:val="30"/>
          <w:lang w:val="en-US" w:eastAsia="zh-CN"/>
        </w:rPr>
        <w:t>助力精准就业，拓宽就业渠道</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为助力毕业生精准就业，我们举办了</w:t>
      </w:r>
      <w:r>
        <w:rPr>
          <w:rFonts w:hint="eastAsia" w:ascii="仿宋_GB2312" w:hAnsi="仿宋_GB2312" w:cs="仿宋_GB2312"/>
          <w:color w:val="auto"/>
          <w:sz w:val="30"/>
          <w:szCs w:val="30"/>
          <w:lang w:val="en-US" w:eastAsia="zh-CN"/>
        </w:rPr>
        <w:t>5</w:t>
      </w:r>
      <w:r>
        <w:rPr>
          <w:rFonts w:hint="eastAsia" w:ascii="仿宋_GB2312" w:hAnsi="仿宋_GB2312" w:eastAsia="仿宋_GB2312" w:cs="仿宋_GB2312"/>
          <w:color w:val="auto"/>
          <w:sz w:val="30"/>
          <w:szCs w:val="30"/>
          <w:lang w:val="en-US" w:eastAsia="zh-CN"/>
        </w:rPr>
        <w:t>场“宏志助航计划”线下专场招聘会，</w:t>
      </w:r>
      <w:r>
        <w:rPr>
          <w:rFonts w:hint="eastAsia" w:ascii="仿宋_GB2312" w:hAnsi="仿宋_GB2312" w:eastAsia="仿宋_GB2312" w:cs="仿宋_GB2312"/>
          <w:color w:val="222222"/>
          <w:sz w:val="30"/>
          <w:szCs w:val="30"/>
          <w:shd w:val="clear" w:color="auto" w:fill="FFFFFF"/>
          <w:lang w:val="en-US" w:eastAsia="zh-CN"/>
        </w:rPr>
        <w:t>与295家企业合作，为学生提供3494工作岗位，</w:t>
      </w:r>
      <w:r>
        <w:rPr>
          <w:rFonts w:hint="eastAsia" w:ascii="仿宋_GB2312" w:hAnsi="仿宋_GB2312" w:eastAsia="仿宋_GB2312" w:cs="仿宋_GB2312"/>
          <w:color w:val="auto"/>
          <w:sz w:val="30"/>
          <w:szCs w:val="30"/>
          <w:lang w:val="en-US" w:eastAsia="zh-CN"/>
        </w:rPr>
        <w:t>同时，还积极开展“访企拓岗”促就业专项行动，通过走访企业、开展就业促进周活动等方式，挖掘岗位资源，千方百计拓宽毕业生就业渠道。</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5.</w:t>
      </w:r>
      <w:r>
        <w:rPr>
          <w:rFonts w:hint="eastAsia" w:ascii="仿宋_GB2312" w:hAnsi="仿宋_GB2312" w:eastAsia="仿宋_GB2312" w:cs="仿宋_GB2312"/>
          <w:b/>
          <w:bCs/>
          <w:color w:val="auto"/>
          <w:sz w:val="30"/>
          <w:szCs w:val="30"/>
          <w:lang w:val="en-US" w:eastAsia="zh-CN"/>
        </w:rPr>
        <w:t>创新培训内容，提升实践能力</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在培训课程设置上，注重创新，除了参照全国就业中心设计的课程体系外，还根据实际和学生需求，增加了特色主题内容。特别是加入了8课时的面试实践和企业行业专家讲座、参观等活动，引导大学生将理论知识转化为实践能力，切实提升了他们的就业能力水平。</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6.</w:t>
      </w:r>
      <w:r>
        <w:rPr>
          <w:rFonts w:hint="eastAsia" w:ascii="仿宋_GB2312" w:hAnsi="仿宋_GB2312" w:eastAsia="仿宋_GB2312" w:cs="仿宋_GB2312"/>
          <w:b/>
          <w:bCs/>
          <w:color w:val="auto"/>
          <w:sz w:val="30"/>
          <w:szCs w:val="30"/>
          <w:lang w:val="en-US" w:eastAsia="zh-CN"/>
        </w:rPr>
        <w:t>持续助力求职，提供精准帮扶</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为确保毕业生顺利求职，我们采取了多项措施。一是建立培训学员联络群，及时跟踪学员实习就业情况，为他们提供精准就业帮扶。二是开通就业咨询通道，为学生提供简历撰写指导以及就业择业、创新创业求职咨询服务。这些举措有效缓解了毕业生的求职压力，提升了他们的求职成功率。</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sz w:val="30"/>
          <w:szCs w:val="30"/>
          <w:lang w:val="en-US" w:eastAsia="zh-CN"/>
        </w:rPr>
      </w:pPr>
      <w:r>
        <w:rPr>
          <w:rFonts w:hint="eastAsia" w:ascii="仿宋_GB2312" w:hAnsi="仿宋_GB2312" w:cs="仿宋_GB2312"/>
          <w:b/>
          <w:bCs/>
          <w:sz w:val="30"/>
          <w:szCs w:val="30"/>
          <w:lang w:val="en-US" w:eastAsia="zh-CN"/>
        </w:rPr>
        <w:t>（二）、</w:t>
      </w:r>
      <w:r>
        <w:rPr>
          <w:rFonts w:hint="eastAsia" w:ascii="仿宋_GB2312" w:hAnsi="仿宋_GB2312" w:eastAsia="仿宋_GB2312" w:cs="仿宋_GB2312"/>
          <w:b/>
          <w:bCs/>
          <w:sz w:val="30"/>
          <w:szCs w:val="30"/>
          <w:lang w:val="en-US" w:eastAsia="zh-CN"/>
        </w:rPr>
        <w:t>存在的问题及原因分析</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1.</w:t>
      </w:r>
      <w:r>
        <w:rPr>
          <w:rFonts w:hint="eastAsia" w:ascii="仿宋_GB2312" w:hAnsi="仿宋_GB2312" w:eastAsia="仿宋_GB2312" w:cs="仿宋_GB2312"/>
          <w:b/>
          <w:bCs/>
          <w:color w:val="auto"/>
          <w:sz w:val="30"/>
          <w:szCs w:val="30"/>
          <w:lang w:val="en-US" w:eastAsia="zh-CN"/>
        </w:rPr>
        <w:t>师资资源交流不足</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在“宏志助航计划”实施过程中，我们发现师资资源的交流与共享尚存在不足。具体表现为：一是各高校之间在师资培训、教学经验等方面的交流不够深入，导致优质教学资源无法充分整合与利用；二是部分高校因地域、专业等因素限制，难以吸引和留住高水平教师参与培训项目，影响了培训质量和效果。</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2.</w:t>
      </w:r>
      <w:r>
        <w:rPr>
          <w:rFonts w:hint="eastAsia" w:ascii="仿宋_GB2312" w:hAnsi="仿宋_GB2312" w:eastAsia="仿宋_GB2312" w:cs="仿宋_GB2312"/>
          <w:b/>
          <w:bCs/>
          <w:color w:val="auto"/>
          <w:sz w:val="30"/>
          <w:szCs w:val="30"/>
          <w:lang w:val="en-US" w:eastAsia="zh-CN"/>
        </w:rPr>
        <w:t>实践培训环节薄弱</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当前，“宏志助航计划”的培训课程内容中，理论占比偏大，而实践培训环节相对欠缺。这一状况导致学生在接受培训后，虽然掌握了较为扎实的理论知识，但在将理论转化为实践能力方面仍显不足。具体表现在：一是缺乏足够的实践机会和平台，学生难以将所学知识应用于实际工作中；二是实践教学内容与行业需求脱节，学生所学难以满足企业实际用人需求。</w:t>
      </w:r>
    </w:p>
    <w:p>
      <w:pPr>
        <w:keepNext w:val="0"/>
        <w:keepLines w:val="0"/>
        <w:pageBreakBefore w:val="0"/>
        <w:numPr>
          <w:ilvl w:val="0"/>
          <w:numId w:val="0"/>
        </w:numPr>
        <w:kinsoku/>
        <w:wordWrap/>
        <w:overflowPunct/>
        <w:topLinePunct w:val="0"/>
        <w:autoSpaceDE/>
        <w:autoSpaceDN/>
        <w:bidi w:val="0"/>
        <w:adjustRightInd/>
        <w:spacing w:line="460" w:lineRule="exact"/>
        <w:ind w:leftChars="200"/>
        <w:textAlignment w:val="auto"/>
        <w:rPr>
          <w:rFonts w:hint="eastAsia" w:ascii="黑体" w:hAnsi="黑体" w:eastAsia="黑体"/>
        </w:rPr>
      </w:pPr>
      <w:r>
        <w:rPr>
          <w:rFonts w:hint="eastAsia" w:ascii="黑体" w:hAnsi="黑体" w:eastAsia="黑体"/>
          <w:lang w:val="en-US" w:eastAsia="zh-CN"/>
        </w:rPr>
        <w:t>六、</w:t>
      </w:r>
      <w:r>
        <w:rPr>
          <w:rFonts w:hint="eastAsia" w:ascii="黑体" w:hAnsi="黑体" w:eastAsia="黑体"/>
        </w:rPr>
        <w:t>有关建议</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1.</w:t>
      </w:r>
      <w:r>
        <w:rPr>
          <w:rFonts w:hint="eastAsia" w:ascii="仿宋_GB2312" w:hAnsi="仿宋_GB2312" w:eastAsia="仿宋_GB2312" w:cs="仿宋_GB2312"/>
          <w:b/>
          <w:bCs/>
          <w:color w:val="auto"/>
          <w:sz w:val="30"/>
          <w:szCs w:val="30"/>
          <w:lang w:val="en-US" w:eastAsia="zh-CN"/>
        </w:rPr>
        <w:t>加强师资资源交流与合作</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一是建立师资资源共享平台。通过搭建线上交流平台，促进各高校之间在师资培训、教学经验等方面的交流与合作，实现优质教学资源的共享与互补。二是实施师资培训计划。定期组织教师参加专业技能培训、教学方法研讨等活动，提升教师的教学能力和业务水平。三是引进高水平教师。通过设立专项基金、提供优惠政策等措施，吸引和留住高水平教师参与“宏志助航计划”培训项目。</w:t>
      </w:r>
    </w:p>
    <w:p>
      <w:pPr>
        <w:keepNext w:val="0"/>
        <w:keepLines w:val="0"/>
        <w:pageBreakBefore w:val="0"/>
        <w:widowControl w:val="0"/>
        <w:kinsoku/>
        <w:wordWrap/>
        <w:overflowPunct/>
        <w:topLinePunct w:val="0"/>
        <w:autoSpaceDE/>
        <w:autoSpaceDN/>
        <w:bidi w:val="0"/>
        <w:adjustRightInd/>
        <w:snapToGrid/>
        <w:spacing w:line="460" w:lineRule="exact"/>
        <w:ind w:firstLine="602" w:firstLineChars="200"/>
        <w:jc w:val="both"/>
        <w:textAlignment w:val="auto"/>
        <w:rPr>
          <w:rFonts w:hint="eastAsia" w:ascii="仿宋_GB2312" w:hAnsi="仿宋_GB2312" w:cs="仿宋_GB2312"/>
          <w:b/>
          <w:bCs/>
          <w:color w:val="auto"/>
          <w:sz w:val="30"/>
          <w:szCs w:val="30"/>
          <w:lang w:val="en-US" w:eastAsia="zh-CN"/>
        </w:rPr>
      </w:pPr>
      <w:r>
        <w:rPr>
          <w:rFonts w:hint="eastAsia" w:ascii="仿宋_GB2312" w:hAnsi="仿宋_GB2312" w:cs="仿宋_GB2312"/>
          <w:b/>
          <w:bCs/>
          <w:color w:val="auto"/>
          <w:sz w:val="30"/>
          <w:szCs w:val="30"/>
          <w:lang w:val="en-US" w:eastAsia="zh-CN"/>
        </w:rPr>
        <w:t>2.强化实践培训环节</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一是优化课程设置。根据行业需求和学生特点，调整培训课程结构，适当增加实践教学内容的比重，提升学生的实践能力。二是搭建实践平台。与企业合作建立实习基地，为学生提供更多的实践机会和平台，让学生在实践中学习和成长。三是加强校企合作。与企业共同开发实践教学项目，将实践教学与行业需求紧密结合，提升学生的就业竞争力。</w:t>
      </w:r>
    </w:p>
    <w:p>
      <w:pPr>
        <w:keepNext w:val="0"/>
        <w:keepLines w:val="0"/>
        <w:pageBreakBefore w:val="0"/>
        <w:numPr>
          <w:ilvl w:val="0"/>
          <w:numId w:val="8"/>
        </w:numPr>
        <w:kinsoku/>
        <w:wordWrap/>
        <w:overflowPunct/>
        <w:topLinePunct w:val="0"/>
        <w:autoSpaceDE/>
        <w:autoSpaceDN/>
        <w:bidi w:val="0"/>
        <w:adjustRightInd/>
        <w:spacing w:line="460" w:lineRule="exact"/>
        <w:ind w:firstLine="600" w:firstLineChars="200"/>
        <w:textAlignment w:val="auto"/>
        <w:rPr>
          <w:rFonts w:hint="eastAsia" w:ascii="黑体" w:hAnsi="黑体" w:eastAsia="黑体"/>
        </w:rPr>
      </w:pPr>
      <w:r>
        <w:rPr>
          <w:rFonts w:hint="eastAsia" w:ascii="黑体" w:hAnsi="黑体" w:eastAsia="黑体"/>
        </w:rPr>
        <w:t>其他需要说明的问题</w:t>
      </w:r>
    </w:p>
    <w:p>
      <w:pPr>
        <w:pStyle w:val="4"/>
        <w:keepNext w:val="0"/>
        <w:keepLines w:val="0"/>
        <w:pageBreakBefore w:val="0"/>
        <w:numPr>
          <w:ilvl w:val="0"/>
          <w:numId w:val="0"/>
        </w:numPr>
        <w:kinsoku/>
        <w:wordWrap/>
        <w:overflowPunct/>
        <w:topLinePunct w:val="0"/>
        <w:autoSpaceDE/>
        <w:autoSpaceDN/>
        <w:bidi w:val="0"/>
        <w:adjustRightInd/>
        <w:spacing w:line="460" w:lineRule="exact"/>
        <w:ind w:firstLine="600" w:firstLineChars="200"/>
        <w:jc w:val="both"/>
        <w:textAlignment w:val="auto"/>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907032E-4EFE-4513-86FB-33514E82E7AC}"/>
  </w:font>
  <w:font w:name="黑体">
    <w:panose1 w:val="02010609060101010101"/>
    <w:charset w:val="86"/>
    <w:family w:val="auto"/>
    <w:pitch w:val="default"/>
    <w:sig w:usb0="800002BF" w:usb1="38CF7CFA" w:usb2="00000016" w:usb3="00000000" w:csb0="00040001" w:csb1="00000000"/>
    <w:embedRegular r:id="rId2" w:fontKey="{E79C5DE2-80BC-41DB-A3D2-6338718BE9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4DD87365-B054-45E2-9124-E2BCD9D6195E}"/>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4" w:fontKey="{75AE9AEF-5387-4828-A26B-BD5B88CBFEE5}"/>
  </w:font>
  <w:font w:name="方正小标宋简体">
    <w:panose1 w:val="02000000000000000000"/>
    <w:charset w:val="86"/>
    <w:family w:val="auto"/>
    <w:pitch w:val="default"/>
    <w:sig w:usb0="A00002BF" w:usb1="184F6CFA" w:usb2="00000012" w:usb3="00000000" w:csb0="00040001" w:csb1="00000000"/>
    <w:embedRegular r:id="rId5" w:fontKey="{9675B54D-0B25-4AE5-8264-0CDE873669E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39014"/>
    <w:multiLevelType w:val="singleLevel"/>
    <w:tmpl w:val="9AB39014"/>
    <w:lvl w:ilvl="0" w:tentative="0">
      <w:start w:val="2"/>
      <w:numFmt w:val="chineseCounting"/>
      <w:suff w:val="nothing"/>
      <w:lvlText w:val="（%1）"/>
      <w:lvlJc w:val="left"/>
      <w:rPr>
        <w:rFonts w:hint="eastAsia"/>
        <w:b/>
        <w:bCs/>
      </w:rPr>
    </w:lvl>
  </w:abstractNum>
  <w:abstractNum w:abstractNumId="1">
    <w:nsid w:val="B6AAD1DC"/>
    <w:multiLevelType w:val="singleLevel"/>
    <w:tmpl w:val="B6AAD1DC"/>
    <w:lvl w:ilvl="0" w:tentative="0">
      <w:start w:val="3"/>
      <w:numFmt w:val="chineseCounting"/>
      <w:suff w:val="nothing"/>
      <w:lvlText w:val="%1、"/>
      <w:lvlJc w:val="left"/>
      <w:rPr>
        <w:rFonts w:hint="eastAsia"/>
        <w:b/>
        <w:bCs/>
      </w:r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E83853AE"/>
    <w:multiLevelType w:val="singleLevel"/>
    <w:tmpl w:val="E83853AE"/>
    <w:lvl w:ilvl="0" w:tentative="0">
      <w:start w:val="2"/>
      <w:numFmt w:val="decimal"/>
      <w:suff w:val="nothing"/>
      <w:lvlText w:val="%1、"/>
      <w:lvlJc w:val="left"/>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abstractNum w:abstractNumId="6">
    <w:nsid w:val="741B4A88"/>
    <w:multiLevelType w:val="singleLevel"/>
    <w:tmpl w:val="741B4A88"/>
    <w:lvl w:ilvl="0" w:tentative="0">
      <w:start w:val="7"/>
      <w:numFmt w:val="chineseCounting"/>
      <w:suff w:val="nothing"/>
      <w:lvlText w:val="%1、"/>
      <w:lvlJc w:val="left"/>
      <w:rPr>
        <w:rFonts w:hint="eastAsia"/>
      </w:rPr>
    </w:lvl>
  </w:abstractNum>
  <w:abstractNum w:abstractNumId="7">
    <w:nsid w:val="7923CD73"/>
    <w:multiLevelType w:val="singleLevel"/>
    <w:tmpl w:val="7923CD73"/>
    <w:lvl w:ilvl="0" w:tentative="0">
      <w:start w:val="1"/>
      <w:numFmt w:val="decimal"/>
      <w:suff w:val="nothing"/>
      <w:lvlText w:val="%1、"/>
      <w:lvlJc w:val="left"/>
    </w:lvl>
  </w:abstractNum>
  <w:num w:numId="1">
    <w:abstractNumId w:val="3"/>
  </w:num>
  <w:num w:numId="2">
    <w:abstractNumId w:val="0"/>
  </w:num>
  <w:num w:numId="3">
    <w:abstractNumId w:val="7"/>
  </w:num>
  <w:num w:numId="4">
    <w:abstractNumId w:val="2"/>
  </w:num>
  <w:num w:numId="5">
    <w:abstractNumId w:val="4"/>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1D3127C"/>
    <w:rsid w:val="06FD4082"/>
    <w:rsid w:val="0E5C414B"/>
    <w:rsid w:val="124F29EF"/>
    <w:rsid w:val="17FC4D5C"/>
    <w:rsid w:val="194041BD"/>
    <w:rsid w:val="1AAB623F"/>
    <w:rsid w:val="1F0B55D3"/>
    <w:rsid w:val="26FB524E"/>
    <w:rsid w:val="311B529A"/>
    <w:rsid w:val="3431735D"/>
    <w:rsid w:val="409C462D"/>
    <w:rsid w:val="45EC0627"/>
    <w:rsid w:val="46876249"/>
    <w:rsid w:val="47AF2F63"/>
    <w:rsid w:val="49C36AE7"/>
    <w:rsid w:val="4C371778"/>
    <w:rsid w:val="4EDE41CD"/>
    <w:rsid w:val="56905D0D"/>
    <w:rsid w:val="5CA8029A"/>
    <w:rsid w:val="67DB0DB2"/>
    <w:rsid w:val="6F20011E"/>
    <w:rsid w:val="6F4155A5"/>
    <w:rsid w:val="6FCB3DA5"/>
    <w:rsid w:val="70926DFA"/>
    <w:rsid w:val="748B6F55"/>
    <w:rsid w:val="7F966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note text"/>
    <w:basedOn w:val="1"/>
    <w:autoRedefine/>
    <w:qFormat/>
    <w:uiPriority w:val="0"/>
    <w:pPr>
      <w:snapToGrid w:val="0"/>
      <w:jc w:val="left"/>
    </w:pPr>
    <w:rPr>
      <w:sz w:val="18"/>
    </w:rPr>
  </w:style>
  <w:style w:type="paragraph" w:styleId="4">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ody Text First Indent"/>
    <w:basedOn w:val="2"/>
    <w:autoRedefine/>
    <w:qFormat/>
    <w:uiPriority w:val="0"/>
    <w:pPr>
      <w:spacing w:after="0"/>
      <w:ind w:firstLine="200" w:firstLineChars="200"/>
    </w:pPr>
  </w:style>
  <w:style w:type="character" w:styleId="8">
    <w:name w:val="Strong"/>
    <w:basedOn w:val="7"/>
    <w:qFormat/>
    <w:uiPriority w:val="0"/>
    <w:rPr>
      <w:b/>
      <w:bCs/>
    </w:rPr>
  </w:style>
  <w:style w:type="character" w:customStyle="1" w:styleId="9">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5259</Words>
  <Characters>5498</Characters>
  <Lines>0</Lines>
  <Paragraphs>0</Paragraphs>
  <TotalTime>34</TotalTime>
  <ScaleCrop>false</ScaleCrop>
  <LinksUpToDate>false</LinksUpToDate>
  <CharactersWithSpaces>5531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