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after="0" w:line="640" w:lineRule="exact"/>
        <w:jc w:val="left"/>
        <w:textAlignment w:val="baseline"/>
        <w:rPr>
          <w:rFonts w:hint="default" w:ascii="方正黑体_GBK" w:hAnsi="方正黑体_GBK" w:eastAsia="方正黑体_GBK" w:cs="方正黑体_GBK"/>
          <w:b w:val="0"/>
          <w:bCs w:val="0"/>
          <w:snapToGrid w:val="0"/>
          <w:spacing w:val="-5"/>
          <w:kern w:val="0"/>
          <w:sz w:val="32"/>
          <w:szCs w:val="32"/>
          <w:lang w:val="en" w:eastAsia="zh-CN"/>
        </w:rPr>
      </w:pPr>
      <w:r>
        <w:rPr>
          <w:rFonts w:hint="eastAsia" w:ascii="方正黑体_GBK" w:hAnsi="方正黑体_GBK" w:eastAsia="方正黑体_GBK" w:cs="方正黑体_GBK"/>
          <w:b w:val="0"/>
          <w:bCs w:val="0"/>
          <w:snapToGrid w:val="0"/>
          <w:spacing w:val="-5"/>
          <w:kern w:val="0"/>
          <w:sz w:val="32"/>
          <w:szCs w:val="32"/>
          <w:lang w:eastAsia="zh-CN"/>
        </w:rPr>
        <w:t>附件</w:t>
      </w:r>
      <w:r>
        <w:rPr>
          <w:rFonts w:hint="default" w:ascii="方正黑体_GBK" w:hAnsi="方正黑体_GBK" w:eastAsia="方正黑体_GBK" w:cs="方正黑体_GBK"/>
          <w:b w:val="0"/>
          <w:bCs w:val="0"/>
          <w:snapToGrid w:val="0"/>
          <w:spacing w:val="-5"/>
          <w:kern w:val="0"/>
          <w:sz w:val="32"/>
          <w:szCs w:val="32"/>
          <w:lang w:val="en" w:eastAsia="zh-CN"/>
        </w:rPr>
        <w:t>4</w:t>
      </w:r>
    </w:p>
    <w:p>
      <w:pPr>
        <w:keepNext w:val="0"/>
        <w:keepLines w:val="0"/>
        <w:pageBreakBefore w:val="0"/>
        <w:widowControl/>
        <w:kinsoku w:val="0"/>
        <w:wordWrap/>
        <w:overflowPunct/>
        <w:topLinePunct w:val="0"/>
        <w:autoSpaceDE w:val="0"/>
        <w:autoSpaceDN w:val="0"/>
        <w:bidi w:val="0"/>
        <w:adjustRightInd w:val="0"/>
        <w:snapToGrid w:val="0"/>
        <w:spacing w:after="0" w:line="640" w:lineRule="exact"/>
        <w:jc w:val="center"/>
        <w:textAlignment w:val="baseline"/>
        <w:rPr>
          <w:rFonts w:hint="eastAsia" w:ascii="方正小标宋_GBK" w:hAnsi="方正小标宋_GBK" w:eastAsia="方正小标宋_GBK" w:cs="方正小标宋_GBK"/>
          <w:snapToGrid w:val="0"/>
          <w:spacing w:val="-5"/>
          <w:kern w:val="0"/>
          <w:sz w:val="44"/>
          <w:szCs w:val="44"/>
        </w:rPr>
      </w:pPr>
    </w:p>
    <w:p>
      <w:pPr>
        <w:keepNext w:val="0"/>
        <w:keepLines w:val="0"/>
        <w:pageBreakBefore w:val="0"/>
        <w:widowControl/>
        <w:kinsoku w:val="0"/>
        <w:wordWrap/>
        <w:overflowPunct/>
        <w:topLinePunct w:val="0"/>
        <w:autoSpaceDE w:val="0"/>
        <w:autoSpaceDN w:val="0"/>
        <w:bidi w:val="0"/>
        <w:adjustRightInd w:val="0"/>
        <w:snapToGrid w:val="0"/>
        <w:spacing w:after="0" w:line="640" w:lineRule="exact"/>
        <w:jc w:val="center"/>
        <w:textAlignment w:val="baseline"/>
        <w:rPr>
          <w:rFonts w:hint="eastAsia" w:ascii="方正小标宋_GBK" w:hAnsi="方正小标宋_GBK" w:eastAsia="方正小标宋_GBK" w:cs="方正小标宋_GBK"/>
          <w:snapToGrid w:val="0"/>
          <w:spacing w:val="-5"/>
          <w:kern w:val="0"/>
          <w:sz w:val="44"/>
          <w:szCs w:val="44"/>
        </w:rPr>
      </w:pP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新疆维吾尔自治区耕地建设与利用资金转移支付2024年度绩效自评报告</w:t>
      </w:r>
    </w:p>
    <w:p>
      <w:pPr>
        <w:widowControl/>
        <w:kinsoku w:val="0"/>
        <w:autoSpaceDE w:val="0"/>
        <w:autoSpaceDN w:val="0"/>
        <w:adjustRightInd w:val="0"/>
        <w:snapToGrid w:val="0"/>
        <w:jc w:val="center"/>
        <w:textAlignment w:val="baseline"/>
        <w:rPr>
          <w:rFonts w:eastAsia="方正小标宋_GBK"/>
          <w:snapToGrid w:val="0"/>
          <w:spacing w:val="-5"/>
          <w:kern w:val="0"/>
          <w:sz w:val="40"/>
          <w:szCs w:val="40"/>
        </w:rPr>
      </w:pPr>
    </w:p>
    <w:p>
      <w:pPr>
        <w:spacing w:line="540" w:lineRule="exact"/>
        <w:jc w:val="center"/>
        <w:rPr>
          <w:b/>
          <w:bCs/>
          <w:kern w:val="0"/>
          <w:szCs w:val="30"/>
        </w:rPr>
      </w:pPr>
    </w:p>
    <w:p>
      <w:pPr>
        <w:spacing w:line="540" w:lineRule="exact"/>
        <w:jc w:val="center"/>
        <w:rPr>
          <w:kern w:val="0"/>
          <w:szCs w:val="30"/>
        </w:rPr>
      </w:pPr>
    </w:p>
    <w:p>
      <w:pPr>
        <w:spacing w:line="540" w:lineRule="exact"/>
        <w:jc w:val="center"/>
        <w:rPr>
          <w:kern w:val="0"/>
          <w:szCs w:val="30"/>
        </w:rPr>
      </w:pPr>
    </w:p>
    <w:p>
      <w:pPr>
        <w:pStyle w:val="11"/>
        <w:ind w:left="600" w:firstLine="600"/>
        <w:rPr>
          <w:rFonts w:ascii="Times New Roman" w:hAnsi="Times New Roman"/>
          <w:kern w:val="0"/>
          <w:szCs w:val="30"/>
        </w:rPr>
      </w:pPr>
    </w:p>
    <w:p>
      <w:pPr>
        <w:pStyle w:val="11"/>
        <w:ind w:left="600" w:firstLine="600"/>
        <w:rPr>
          <w:rFonts w:ascii="Times New Roman" w:hAnsi="Times New Roman"/>
          <w:kern w:val="0"/>
          <w:szCs w:val="30"/>
        </w:rPr>
      </w:pPr>
    </w:p>
    <w:p>
      <w:pPr>
        <w:spacing w:line="540" w:lineRule="exact"/>
        <w:rPr>
          <w:kern w:val="0"/>
          <w:szCs w:val="30"/>
        </w:rPr>
      </w:pPr>
    </w:p>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rPr>
      </w:pPr>
      <w:r>
        <w:rPr>
          <w:b/>
          <w:bCs/>
          <w:color w:val="3F3F3F"/>
          <w:sz w:val="32"/>
        </w:rPr>
        <w:t>项目名称：</w:t>
      </w:r>
      <w:r>
        <w:rPr>
          <w:sz w:val="36"/>
          <w:szCs w:val="36"/>
        </w:rPr>
        <w:t>耕地建设与利用资金</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sz w:val="32"/>
          <w:szCs w:val="32"/>
        </w:rPr>
      </w:pPr>
      <w:r>
        <w:rPr>
          <w:b/>
          <w:bCs/>
          <w:color w:val="3F3F3F"/>
          <w:sz w:val="32"/>
        </w:rPr>
        <w:t>实施单位（公章）：</w:t>
      </w:r>
      <w:r>
        <w:rPr>
          <w:sz w:val="36"/>
          <w:szCs w:val="36"/>
        </w:rPr>
        <w:t>各地州市农业农村局</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rPr>
      </w:pPr>
      <w:r>
        <w:rPr>
          <w:b/>
          <w:bCs/>
          <w:color w:val="3F3F3F"/>
          <w:sz w:val="32"/>
        </w:rPr>
        <w:t>主管部门（公章）：</w:t>
      </w:r>
      <w:r>
        <w:rPr>
          <w:kern w:val="0"/>
          <w:sz w:val="36"/>
          <w:szCs w:val="36"/>
        </w:rPr>
        <w:t>自治区农业农村厅</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2"/>
          <w:szCs w:val="32"/>
        </w:rPr>
      </w:pPr>
      <w:r>
        <w:rPr>
          <w:b/>
          <w:bCs/>
          <w:color w:val="3F3F3F"/>
          <w:sz w:val="32"/>
        </w:rPr>
        <w:t>项目负责人（签章）：</w:t>
      </w:r>
      <w:r>
        <w:rPr>
          <w:kern w:val="0"/>
          <w:sz w:val="36"/>
          <w:szCs w:val="36"/>
        </w:rPr>
        <w:t>张明义、汤义武</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rPr>
      </w:pPr>
      <w:r>
        <w:rPr>
          <w:b/>
          <w:bCs/>
          <w:color w:val="3F3F3F"/>
          <w:sz w:val="32"/>
        </w:rPr>
        <w:t>填报时间：</w:t>
      </w:r>
      <w:r>
        <w:rPr>
          <w:kern w:val="0"/>
          <w:sz w:val="36"/>
          <w:szCs w:val="36"/>
        </w:rPr>
        <w:t>202</w:t>
      </w:r>
      <w:r>
        <w:rPr>
          <w:rFonts w:hint="eastAsia"/>
          <w:kern w:val="0"/>
          <w:sz w:val="36"/>
          <w:szCs w:val="36"/>
        </w:rPr>
        <w:t>5</w:t>
      </w:r>
      <w:r>
        <w:rPr>
          <w:kern w:val="0"/>
          <w:sz w:val="36"/>
          <w:szCs w:val="36"/>
        </w:rPr>
        <w:t>年</w:t>
      </w:r>
      <w:r>
        <w:rPr>
          <w:kern w:val="0"/>
          <w:sz w:val="36"/>
          <w:szCs w:val="36"/>
          <w:lang w:val="en"/>
        </w:rPr>
        <w:t>3</w:t>
      </w:r>
      <w:r>
        <w:rPr>
          <w:kern w:val="0"/>
          <w:sz w:val="36"/>
          <w:szCs w:val="36"/>
        </w:rPr>
        <w:t>月</w:t>
      </w:r>
      <w:r>
        <w:rPr>
          <w:kern w:val="0"/>
          <w:sz w:val="36"/>
          <w:szCs w:val="36"/>
          <w:lang w:val="en"/>
        </w:rPr>
        <w:t>10</w:t>
      </w:r>
      <w:r>
        <w:rPr>
          <w:kern w:val="0"/>
          <w:sz w:val="36"/>
          <w:szCs w:val="36"/>
        </w:rPr>
        <w:t>日</w:t>
      </w:r>
    </w:p>
    <w:p>
      <w:pPr>
        <w:keepNext w:val="0"/>
        <w:keepLines w:val="0"/>
        <w:pageBreakBefore w:val="0"/>
        <w:widowControl w:val="0"/>
        <w:kinsoku/>
        <w:wordWrap/>
        <w:overflowPunct/>
        <w:topLinePunct w:val="0"/>
        <w:autoSpaceDE/>
        <w:autoSpaceDN/>
        <w:bidi w:val="0"/>
        <w:adjustRightInd/>
        <w:snapToGrid/>
        <w:spacing w:after="0"/>
        <w:jc w:val="center"/>
        <w:textAlignment w:val="auto"/>
        <w:rPr>
          <w:b/>
          <w:sz w:val="44"/>
          <w:szCs w:val="44"/>
        </w:rPr>
        <w:sectPr>
          <w:footerReference r:id="rId5" w:type="default"/>
          <w:pgSz w:w="11906" w:h="16838"/>
          <w:pgMar w:top="1440" w:right="1800" w:bottom="1440" w:left="1800" w:header="851" w:footer="992" w:gutter="0"/>
          <w:cols w:space="720" w:num="1"/>
          <w:docGrid w:type="lines" w:linePitch="312" w:charSpace="0"/>
        </w:sectPr>
      </w:pP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新疆维吾尔自治区耕地建设与利用资金转移支付2024年度绩效自评报告</w:t>
      </w:r>
    </w:p>
    <w:p>
      <w:pPr>
        <w:spacing w:line="560" w:lineRule="exact"/>
        <w:ind w:firstLine="640" w:firstLineChars="200"/>
        <w:rPr>
          <w:bCs/>
          <w:sz w:val="32"/>
          <w:szCs w:val="32"/>
        </w:rPr>
      </w:pPr>
    </w:p>
    <w:p>
      <w:pPr>
        <w:spacing w:line="560" w:lineRule="exact"/>
        <w:ind w:firstLine="640" w:firstLineChars="200"/>
        <w:rPr>
          <w:bCs/>
          <w:sz w:val="32"/>
          <w:szCs w:val="32"/>
        </w:rPr>
      </w:pPr>
      <w:r>
        <w:rPr>
          <w:bCs/>
          <w:sz w:val="32"/>
          <w:szCs w:val="32"/>
        </w:rPr>
        <w:t>贯彻落实党中央全面实施预算绩效管理决策部署，根据</w:t>
      </w:r>
      <w:r>
        <w:rPr>
          <w:rFonts w:hint="eastAsia"/>
          <w:bCs/>
          <w:sz w:val="32"/>
          <w:szCs w:val="32"/>
        </w:rPr>
        <w:t>《</w:t>
      </w:r>
      <w:r>
        <w:rPr>
          <w:bCs/>
          <w:sz w:val="32"/>
          <w:szCs w:val="32"/>
        </w:rPr>
        <w:t>关于开展202</w:t>
      </w:r>
      <w:r>
        <w:rPr>
          <w:rFonts w:hint="eastAsia"/>
          <w:bCs/>
          <w:sz w:val="32"/>
          <w:szCs w:val="32"/>
        </w:rPr>
        <w:t>4</w:t>
      </w:r>
      <w:r>
        <w:rPr>
          <w:bCs/>
          <w:sz w:val="32"/>
          <w:szCs w:val="32"/>
        </w:rPr>
        <w:t>年度中央对地方转移支付预算执行情况绩效自评工作的通知》（财监〔202</w:t>
      </w:r>
      <w:r>
        <w:rPr>
          <w:rFonts w:hint="eastAsia"/>
          <w:bCs/>
          <w:sz w:val="32"/>
          <w:szCs w:val="32"/>
        </w:rPr>
        <w:t>5</w:t>
      </w:r>
      <w:r>
        <w:rPr>
          <w:bCs/>
          <w:sz w:val="32"/>
          <w:szCs w:val="32"/>
        </w:rPr>
        <w:t>〕</w:t>
      </w:r>
      <w:r>
        <w:rPr>
          <w:rFonts w:hint="eastAsia"/>
          <w:bCs/>
          <w:sz w:val="32"/>
          <w:szCs w:val="32"/>
        </w:rPr>
        <w:t>1</w:t>
      </w:r>
      <w:r>
        <w:rPr>
          <w:bCs/>
          <w:sz w:val="32"/>
          <w:szCs w:val="32"/>
        </w:rPr>
        <w:t>号），自治区农业农村厅高度重视，严格按规范要求组织开展了202</w:t>
      </w:r>
      <w:r>
        <w:rPr>
          <w:rFonts w:hint="eastAsia"/>
          <w:bCs/>
          <w:sz w:val="32"/>
          <w:szCs w:val="32"/>
        </w:rPr>
        <w:t>4</w:t>
      </w:r>
      <w:r>
        <w:rPr>
          <w:bCs/>
          <w:sz w:val="32"/>
          <w:szCs w:val="32"/>
        </w:rPr>
        <w:t>年度新疆耕地建设与利用中央补助资金绩效自评工作，现将自评情况报告如下：</w:t>
      </w:r>
    </w:p>
    <w:p>
      <w:pPr>
        <w:spacing w:line="560" w:lineRule="exact"/>
        <w:ind w:firstLine="640" w:firstLineChars="200"/>
        <w:rPr>
          <w:rFonts w:eastAsia="黑体"/>
          <w:bCs/>
          <w:sz w:val="32"/>
          <w:szCs w:val="32"/>
        </w:rPr>
      </w:pPr>
      <w:r>
        <w:rPr>
          <w:rFonts w:eastAsia="黑体"/>
          <w:bCs/>
          <w:sz w:val="32"/>
          <w:szCs w:val="32"/>
        </w:rPr>
        <w:t>一、绩效目标分解下达情况</w:t>
      </w:r>
    </w:p>
    <w:p>
      <w:pPr>
        <w:spacing w:line="560" w:lineRule="exact"/>
        <w:ind w:firstLine="642" w:firstLineChars="200"/>
        <w:outlineLvl w:val="0"/>
        <w:rPr>
          <w:rFonts w:eastAsia="楷体"/>
          <w:b/>
          <w:bCs/>
          <w:sz w:val="32"/>
          <w:szCs w:val="32"/>
        </w:rPr>
      </w:pPr>
      <w:r>
        <w:rPr>
          <w:rFonts w:eastAsia="楷体"/>
          <w:b/>
          <w:bCs/>
          <w:sz w:val="32"/>
          <w:szCs w:val="32"/>
        </w:rPr>
        <w:t>（一）中央下达耕地建设与利用专项转移支付预算和绩效目标情况</w:t>
      </w:r>
    </w:p>
    <w:p>
      <w:pPr>
        <w:spacing w:line="560" w:lineRule="exact"/>
        <w:ind w:firstLine="642" w:firstLineChars="200"/>
        <w:rPr>
          <w:b/>
          <w:bCs/>
          <w:sz w:val="32"/>
          <w:szCs w:val="32"/>
        </w:rPr>
      </w:pPr>
      <w:r>
        <w:rPr>
          <w:b/>
          <w:bCs/>
          <w:sz w:val="32"/>
          <w:szCs w:val="32"/>
        </w:rPr>
        <w:t>1、下达预算情况：</w:t>
      </w:r>
    </w:p>
    <w:p>
      <w:pPr>
        <w:pStyle w:val="11"/>
        <w:spacing w:after="0" w:line="560" w:lineRule="exact"/>
        <w:ind w:left="0" w:leftChars="0" w:firstLine="640"/>
        <w:rPr>
          <w:rFonts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4</w:t>
      </w:r>
      <w:r>
        <w:rPr>
          <w:rFonts w:ascii="Times New Roman" w:hAnsi="Times New Roman"/>
          <w:sz w:val="32"/>
          <w:szCs w:val="32"/>
        </w:rPr>
        <w:t>年度，财政部下达我区耕地建设与利用资金</w:t>
      </w:r>
      <w:r>
        <w:rPr>
          <w:rFonts w:hint="eastAsia" w:ascii="Times New Roman" w:hAnsi="Times New Roman"/>
          <w:sz w:val="32"/>
          <w:szCs w:val="32"/>
        </w:rPr>
        <w:t>710646</w:t>
      </w:r>
      <w:r>
        <w:rPr>
          <w:rFonts w:ascii="Times New Roman" w:hAnsi="Times New Roman"/>
          <w:sz w:val="32"/>
          <w:szCs w:val="32"/>
        </w:rPr>
        <w:t>万元，用于耕地建设与利用，详细如下：</w:t>
      </w:r>
    </w:p>
    <w:p>
      <w:pPr>
        <w:pStyle w:val="10"/>
        <w:ind w:firstLine="640" w:firstLineChars="200"/>
        <w:rPr>
          <w:rFonts w:ascii="Times New Roman" w:hAnsi="Times New Roman" w:eastAsia="仿宋_GB2312" w:cs="Times New Roman"/>
          <w:sz w:val="32"/>
          <w:lang w:val="en-US" w:bidi="ar-SA"/>
        </w:rPr>
      </w:pPr>
      <w:r>
        <w:rPr>
          <w:rFonts w:hint="eastAsia" w:ascii="Times New Roman" w:hAnsi="Times New Roman" w:eastAsia="仿宋_GB2312" w:cs="Times New Roman"/>
          <w:sz w:val="32"/>
          <w:lang w:val="en-US" w:bidi="ar-SA"/>
        </w:rPr>
        <w:t>2023年11月《财政部关于提前下达2024年农业相关转移支付资金预算的通知》（财农〔2023〕87号）下达483916万元。</w:t>
      </w:r>
    </w:p>
    <w:p>
      <w:pPr>
        <w:pStyle w:val="10"/>
        <w:ind w:firstLine="640" w:firstLineChars="200"/>
        <w:rPr>
          <w:rFonts w:ascii="Times New Roman" w:hAnsi="Times New Roman" w:eastAsia="仿宋_GB2312" w:cs="Times New Roman"/>
          <w:sz w:val="32"/>
          <w:lang w:val="en-US" w:bidi="ar-SA"/>
        </w:rPr>
      </w:pPr>
      <w:r>
        <w:rPr>
          <w:rFonts w:hint="eastAsia" w:ascii="Times New Roman" w:hAnsi="Times New Roman" w:eastAsia="仿宋_GB2312" w:cs="Times New Roman"/>
          <w:sz w:val="32"/>
          <w:lang w:val="en-US" w:bidi="ar-SA"/>
        </w:rPr>
        <w:t>2024年4月《财政部关于下达2024年耕地建设与利用资金预算的通知》（财农〔2024〕12号）下达226730万元。</w:t>
      </w:r>
    </w:p>
    <w:p>
      <w:pPr>
        <w:spacing w:line="560" w:lineRule="exact"/>
        <w:ind w:firstLine="642" w:firstLineChars="200"/>
        <w:rPr>
          <w:b/>
          <w:bCs/>
          <w:sz w:val="32"/>
          <w:szCs w:val="32"/>
        </w:rPr>
      </w:pPr>
      <w:r>
        <w:rPr>
          <w:b/>
          <w:bCs/>
          <w:sz w:val="32"/>
          <w:szCs w:val="32"/>
        </w:rPr>
        <w:t>2、下达绩效目标情况：</w:t>
      </w:r>
    </w:p>
    <w:p>
      <w:pPr>
        <w:pStyle w:val="11"/>
        <w:spacing w:after="0" w:line="560" w:lineRule="exact"/>
        <w:ind w:left="0" w:leftChars="0" w:firstLine="640"/>
        <w:rPr>
          <w:rFonts w:eastAsia="宋体"/>
          <w:b/>
          <w:bCs/>
          <w:spacing w:val="-6"/>
          <w:sz w:val="24"/>
        </w:rPr>
      </w:pPr>
      <w:r>
        <w:rPr>
          <w:rFonts w:hint="eastAsia" w:ascii="Times New Roman" w:hAnsi="Times New Roman"/>
          <w:sz w:val="32"/>
          <w:szCs w:val="32"/>
        </w:rPr>
        <w:t>根据《财政部关于下达2024年耕地建设与利用资金预算的通知》（财农〔2024〕12号）</w:t>
      </w:r>
      <w:r>
        <w:rPr>
          <w:rFonts w:ascii="Times New Roman" w:hAnsi="Times New Roman"/>
          <w:sz w:val="32"/>
          <w:szCs w:val="32"/>
        </w:rPr>
        <w:t>随文下达新疆区域绩效目标，情况详见下表</w:t>
      </w:r>
      <w:r>
        <w:rPr>
          <w:rFonts w:ascii="Times New Roman" w:hAnsi="Times New Roman"/>
          <w:color w:val="000000"/>
        </w:rPr>
        <w:t>：</w:t>
      </w:r>
    </w:p>
    <w:p>
      <w:pPr>
        <w:spacing w:before="107" w:line="209" w:lineRule="auto"/>
        <w:ind w:left="2948"/>
        <w:outlineLvl w:val="0"/>
        <w:rPr>
          <w:rFonts w:eastAsia="宋体"/>
          <w:sz w:val="23"/>
          <w:szCs w:val="23"/>
        </w:rPr>
      </w:pPr>
      <w:r>
        <w:rPr>
          <w:rFonts w:eastAsia="宋体"/>
          <w:b/>
          <w:bCs/>
          <w:spacing w:val="-6"/>
          <w:sz w:val="24"/>
        </w:rPr>
        <w:t>耕地建设与利用资金</w:t>
      </w:r>
      <w:r>
        <w:rPr>
          <w:rFonts w:eastAsia="宋体"/>
          <w:b/>
          <w:bCs/>
          <w:spacing w:val="-8"/>
          <w:sz w:val="23"/>
          <w:szCs w:val="23"/>
        </w:rPr>
        <w:t>区域绩效目标表</w:t>
      </w:r>
    </w:p>
    <w:p>
      <w:pPr>
        <w:spacing w:line="219" w:lineRule="auto"/>
        <w:ind w:left="4098"/>
        <w:outlineLvl w:val="0"/>
        <w:rPr>
          <w:rFonts w:eastAsia="宋体"/>
          <w:b/>
          <w:bCs/>
          <w:spacing w:val="2"/>
          <w:sz w:val="22"/>
          <w:szCs w:val="22"/>
        </w:rPr>
      </w:pPr>
      <w:r>
        <w:rPr>
          <w:rFonts w:eastAsia="宋体"/>
          <w:b/>
          <w:bCs/>
          <w:spacing w:val="2"/>
          <w:sz w:val="22"/>
          <w:szCs w:val="22"/>
        </w:rPr>
        <w:t>(202</w:t>
      </w:r>
      <w:r>
        <w:rPr>
          <w:rFonts w:hint="eastAsia" w:eastAsia="宋体"/>
          <w:b/>
          <w:bCs/>
          <w:spacing w:val="2"/>
          <w:sz w:val="22"/>
          <w:szCs w:val="22"/>
        </w:rPr>
        <w:t>4</w:t>
      </w:r>
      <w:r>
        <w:rPr>
          <w:rFonts w:eastAsia="宋体"/>
          <w:b/>
          <w:bCs/>
          <w:spacing w:val="2"/>
          <w:sz w:val="22"/>
          <w:szCs w:val="22"/>
        </w:rPr>
        <w:t>年度）</w:t>
      </w:r>
    </w:p>
    <w:tbl>
      <w:tblPr>
        <w:tblStyle w:val="15"/>
        <w:tblW w:w="541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68"/>
        <w:gridCol w:w="1103"/>
        <w:gridCol w:w="1508"/>
        <w:gridCol w:w="3249"/>
        <w:gridCol w:w="24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77" w:hRule="atLeast"/>
        </w:trPr>
        <w:tc>
          <w:tcPr>
            <w:tcW w:w="3623" w:type="pct"/>
            <w:gridSpan w:val="4"/>
            <w:vAlign w:val="center"/>
          </w:tcPr>
          <w:p>
            <w:pPr>
              <w:spacing w:before="32" w:line="0" w:lineRule="atLeast"/>
              <w:ind w:left="3124"/>
              <w:rPr>
                <w:rFonts w:eastAsia="宋体"/>
                <w:sz w:val="16"/>
                <w:szCs w:val="16"/>
              </w:rPr>
            </w:pPr>
            <w:r>
              <w:rPr>
                <w:rFonts w:eastAsia="宋体"/>
                <w:spacing w:val="2"/>
                <w:sz w:val="16"/>
                <w:szCs w:val="16"/>
              </w:rPr>
              <w:t>资金名称</w:t>
            </w:r>
          </w:p>
        </w:tc>
        <w:tc>
          <w:tcPr>
            <w:tcW w:w="1376" w:type="pct"/>
            <w:vAlign w:val="center"/>
          </w:tcPr>
          <w:p>
            <w:pPr>
              <w:spacing w:before="30" w:line="0" w:lineRule="atLeast"/>
              <w:jc w:val="center"/>
              <w:rPr>
                <w:rFonts w:eastAsia="宋体"/>
                <w:sz w:val="16"/>
                <w:szCs w:val="16"/>
              </w:rPr>
            </w:pPr>
            <w:r>
              <w:rPr>
                <w:rFonts w:eastAsia="宋体"/>
                <w:spacing w:val="-1"/>
                <w:sz w:val="16"/>
                <w:szCs w:val="16"/>
              </w:rPr>
              <w:t>耕地建设与利用资金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623" w:type="pct"/>
            <w:gridSpan w:val="4"/>
            <w:vAlign w:val="center"/>
          </w:tcPr>
          <w:p>
            <w:pPr>
              <w:spacing w:before="26" w:line="0" w:lineRule="atLeast"/>
              <w:ind w:left="2964"/>
              <w:rPr>
                <w:rFonts w:eastAsia="宋体"/>
                <w:sz w:val="16"/>
                <w:szCs w:val="16"/>
              </w:rPr>
            </w:pPr>
            <w:r>
              <w:rPr>
                <w:rFonts w:eastAsia="宋体"/>
                <w:spacing w:val="3"/>
                <w:sz w:val="16"/>
                <w:szCs w:val="16"/>
              </w:rPr>
              <w:t>中央主管部门</w:t>
            </w:r>
          </w:p>
        </w:tc>
        <w:tc>
          <w:tcPr>
            <w:tcW w:w="1376" w:type="pct"/>
            <w:vAlign w:val="center"/>
          </w:tcPr>
          <w:p>
            <w:pPr>
              <w:spacing w:before="26" w:line="0" w:lineRule="atLeast"/>
              <w:jc w:val="center"/>
              <w:rPr>
                <w:rFonts w:eastAsia="宋体"/>
                <w:sz w:val="16"/>
                <w:szCs w:val="16"/>
              </w:rPr>
            </w:pPr>
            <w:r>
              <w:rPr>
                <w:rFonts w:eastAsia="宋体"/>
                <w:spacing w:val="-1"/>
                <w:sz w:val="16"/>
                <w:szCs w:val="16"/>
              </w:rPr>
              <w:t>财政部、农业农村部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623" w:type="pct"/>
            <w:gridSpan w:val="4"/>
            <w:vAlign w:val="center"/>
          </w:tcPr>
          <w:p>
            <w:pPr>
              <w:spacing w:before="36" w:line="0" w:lineRule="atLeast"/>
              <w:ind w:left="2964"/>
              <w:rPr>
                <w:rFonts w:eastAsia="宋体"/>
                <w:sz w:val="16"/>
                <w:szCs w:val="16"/>
              </w:rPr>
            </w:pPr>
            <w:r>
              <w:rPr>
                <w:rFonts w:eastAsia="宋体"/>
                <w:spacing w:val="3"/>
                <w:sz w:val="16"/>
                <w:szCs w:val="16"/>
              </w:rPr>
              <w:t>省级财政部门</w:t>
            </w:r>
          </w:p>
        </w:tc>
        <w:tc>
          <w:tcPr>
            <w:tcW w:w="1376" w:type="pct"/>
            <w:vAlign w:val="center"/>
          </w:tcPr>
          <w:p>
            <w:pPr>
              <w:spacing w:before="37" w:line="0" w:lineRule="atLeast"/>
              <w:jc w:val="center"/>
              <w:rPr>
                <w:rFonts w:eastAsia="宋体"/>
                <w:sz w:val="16"/>
                <w:szCs w:val="16"/>
              </w:rPr>
            </w:pPr>
            <w:r>
              <w:rPr>
                <w:rFonts w:eastAsia="宋体"/>
                <w:spacing w:val="-1"/>
                <w:sz w:val="16"/>
                <w:szCs w:val="16"/>
              </w:rPr>
              <w:t>新疆维吾尔自治区财政厅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623" w:type="pct"/>
            <w:gridSpan w:val="4"/>
            <w:vAlign w:val="center"/>
          </w:tcPr>
          <w:p>
            <w:pPr>
              <w:spacing w:before="26" w:line="0" w:lineRule="atLeast"/>
              <w:ind w:left="2964"/>
              <w:rPr>
                <w:rFonts w:eastAsia="宋体"/>
                <w:sz w:val="16"/>
                <w:szCs w:val="16"/>
              </w:rPr>
            </w:pPr>
            <w:r>
              <w:rPr>
                <w:rFonts w:eastAsia="宋体"/>
                <w:spacing w:val="3"/>
                <w:sz w:val="16"/>
                <w:szCs w:val="16"/>
              </w:rPr>
              <w:t>省级主管部门</w:t>
            </w:r>
          </w:p>
        </w:tc>
        <w:tc>
          <w:tcPr>
            <w:tcW w:w="1376" w:type="pct"/>
            <w:vAlign w:val="center"/>
          </w:tcPr>
          <w:p>
            <w:pPr>
              <w:spacing w:before="25" w:line="0" w:lineRule="atLeast"/>
              <w:jc w:val="center"/>
              <w:rPr>
                <w:rFonts w:eastAsia="宋体"/>
                <w:sz w:val="16"/>
                <w:szCs w:val="16"/>
              </w:rPr>
            </w:pPr>
            <w:r>
              <w:rPr>
                <w:rFonts w:eastAsia="宋体"/>
                <w:spacing w:val="-2"/>
                <w:sz w:val="16"/>
                <w:szCs w:val="16"/>
              </w:rPr>
              <w:t>新疆维吾尔自治区农业农村厅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restart"/>
            <w:tcBorders>
              <w:bottom w:val="nil"/>
            </w:tcBorders>
            <w:vAlign w:val="center"/>
          </w:tcPr>
          <w:p>
            <w:pPr>
              <w:spacing w:before="267" w:line="0" w:lineRule="atLeast"/>
              <w:jc w:val="center"/>
              <w:rPr>
                <w:rFonts w:eastAsia="宋体"/>
                <w:sz w:val="16"/>
                <w:szCs w:val="16"/>
              </w:rPr>
            </w:pPr>
            <w:r>
              <w:rPr>
                <w:rFonts w:eastAsia="宋体"/>
                <w:spacing w:val="-3"/>
                <w:sz w:val="16"/>
                <w:szCs w:val="16"/>
              </w:rPr>
              <w:t>资金情况</w:t>
            </w:r>
          </w:p>
        </w:tc>
        <w:tc>
          <w:tcPr>
            <w:tcW w:w="3251" w:type="pct"/>
            <w:gridSpan w:val="3"/>
            <w:vAlign w:val="center"/>
          </w:tcPr>
          <w:p>
            <w:pPr>
              <w:spacing w:before="26" w:line="0" w:lineRule="atLeast"/>
              <w:ind w:left="2520"/>
              <w:rPr>
                <w:rFonts w:eastAsia="宋体"/>
                <w:sz w:val="16"/>
                <w:szCs w:val="16"/>
              </w:rPr>
            </w:pPr>
            <w:r>
              <w:rPr>
                <w:rFonts w:eastAsia="宋体"/>
                <w:spacing w:val="4"/>
                <w:sz w:val="16"/>
                <w:szCs w:val="16"/>
              </w:rPr>
              <w:t>年度金额</w:t>
            </w:r>
            <w:r>
              <w:rPr>
                <w:rFonts w:hint="eastAsia" w:eastAsia="宋体"/>
                <w:spacing w:val="4"/>
                <w:sz w:val="16"/>
                <w:szCs w:val="16"/>
              </w:rPr>
              <w:t>（</w:t>
            </w:r>
            <w:r>
              <w:rPr>
                <w:rFonts w:eastAsia="宋体"/>
                <w:spacing w:val="4"/>
                <w:sz w:val="16"/>
                <w:szCs w:val="16"/>
              </w:rPr>
              <w:t>万元</w:t>
            </w:r>
            <w:r>
              <w:rPr>
                <w:rFonts w:hint="eastAsia" w:eastAsia="宋体"/>
                <w:spacing w:val="4"/>
                <w:sz w:val="16"/>
                <w:szCs w:val="16"/>
              </w:rPr>
              <w:t>）</w:t>
            </w:r>
          </w:p>
        </w:tc>
        <w:tc>
          <w:tcPr>
            <w:tcW w:w="1376" w:type="pct"/>
            <w:vAlign w:val="center"/>
          </w:tcPr>
          <w:p>
            <w:pPr>
              <w:spacing w:before="67" w:line="0" w:lineRule="atLeast"/>
              <w:ind w:left="797"/>
              <w:jc w:val="left"/>
              <w:rPr>
                <w:rFonts w:eastAsia="宋体"/>
                <w:sz w:val="16"/>
                <w:szCs w:val="16"/>
              </w:rPr>
            </w:pPr>
            <w:r>
              <w:rPr>
                <w:rFonts w:hint="eastAsia" w:eastAsia="宋体"/>
                <w:spacing w:val="-1"/>
                <w:sz w:val="16"/>
                <w:szCs w:val="16"/>
              </w:rPr>
              <w:t>710646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nil"/>
              <w:bottom w:val="nil"/>
            </w:tcBorders>
            <w:vAlign w:val="center"/>
          </w:tcPr>
          <w:p>
            <w:pPr>
              <w:pStyle w:val="14"/>
              <w:spacing w:line="0" w:lineRule="atLeast"/>
              <w:jc w:val="center"/>
              <w:rPr>
                <w:rFonts w:ascii="Times New Roman" w:hAnsi="Times New Roman" w:cs="Times New Roman"/>
                <w:sz w:val="21"/>
                <w:szCs w:val="21"/>
              </w:rPr>
            </w:pPr>
          </w:p>
        </w:tc>
        <w:tc>
          <w:tcPr>
            <w:tcW w:w="3251" w:type="pct"/>
            <w:gridSpan w:val="3"/>
            <w:vAlign w:val="center"/>
          </w:tcPr>
          <w:p>
            <w:pPr>
              <w:spacing w:before="37" w:line="0" w:lineRule="atLeast"/>
              <w:ind w:left="2520"/>
              <w:rPr>
                <w:rFonts w:eastAsia="宋体"/>
                <w:sz w:val="16"/>
                <w:szCs w:val="16"/>
              </w:rPr>
            </w:pPr>
            <w:r>
              <w:rPr>
                <w:rFonts w:eastAsia="宋体"/>
                <w:spacing w:val="-1"/>
                <w:sz w:val="16"/>
                <w:szCs w:val="16"/>
              </w:rPr>
              <w:t>其中：中央补助</w:t>
            </w:r>
          </w:p>
        </w:tc>
        <w:tc>
          <w:tcPr>
            <w:tcW w:w="1376" w:type="pct"/>
            <w:vAlign w:val="center"/>
          </w:tcPr>
          <w:p>
            <w:pPr>
              <w:spacing w:before="77" w:line="0" w:lineRule="atLeast"/>
              <w:ind w:left="797"/>
              <w:rPr>
                <w:rFonts w:eastAsia="宋体"/>
                <w:sz w:val="16"/>
                <w:szCs w:val="16"/>
              </w:rPr>
            </w:pPr>
            <w:r>
              <w:rPr>
                <w:rFonts w:hint="eastAsia" w:eastAsia="宋体"/>
                <w:spacing w:val="-1"/>
                <w:sz w:val="16"/>
                <w:szCs w:val="16"/>
              </w:rPr>
              <w:t>710646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nil"/>
            </w:tcBorders>
            <w:vAlign w:val="center"/>
          </w:tcPr>
          <w:p>
            <w:pPr>
              <w:pStyle w:val="14"/>
              <w:spacing w:line="0" w:lineRule="atLeast"/>
              <w:jc w:val="center"/>
              <w:rPr>
                <w:rFonts w:ascii="Times New Roman" w:hAnsi="Times New Roman" w:cs="Times New Roman"/>
                <w:sz w:val="21"/>
                <w:szCs w:val="21"/>
              </w:rPr>
            </w:pPr>
          </w:p>
        </w:tc>
        <w:tc>
          <w:tcPr>
            <w:tcW w:w="3251" w:type="pct"/>
            <w:gridSpan w:val="3"/>
            <w:vAlign w:val="center"/>
          </w:tcPr>
          <w:p>
            <w:pPr>
              <w:spacing w:before="28" w:line="0" w:lineRule="atLeast"/>
              <w:ind w:left="2760"/>
              <w:jc w:val="center"/>
              <w:rPr>
                <w:rFonts w:eastAsia="宋体"/>
                <w:sz w:val="16"/>
                <w:szCs w:val="16"/>
              </w:rPr>
            </w:pPr>
            <w:r>
              <w:rPr>
                <w:rFonts w:eastAsia="宋体"/>
                <w:spacing w:val="-2"/>
                <w:sz w:val="16"/>
                <w:szCs w:val="16"/>
              </w:rPr>
              <w:t>地方资金</w:t>
            </w:r>
          </w:p>
        </w:tc>
        <w:tc>
          <w:tcPr>
            <w:tcW w:w="1376" w:type="pct"/>
            <w:vAlign w:val="center"/>
          </w:tcPr>
          <w:p>
            <w:pPr>
              <w:pStyle w:val="14"/>
              <w:spacing w:line="0" w:lineRule="atLeast"/>
              <w:jc w:val="center"/>
              <w:rPr>
                <w:rFonts w:ascii="Times New Roman" w:hAnsi="Times New Roman" w:cs="Times New Roman"/>
                <w:sz w:val="18"/>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tcBorders>
              <w:bottom w:val="single" w:color="auto" w:sz="4" w:space="0"/>
            </w:tcBorders>
            <w:vAlign w:val="center"/>
          </w:tcPr>
          <w:p>
            <w:pPr>
              <w:spacing w:before="26" w:line="0" w:lineRule="atLeast"/>
              <w:ind w:left="34"/>
              <w:jc w:val="center"/>
              <w:rPr>
                <w:rFonts w:eastAsia="宋体"/>
                <w:sz w:val="16"/>
                <w:szCs w:val="16"/>
              </w:rPr>
            </w:pPr>
            <w:r>
              <w:rPr>
                <w:rFonts w:eastAsia="宋体"/>
                <w:spacing w:val="-2"/>
                <w:sz w:val="16"/>
                <w:szCs w:val="16"/>
              </w:rPr>
              <w:t>年度目标</w:t>
            </w:r>
          </w:p>
        </w:tc>
        <w:tc>
          <w:tcPr>
            <w:tcW w:w="4628" w:type="pct"/>
            <w:gridSpan w:val="4"/>
            <w:tcBorders>
              <w:bottom w:val="single" w:color="auto" w:sz="4" w:space="0"/>
            </w:tcBorders>
            <w:vAlign w:val="center"/>
          </w:tcPr>
          <w:p>
            <w:pPr>
              <w:spacing w:before="26" w:line="0" w:lineRule="atLeast"/>
              <w:ind w:left="2010"/>
              <w:jc w:val="center"/>
              <w:rPr>
                <w:rFonts w:eastAsia="宋体"/>
                <w:sz w:val="16"/>
                <w:szCs w:val="16"/>
              </w:rPr>
            </w:pPr>
            <w:r>
              <w:rPr>
                <w:rFonts w:eastAsia="宋体"/>
                <w:sz w:val="16"/>
                <w:szCs w:val="16"/>
              </w:rPr>
              <w:t>按照相关规划或实施方案，结合地方实际开展耕地建设与利用。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restart"/>
            <w:tcBorders>
              <w:top w:val="single" w:color="auto" w:sz="4" w:space="0"/>
              <w:left w:val="single" w:color="auto" w:sz="4" w:space="0"/>
              <w:bottom w:val="single" w:color="auto" w:sz="4" w:space="0"/>
              <w:right w:val="single" w:color="auto" w:sz="4" w:space="0"/>
            </w:tcBorders>
            <w:vAlign w:val="center"/>
          </w:tcPr>
          <w:p>
            <w:pPr>
              <w:spacing w:before="52" w:line="0" w:lineRule="atLeast"/>
              <w:ind w:left="34"/>
              <w:jc w:val="center"/>
              <w:rPr>
                <w:rFonts w:eastAsia="宋体"/>
                <w:sz w:val="16"/>
                <w:szCs w:val="16"/>
              </w:rPr>
            </w:pPr>
            <w:r>
              <w:rPr>
                <w:rFonts w:eastAsia="宋体"/>
                <w:spacing w:val="-2"/>
                <w:sz w:val="16"/>
                <w:szCs w:val="16"/>
              </w:rPr>
              <w:t>绩效目标</w:t>
            </w:r>
          </w:p>
        </w:tc>
        <w:tc>
          <w:tcPr>
            <w:tcW w:w="612" w:type="pct"/>
            <w:tcBorders>
              <w:top w:val="single" w:color="auto" w:sz="4" w:space="0"/>
              <w:left w:val="single" w:color="auto" w:sz="4" w:space="0"/>
              <w:bottom w:val="single" w:color="auto" w:sz="4" w:space="0"/>
              <w:right w:val="single" w:color="auto" w:sz="4" w:space="0"/>
            </w:tcBorders>
            <w:vAlign w:val="center"/>
          </w:tcPr>
          <w:p>
            <w:pPr>
              <w:spacing w:before="24" w:line="0" w:lineRule="atLeast"/>
              <w:jc w:val="center"/>
              <w:rPr>
                <w:rFonts w:eastAsia="宋体"/>
                <w:b/>
                <w:bCs/>
                <w:spacing w:val="-4"/>
                <w:sz w:val="16"/>
                <w:szCs w:val="16"/>
              </w:rPr>
            </w:pPr>
            <w:r>
              <w:rPr>
                <w:rFonts w:eastAsia="宋体"/>
                <w:b/>
                <w:bCs/>
                <w:spacing w:val="-4"/>
                <w:sz w:val="16"/>
                <w:szCs w:val="16"/>
              </w:rPr>
              <w:t>一级指标</w:t>
            </w:r>
          </w:p>
        </w:tc>
        <w:tc>
          <w:tcPr>
            <w:tcW w:w="837" w:type="pct"/>
            <w:tcBorders>
              <w:top w:val="single" w:color="auto" w:sz="4" w:space="0"/>
              <w:left w:val="single" w:color="auto" w:sz="4" w:space="0"/>
              <w:bottom w:val="single" w:color="auto" w:sz="4" w:space="0"/>
              <w:right w:val="single" w:color="auto" w:sz="4" w:space="0"/>
            </w:tcBorders>
            <w:vAlign w:val="center"/>
          </w:tcPr>
          <w:p>
            <w:pPr>
              <w:spacing w:before="24" w:line="0" w:lineRule="atLeast"/>
              <w:jc w:val="center"/>
              <w:rPr>
                <w:rFonts w:eastAsia="宋体"/>
                <w:b/>
                <w:bCs/>
                <w:spacing w:val="-4"/>
                <w:sz w:val="16"/>
                <w:szCs w:val="16"/>
              </w:rPr>
            </w:pPr>
            <w:r>
              <w:rPr>
                <w:rFonts w:eastAsia="宋体"/>
                <w:b/>
                <w:bCs/>
                <w:spacing w:val="-4"/>
                <w:sz w:val="16"/>
                <w:szCs w:val="16"/>
              </w:rPr>
              <w:t>二级指标</w:t>
            </w:r>
          </w:p>
        </w:tc>
        <w:tc>
          <w:tcPr>
            <w:tcW w:w="1801" w:type="pct"/>
            <w:tcBorders>
              <w:top w:val="single" w:color="auto" w:sz="4" w:space="0"/>
              <w:left w:val="single" w:color="auto" w:sz="4" w:space="0"/>
              <w:bottom w:val="single" w:color="auto" w:sz="4" w:space="0"/>
              <w:right w:val="single" w:color="auto" w:sz="4" w:space="0"/>
            </w:tcBorders>
            <w:vAlign w:val="center"/>
          </w:tcPr>
          <w:p>
            <w:pPr>
              <w:spacing w:before="24" w:line="0" w:lineRule="atLeast"/>
              <w:jc w:val="center"/>
              <w:rPr>
                <w:rFonts w:eastAsia="宋体"/>
                <w:sz w:val="16"/>
                <w:szCs w:val="16"/>
              </w:rPr>
            </w:pPr>
            <w:r>
              <w:rPr>
                <w:rFonts w:eastAsia="宋体"/>
                <w:b/>
                <w:bCs/>
                <w:spacing w:val="-3"/>
                <w:sz w:val="16"/>
                <w:szCs w:val="16"/>
              </w:rPr>
              <w:t>三级指标</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24" w:line="0" w:lineRule="atLeast"/>
              <w:jc w:val="center"/>
              <w:rPr>
                <w:rFonts w:eastAsia="宋体"/>
                <w:sz w:val="16"/>
                <w:szCs w:val="16"/>
              </w:rPr>
            </w:pPr>
            <w:r>
              <w:rPr>
                <w:rFonts w:eastAsia="宋体"/>
                <w:b/>
                <w:bCs/>
                <w:spacing w:val="-4"/>
                <w:sz w:val="16"/>
                <w:szCs w:val="16"/>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restart"/>
            <w:tcBorders>
              <w:top w:val="single" w:color="auto" w:sz="4" w:space="0"/>
              <w:left w:val="single" w:color="auto" w:sz="4" w:space="0"/>
              <w:bottom w:val="single" w:color="auto" w:sz="4" w:space="0"/>
              <w:right w:val="single" w:color="auto" w:sz="4" w:space="0"/>
            </w:tcBorders>
            <w:vAlign w:val="center"/>
          </w:tcPr>
          <w:p>
            <w:pPr>
              <w:spacing w:before="52" w:line="0" w:lineRule="atLeast"/>
              <w:ind w:left="30"/>
              <w:jc w:val="center"/>
              <w:rPr>
                <w:rFonts w:eastAsia="宋体"/>
                <w:sz w:val="16"/>
                <w:szCs w:val="16"/>
              </w:rPr>
            </w:pPr>
            <w:r>
              <w:rPr>
                <w:rFonts w:eastAsia="宋体"/>
                <w:spacing w:val="-2"/>
                <w:sz w:val="16"/>
                <w:szCs w:val="16"/>
              </w:rPr>
              <w:t>产出指标</w:t>
            </w:r>
          </w:p>
        </w:tc>
        <w:tc>
          <w:tcPr>
            <w:tcW w:w="837" w:type="pct"/>
            <w:vMerge w:val="restart"/>
            <w:tcBorders>
              <w:top w:val="single" w:color="auto" w:sz="4" w:space="0"/>
              <w:left w:val="single" w:color="auto" w:sz="4" w:space="0"/>
              <w:bottom w:val="single" w:color="auto" w:sz="4" w:space="0"/>
              <w:right w:val="single" w:color="auto" w:sz="4" w:space="0"/>
            </w:tcBorders>
            <w:vAlign w:val="center"/>
          </w:tcPr>
          <w:p>
            <w:pPr>
              <w:spacing w:before="52" w:line="0" w:lineRule="atLeast"/>
              <w:jc w:val="center"/>
              <w:rPr>
                <w:rFonts w:eastAsia="宋体"/>
                <w:sz w:val="16"/>
                <w:szCs w:val="16"/>
              </w:rPr>
            </w:pPr>
            <w:r>
              <w:rPr>
                <w:rFonts w:eastAsia="宋体"/>
                <w:spacing w:val="-2"/>
                <w:sz w:val="16"/>
                <w:szCs w:val="16"/>
              </w:rPr>
              <w:t>数量指标</w:t>
            </w:r>
          </w:p>
        </w:tc>
        <w:tc>
          <w:tcPr>
            <w:tcW w:w="1801" w:type="pct"/>
            <w:tcBorders>
              <w:top w:val="single" w:color="auto" w:sz="4" w:space="0"/>
              <w:left w:val="single" w:color="auto" w:sz="4" w:space="0"/>
              <w:bottom w:val="single" w:color="auto" w:sz="4" w:space="0"/>
              <w:right w:val="single" w:color="auto" w:sz="4" w:space="0"/>
            </w:tcBorders>
            <w:vAlign w:val="center"/>
          </w:tcPr>
          <w:p>
            <w:pPr>
              <w:spacing w:before="27" w:line="0" w:lineRule="atLeast"/>
              <w:ind w:left="42"/>
              <w:rPr>
                <w:rFonts w:eastAsia="宋体"/>
                <w:sz w:val="16"/>
                <w:szCs w:val="16"/>
              </w:rPr>
            </w:pPr>
            <w:r>
              <w:rPr>
                <w:rFonts w:eastAsia="宋体"/>
                <w:spacing w:val="2"/>
                <w:sz w:val="16"/>
                <w:szCs w:val="16"/>
              </w:rPr>
              <w:t>新增高效节水灌溉面积</w:t>
            </w:r>
            <w:r>
              <w:rPr>
                <w:rFonts w:hint="eastAsia" w:eastAsia="宋体"/>
                <w:spacing w:val="2"/>
                <w:sz w:val="16"/>
                <w:szCs w:val="16"/>
              </w:rPr>
              <w:t>（万亩）</w:t>
            </w:r>
          </w:p>
        </w:tc>
        <w:tc>
          <w:tcPr>
            <w:tcW w:w="1376"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sz w:val="18"/>
              </w:rPr>
            </w:pPr>
            <w:r>
              <w:rPr>
                <w:rFonts w:hint="eastAsia" w:eastAsia="微软雅黑"/>
                <w:sz w:val="18"/>
              </w:rPr>
              <w:t>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6" w:line="0" w:lineRule="atLeast"/>
              <w:ind w:left="42"/>
              <w:rPr>
                <w:rFonts w:eastAsia="宋体"/>
                <w:sz w:val="16"/>
                <w:szCs w:val="16"/>
              </w:rPr>
            </w:pPr>
            <w:r>
              <w:rPr>
                <w:rFonts w:eastAsia="宋体"/>
                <w:spacing w:val="2"/>
                <w:sz w:val="16"/>
                <w:szCs w:val="16"/>
              </w:rPr>
              <w:t>改造提升高标准农田面积(万亩)</w:t>
            </w:r>
          </w:p>
        </w:tc>
        <w:tc>
          <w:tcPr>
            <w:tcW w:w="1376"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sz w:val="18"/>
              </w:rPr>
            </w:pPr>
            <w:r>
              <w:rPr>
                <w:rFonts w:hint="eastAsia" w:eastAsia="微软雅黑"/>
                <w:sz w:val="18"/>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7" w:line="0" w:lineRule="atLeast"/>
              <w:ind w:left="42"/>
              <w:rPr>
                <w:rFonts w:eastAsia="宋体"/>
                <w:sz w:val="16"/>
                <w:szCs w:val="16"/>
              </w:rPr>
            </w:pPr>
            <w:r>
              <w:rPr>
                <w:rFonts w:eastAsia="宋体"/>
                <w:spacing w:val="2"/>
                <w:sz w:val="16"/>
                <w:szCs w:val="16"/>
              </w:rPr>
              <w:t>新建高标准农田面积(万亩)</w:t>
            </w:r>
          </w:p>
        </w:tc>
        <w:tc>
          <w:tcPr>
            <w:tcW w:w="1376"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sz w:val="18"/>
              </w:rPr>
            </w:pPr>
            <w:r>
              <w:rPr>
                <w:rFonts w:hint="eastAsia" w:eastAsia="微软雅黑"/>
                <w:sz w:val="18"/>
              </w:rPr>
              <w:t>124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7" w:line="0" w:lineRule="atLeast"/>
              <w:ind w:left="42"/>
              <w:rPr>
                <w:rFonts w:eastAsia="宋体"/>
                <w:sz w:val="16"/>
                <w:szCs w:val="16"/>
              </w:rPr>
            </w:pPr>
            <w:r>
              <w:rPr>
                <w:rFonts w:eastAsia="宋体"/>
                <w:spacing w:val="1"/>
                <w:sz w:val="16"/>
                <w:szCs w:val="16"/>
              </w:rPr>
              <w:t>开展盐碱地综合利用试点县数量(个)</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68" w:line="0" w:lineRule="atLeast"/>
              <w:jc w:val="center"/>
              <w:rPr>
                <w:rFonts w:eastAsia="宋体"/>
                <w:sz w:val="16"/>
                <w:szCs w:val="16"/>
              </w:rPr>
            </w:pPr>
            <w:r>
              <w:rPr>
                <w:rFonts w:hint="eastAsia" w:eastAsia="宋体"/>
                <w:spacing w:val="-3"/>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8" w:line="0" w:lineRule="atLeast"/>
              <w:ind w:left="42"/>
              <w:rPr>
                <w:rFonts w:eastAsia="宋体"/>
                <w:sz w:val="16"/>
                <w:szCs w:val="16"/>
              </w:rPr>
            </w:pPr>
            <w:r>
              <w:rPr>
                <w:rFonts w:eastAsia="宋体"/>
                <w:spacing w:val="2"/>
                <w:sz w:val="16"/>
                <w:szCs w:val="16"/>
              </w:rPr>
              <w:t>东北黑土地保护利用面积(万亩</w:t>
            </w:r>
            <w:r>
              <w:rPr>
                <w:rFonts w:hint="eastAsia" w:eastAsia="宋体"/>
                <w:spacing w:val="2"/>
                <w:sz w:val="16"/>
                <w:szCs w:val="16"/>
              </w:rPr>
              <w:t>）</w:t>
            </w:r>
          </w:p>
        </w:tc>
        <w:tc>
          <w:tcPr>
            <w:tcW w:w="1376" w:type="pct"/>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18"/>
                <w:szCs w:val="21"/>
              </w:rPr>
            </w:pPr>
            <w:r>
              <w:rPr>
                <w:rFonts w:ascii="Times New Roman" w:hAnsi="Times New Roman" w:eastAsia="微软雅黑" w:cs="Times New Roman"/>
                <w:sz w:val="18"/>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38" w:line="0" w:lineRule="atLeast"/>
              <w:ind w:left="42"/>
              <w:rPr>
                <w:rFonts w:eastAsia="宋体"/>
                <w:sz w:val="16"/>
                <w:szCs w:val="16"/>
              </w:rPr>
            </w:pPr>
            <w:r>
              <w:rPr>
                <w:rFonts w:eastAsia="宋体"/>
                <w:spacing w:val="2"/>
                <w:sz w:val="16"/>
                <w:szCs w:val="16"/>
              </w:rPr>
              <w:t>秸秆覆盖免(少)</w:t>
            </w:r>
            <w:r>
              <w:rPr>
                <w:rFonts w:eastAsia="宋体"/>
                <w:spacing w:val="1"/>
                <w:sz w:val="16"/>
                <w:szCs w:val="16"/>
              </w:rPr>
              <w:t>耕播种作业任务面积(万亩</w:t>
            </w:r>
            <w:r>
              <w:rPr>
                <w:rFonts w:hint="eastAsia" w:eastAsia="宋体"/>
                <w:spacing w:val="1"/>
                <w:sz w:val="16"/>
                <w:szCs w:val="16"/>
              </w:rPr>
              <w:t>）</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79" w:line="0" w:lineRule="atLeast"/>
              <w:jc w:val="center"/>
              <w:rPr>
                <w:rFonts w:eastAsia="宋体"/>
                <w:sz w:val="16"/>
                <w:szCs w:val="16"/>
              </w:rPr>
            </w:pPr>
            <w:r>
              <w:rPr>
                <w:rFonts w:eastAsia="微软雅黑"/>
                <w:sz w:val="18"/>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8" w:line="0" w:lineRule="atLeast"/>
              <w:ind w:left="42"/>
              <w:rPr>
                <w:rFonts w:eastAsia="宋体"/>
                <w:sz w:val="16"/>
                <w:szCs w:val="16"/>
              </w:rPr>
            </w:pPr>
            <w:r>
              <w:rPr>
                <w:rFonts w:eastAsia="宋体"/>
                <w:spacing w:val="1"/>
                <w:sz w:val="16"/>
                <w:szCs w:val="16"/>
              </w:rPr>
              <w:t>深松(翻)作业面积(万亩)</w:t>
            </w:r>
          </w:p>
        </w:tc>
        <w:tc>
          <w:tcPr>
            <w:tcW w:w="1376" w:type="pct"/>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18"/>
                <w:szCs w:val="21"/>
              </w:rPr>
            </w:pPr>
            <w:r>
              <w:rPr>
                <w:rFonts w:ascii="Times New Roman" w:hAnsi="Times New Roman" w:eastAsia="微软雅黑" w:cs="Times New Roman"/>
                <w:sz w:val="18"/>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8" w:line="0" w:lineRule="atLeast"/>
              <w:ind w:left="42"/>
              <w:rPr>
                <w:rFonts w:eastAsia="宋体"/>
                <w:sz w:val="16"/>
                <w:szCs w:val="16"/>
              </w:rPr>
            </w:pPr>
            <w:r>
              <w:rPr>
                <w:rFonts w:eastAsia="宋体"/>
                <w:spacing w:val="1"/>
                <w:sz w:val="16"/>
                <w:szCs w:val="16"/>
              </w:rPr>
              <w:t>耕地轮作试点面积(万亩)</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69" w:line="0" w:lineRule="atLeast"/>
              <w:jc w:val="center"/>
              <w:rPr>
                <w:rFonts w:eastAsia="宋体"/>
                <w:sz w:val="16"/>
                <w:szCs w:val="16"/>
              </w:rPr>
            </w:pPr>
            <w:r>
              <w:rPr>
                <w:rFonts w:hint="eastAsia" w:eastAsia="宋体"/>
                <w:spacing w:val="-5"/>
                <w:sz w:val="16"/>
                <w:szCs w:val="16"/>
              </w:rPr>
              <w:t>251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8" w:line="0" w:lineRule="atLeast"/>
              <w:ind w:left="42"/>
              <w:rPr>
                <w:rFonts w:eastAsia="宋体"/>
                <w:sz w:val="16"/>
                <w:szCs w:val="16"/>
              </w:rPr>
            </w:pPr>
            <w:r>
              <w:rPr>
                <w:rFonts w:eastAsia="宋体"/>
                <w:spacing w:val="2"/>
                <w:sz w:val="16"/>
                <w:szCs w:val="16"/>
              </w:rPr>
              <w:t>耕地休耕试点面积(万亩)</w:t>
            </w:r>
            <w:r>
              <w:rPr>
                <w:rFonts w:hint="eastAsia" w:eastAsia="宋体"/>
                <w:spacing w:val="2"/>
                <w:sz w:val="16"/>
                <w:szCs w:val="16"/>
              </w:rPr>
              <w:t>）</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69" w:line="0" w:lineRule="atLeast"/>
              <w:jc w:val="center"/>
              <w:rPr>
                <w:rFonts w:eastAsia="宋体"/>
                <w:sz w:val="16"/>
                <w:szCs w:val="16"/>
              </w:rPr>
            </w:pPr>
            <w:r>
              <w:rPr>
                <w:rFonts w:hint="eastAsia" w:eastAsia="宋体"/>
                <w:spacing w:val="-2"/>
                <w:sz w:val="16"/>
                <w:szCs w:val="16"/>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7" w:line="0" w:lineRule="atLeast"/>
              <w:ind w:left="42"/>
              <w:rPr>
                <w:rFonts w:eastAsia="宋体"/>
                <w:sz w:val="16"/>
                <w:szCs w:val="16"/>
              </w:rPr>
            </w:pPr>
            <w:r>
              <w:rPr>
                <w:rFonts w:eastAsia="宋体"/>
                <w:spacing w:val="2"/>
                <w:sz w:val="16"/>
                <w:szCs w:val="16"/>
              </w:rPr>
              <w:t>化肥减量增效“三新”集成推进县数量(个</w:t>
            </w:r>
            <w:r>
              <w:rPr>
                <w:rFonts w:hint="eastAsia" w:eastAsia="宋体"/>
                <w:spacing w:val="2"/>
                <w:sz w:val="16"/>
                <w:szCs w:val="16"/>
              </w:rPr>
              <w:t>）</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69" w:line="0" w:lineRule="atLeast"/>
              <w:jc w:val="center"/>
              <w:rPr>
                <w:rFonts w:eastAsia="宋体"/>
                <w:sz w:val="16"/>
                <w:szCs w:val="16"/>
              </w:rPr>
            </w:pPr>
            <w:r>
              <w:rPr>
                <w:rFonts w:hint="eastAsia" w:eastAsia="宋体"/>
                <w:spacing w:val="-5"/>
                <w:sz w:val="16"/>
                <w:szCs w:val="16"/>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8" w:line="0" w:lineRule="atLeast"/>
              <w:ind w:left="42"/>
              <w:rPr>
                <w:rFonts w:eastAsia="宋体"/>
                <w:sz w:val="16"/>
                <w:szCs w:val="16"/>
              </w:rPr>
            </w:pPr>
            <w:r>
              <w:rPr>
                <w:rFonts w:eastAsia="宋体"/>
                <w:spacing w:val="1"/>
                <w:sz w:val="16"/>
                <w:szCs w:val="16"/>
              </w:rPr>
              <w:t>农户施肥调查数量(户)</w:t>
            </w:r>
          </w:p>
        </w:tc>
        <w:tc>
          <w:tcPr>
            <w:tcW w:w="1376"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sz w:val="18"/>
              </w:rPr>
            </w:pPr>
            <w:r>
              <w:rPr>
                <w:rFonts w:hint="eastAsia" w:eastAsia="微软雅黑"/>
                <w:sz w:val="18"/>
              </w:rPr>
              <w:t>11000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39" w:line="0" w:lineRule="atLeast"/>
              <w:ind w:left="42"/>
              <w:rPr>
                <w:rFonts w:eastAsia="宋体"/>
                <w:sz w:val="16"/>
                <w:szCs w:val="16"/>
              </w:rPr>
            </w:pPr>
            <w:r>
              <w:rPr>
                <w:rFonts w:eastAsia="宋体"/>
                <w:spacing w:val="2"/>
                <w:sz w:val="16"/>
                <w:szCs w:val="16"/>
              </w:rPr>
              <w:t>田间试验数量(个)</w:t>
            </w:r>
          </w:p>
        </w:tc>
        <w:tc>
          <w:tcPr>
            <w:tcW w:w="1376"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sz w:val="20"/>
              </w:rPr>
            </w:pPr>
            <w:r>
              <w:rPr>
                <w:rFonts w:hint="eastAsia" w:eastAsia="微软雅黑"/>
                <w:sz w:val="18"/>
              </w:rPr>
              <w:t>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8" w:line="0" w:lineRule="atLeast"/>
              <w:ind w:left="42"/>
              <w:rPr>
                <w:rFonts w:eastAsia="宋体"/>
                <w:sz w:val="16"/>
                <w:szCs w:val="16"/>
              </w:rPr>
            </w:pPr>
            <w:r>
              <w:rPr>
                <w:rFonts w:eastAsia="宋体"/>
                <w:spacing w:val="1"/>
                <w:sz w:val="16"/>
                <w:szCs w:val="16"/>
              </w:rPr>
              <w:t>酸化耕地治理面积(万亩)</w:t>
            </w:r>
          </w:p>
        </w:tc>
        <w:tc>
          <w:tcPr>
            <w:tcW w:w="1376"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sz w:val="18"/>
              </w:rPr>
            </w:pPr>
            <w:r>
              <w:rPr>
                <w:rFonts w:eastAsia="微软雅黑"/>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9" w:line="0" w:lineRule="atLeast"/>
              <w:ind w:left="42"/>
              <w:rPr>
                <w:rFonts w:eastAsia="宋体"/>
                <w:sz w:val="16"/>
                <w:szCs w:val="16"/>
              </w:rPr>
            </w:pPr>
            <w:r>
              <w:rPr>
                <w:rFonts w:eastAsia="宋体"/>
                <w:spacing w:val="2"/>
                <w:sz w:val="16"/>
                <w:szCs w:val="16"/>
              </w:rPr>
              <w:t>外业调查采样和内业测试化验点位数(个)</w:t>
            </w:r>
          </w:p>
        </w:tc>
        <w:tc>
          <w:tcPr>
            <w:tcW w:w="1376"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sz w:val="18"/>
              </w:rPr>
            </w:pPr>
            <w:r>
              <w:rPr>
                <w:rFonts w:hint="eastAsia" w:eastAsia="微软雅黑"/>
                <w:sz w:val="18"/>
              </w:rPr>
              <w:t>25350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29" w:line="0" w:lineRule="atLeast"/>
              <w:ind w:left="42"/>
              <w:rPr>
                <w:rFonts w:eastAsia="宋体"/>
                <w:sz w:val="16"/>
                <w:szCs w:val="16"/>
              </w:rPr>
            </w:pPr>
            <w:r>
              <w:rPr>
                <w:rFonts w:eastAsia="宋体"/>
                <w:spacing w:val="2"/>
                <w:sz w:val="16"/>
                <w:szCs w:val="16"/>
              </w:rPr>
              <w:t>生产障碍耕地治理面积(万亩)</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71" w:line="0" w:lineRule="atLeast"/>
              <w:jc w:val="center"/>
              <w:rPr>
                <w:rFonts w:eastAsia="宋体"/>
                <w:sz w:val="16"/>
                <w:szCs w:val="16"/>
              </w:rPr>
            </w:pPr>
            <w:r>
              <w:rPr>
                <w:rFonts w:eastAsia="微软雅黑"/>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30" w:line="0" w:lineRule="atLeast"/>
              <w:ind w:left="42"/>
              <w:rPr>
                <w:rFonts w:eastAsia="宋体"/>
                <w:sz w:val="16"/>
                <w:szCs w:val="16"/>
              </w:rPr>
            </w:pPr>
            <w:r>
              <w:rPr>
                <w:rFonts w:eastAsia="宋体"/>
                <w:spacing w:val="2"/>
                <w:sz w:val="16"/>
                <w:szCs w:val="16"/>
              </w:rPr>
              <w:t>生产障碍耕地治理重点县数量(个)</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73" w:line="0" w:lineRule="atLeast"/>
              <w:jc w:val="center"/>
              <w:rPr>
                <w:rFonts w:eastAsia="宋体"/>
                <w:sz w:val="16"/>
                <w:szCs w:val="16"/>
              </w:rPr>
            </w:pPr>
            <w:r>
              <w:rPr>
                <w:rFonts w:eastAsia="微软雅黑"/>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lang w:eastAsia="zh-CN"/>
              </w:rPr>
            </w:pPr>
            <w:r>
              <w:rPr>
                <w:rFonts w:hint="eastAsia" w:ascii="Times New Roman" w:hAnsi="Times New Roman" w:cs="Times New Roman"/>
                <w:spacing w:val="-3"/>
                <w:sz w:val="16"/>
                <w:szCs w:val="16"/>
                <w:lang w:eastAsia="zh-CN"/>
              </w:rPr>
              <w:t>质量指标</w:t>
            </w:r>
          </w:p>
        </w:tc>
        <w:tc>
          <w:tcPr>
            <w:tcW w:w="1801" w:type="pct"/>
            <w:tcBorders>
              <w:top w:val="single" w:color="auto" w:sz="4" w:space="0"/>
              <w:left w:val="single" w:color="auto" w:sz="4" w:space="0"/>
              <w:bottom w:val="single" w:color="auto" w:sz="4" w:space="0"/>
              <w:right w:val="single" w:color="auto" w:sz="4" w:space="0"/>
            </w:tcBorders>
            <w:vAlign w:val="center"/>
          </w:tcPr>
          <w:p>
            <w:pPr>
              <w:spacing w:before="31" w:line="0" w:lineRule="atLeast"/>
              <w:ind w:left="42"/>
              <w:rPr>
                <w:rFonts w:eastAsia="宋体"/>
                <w:sz w:val="16"/>
                <w:szCs w:val="16"/>
              </w:rPr>
            </w:pPr>
            <w:r>
              <w:rPr>
                <w:rFonts w:eastAsia="宋体"/>
                <w:spacing w:val="-1"/>
                <w:sz w:val="16"/>
                <w:szCs w:val="16"/>
              </w:rPr>
              <w:t>高标准农田建设项目验收合格率</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46" w:line="0" w:lineRule="atLeast"/>
              <w:jc w:val="center"/>
              <w:rPr>
                <w:rFonts w:eastAsia="宋体"/>
                <w:sz w:val="16"/>
                <w:szCs w:val="16"/>
              </w:rPr>
            </w:pPr>
            <w:r>
              <w:rPr>
                <w:rFonts w:eastAsia="宋体"/>
                <w:spacing w:val="-5"/>
                <w:sz w:val="16"/>
                <w:szCs w:val="16"/>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restart"/>
            <w:tcBorders>
              <w:top w:val="single" w:color="auto" w:sz="4" w:space="0"/>
              <w:left w:val="single" w:color="auto" w:sz="4" w:space="0"/>
              <w:bottom w:val="single" w:color="auto" w:sz="4" w:space="0"/>
              <w:right w:val="single" w:color="auto" w:sz="4" w:space="0"/>
            </w:tcBorders>
            <w:vAlign w:val="center"/>
          </w:tcPr>
          <w:p>
            <w:pPr>
              <w:spacing w:before="153" w:line="0" w:lineRule="atLeast"/>
              <w:jc w:val="center"/>
              <w:rPr>
                <w:rFonts w:eastAsia="宋体"/>
                <w:sz w:val="16"/>
                <w:szCs w:val="16"/>
              </w:rPr>
            </w:pPr>
            <w:r>
              <w:rPr>
                <w:rFonts w:eastAsia="宋体"/>
                <w:spacing w:val="-3"/>
                <w:sz w:val="16"/>
                <w:szCs w:val="16"/>
              </w:rPr>
              <w:t>时效指标</w:t>
            </w:r>
          </w:p>
        </w:tc>
        <w:tc>
          <w:tcPr>
            <w:tcW w:w="1801" w:type="pct"/>
            <w:tcBorders>
              <w:top w:val="single" w:color="auto" w:sz="4" w:space="0"/>
              <w:left w:val="single" w:color="auto" w:sz="4" w:space="0"/>
              <w:bottom w:val="single" w:color="auto" w:sz="4" w:space="0"/>
              <w:right w:val="single" w:color="auto" w:sz="4" w:space="0"/>
            </w:tcBorders>
            <w:vAlign w:val="center"/>
          </w:tcPr>
          <w:p>
            <w:pPr>
              <w:spacing w:before="32" w:line="0" w:lineRule="atLeast"/>
              <w:ind w:left="42"/>
              <w:rPr>
                <w:rFonts w:eastAsia="宋体"/>
                <w:sz w:val="16"/>
                <w:szCs w:val="16"/>
              </w:rPr>
            </w:pPr>
            <w:r>
              <w:rPr>
                <w:rFonts w:eastAsia="宋体"/>
                <w:spacing w:val="-1"/>
                <w:sz w:val="16"/>
                <w:szCs w:val="16"/>
              </w:rPr>
              <w:t>耕地地力保护补贴发放时限</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32" w:line="0" w:lineRule="atLeast"/>
              <w:jc w:val="center"/>
              <w:rPr>
                <w:rFonts w:eastAsia="宋体"/>
                <w:sz w:val="16"/>
                <w:szCs w:val="16"/>
              </w:rPr>
            </w:pPr>
            <w:r>
              <w:rPr>
                <w:rFonts w:eastAsia="宋体"/>
                <w:spacing w:val="2"/>
                <w:sz w:val="16"/>
                <w:szCs w:val="16"/>
              </w:rPr>
              <w:t>202</w:t>
            </w:r>
            <w:r>
              <w:rPr>
                <w:rFonts w:hint="eastAsia" w:eastAsia="宋体"/>
                <w:spacing w:val="2"/>
                <w:sz w:val="16"/>
                <w:szCs w:val="16"/>
              </w:rPr>
              <w:t>4</w:t>
            </w:r>
            <w:r>
              <w:rPr>
                <w:rFonts w:eastAsia="宋体"/>
                <w:spacing w:val="2"/>
                <w:sz w:val="16"/>
                <w:szCs w:val="16"/>
              </w:rPr>
              <w:t>年6月30日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32" w:line="0" w:lineRule="atLeast"/>
              <w:ind w:left="42"/>
              <w:rPr>
                <w:rFonts w:eastAsia="宋体"/>
                <w:sz w:val="16"/>
                <w:szCs w:val="16"/>
              </w:rPr>
            </w:pPr>
            <w:r>
              <w:rPr>
                <w:rFonts w:eastAsia="宋体"/>
                <w:spacing w:val="-1"/>
                <w:sz w:val="16"/>
                <w:szCs w:val="16"/>
              </w:rPr>
              <w:t>高标准农田建设任务完成及时性</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32" w:line="0" w:lineRule="atLeast"/>
              <w:jc w:val="center"/>
              <w:rPr>
                <w:rFonts w:eastAsia="宋体"/>
                <w:sz w:val="16"/>
                <w:szCs w:val="16"/>
              </w:rPr>
            </w:pPr>
            <w:r>
              <w:rPr>
                <w:rFonts w:eastAsia="宋体"/>
                <w:spacing w:val="1"/>
                <w:sz w:val="16"/>
                <w:szCs w:val="16"/>
              </w:rPr>
              <w:t>1—2年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restart"/>
            <w:tcBorders>
              <w:top w:val="single" w:color="auto" w:sz="4" w:space="0"/>
              <w:left w:val="single" w:color="auto" w:sz="4" w:space="0"/>
              <w:bottom w:val="single" w:color="auto" w:sz="4" w:space="0"/>
              <w:right w:val="single" w:color="auto" w:sz="4" w:space="0"/>
            </w:tcBorders>
            <w:vAlign w:val="center"/>
          </w:tcPr>
          <w:p>
            <w:pPr>
              <w:spacing w:before="52" w:line="0" w:lineRule="atLeast"/>
              <w:jc w:val="center"/>
              <w:rPr>
                <w:rFonts w:eastAsia="宋体"/>
                <w:sz w:val="16"/>
                <w:szCs w:val="16"/>
              </w:rPr>
            </w:pPr>
            <w:r>
              <w:rPr>
                <w:rFonts w:eastAsia="宋体"/>
                <w:spacing w:val="-2"/>
                <w:sz w:val="16"/>
                <w:szCs w:val="16"/>
              </w:rPr>
              <w:t>效益指标</w:t>
            </w:r>
          </w:p>
        </w:tc>
        <w:tc>
          <w:tcPr>
            <w:tcW w:w="837" w:type="pct"/>
            <w:vMerge w:val="restart"/>
            <w:tcBorders>
              <w:top w:val="single" w:color="auto" w:sz="4" w:space="0"/>
              <w:left w:val="single" w:color="auto" w:sz="4" w:space="0"/>
              <w:bottom w:val="single" w:color="auto" w:sz="4" w:space="0"/>
              <w:right w:val="single" w:color="auto" w:sz="4" w:space="0"/>
            </w:tcBorders>
            <w:vAlign w:val="center"/>
          </w:tcPr>
          <w:p>
            <w:pPr>
              <w:spacing w:before="52" w:line="0" w:lineRule="atLeast"/>
              <w:jc w:val="center"/>
              <w:rPr>
                <w:rFonts w:eastAsia="宋体"/>
                <w:sz w:val="16"/>
                <w:szCs w:val="16"/>
              </w:rPr>
            </w:pPr>
            <w:r>
              <w:rPr>
                <w:rFonts w:eastAsia="宋体"/>
                <w:spacing w:val="-2"/>
                <w:sz w:val="16"/>
                <w:szCs w:val="16"/>
              </w:rPr>
              <w:t>社会效益指标</w:t>
            </w:r>
          </w:p>
        </w:tc>
        <w:tc>
          <w:tcPr>
            <w:tcW w:w="1801" w:type="pct"/>
            <w:tcBorders>
              <w:top w:val="single" w:color="auto" w:sz="4" w:space="0"/>
              <w:left w:val="single" w:color="auto" w:sz="4" w:space="0"/>
              <w:bottom w:val="single" w:color="auto" w:sz="4" w:space="0"/>
              <w:right w:val="single" w:color="auto" w:sz="4" w:space="0"/>
            </w:tcBorders>
            <w:vAlign w:val="center"/>
          </w:tcPr>
          <w:p>
            <w:pPr>
              <w:spacing w:before="32" w:line="0" w:lineRule="atLeast"/>
              <w:ind w:left="42"/>
              <w:rPr>
                <w:rFonts w:eastAsia="宋体"/>
                <w:sz w:val="16"/>
                <w:szCs w:val="16"/>
              </w:rPr>
            </w:pPr>
            <w:r>
              <w:rPr>
                <w:rFonts w:eastAsia="宋体"/>
                <w:spacing w:val="1"/>
                <w:sz w:val="16"/>
                <w:szCs w:val="16"/>
              </w:rPr>
              <w:t>粮食综合生产能力</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32" w:line="0" w:lineRule="atLeast"/>
              <w:jc w:val="center"/>
              <w:rPr>
                <w:rFonts w:eastAsia="宋体"/>
                <w:sz w:val="16"/>
                <w:szCs w:val="16"/>
              </w:rPr>
            </w:pPr>
            <w:r>
              <w:rPr>
                <w:rFonts w:eastAsia="宋体"/>
                <w:spacing w:val="2"/>
                <w:sz w:val="16"/>
                <w:szCs w:val="16"/>
              </w:rPr>
              <w:t>明显提升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vAlign w:val="center"/>
          </w:tcPr>
          <w:p>
            <w:pPr>
              <w:spacing w:before="32" w:line="0" w:lineRule="atLeast"/>
              <w:ind w:left="42"/>
              <w:rPr>
                <w:rFonts w:eastAsia="宋体"/>
                <w:sz w:val="16"/>
                <w:szCs w:val="16"/>
              </w:rPr>
            </w:pPr>
            <w:r>
              <w:rPr>
                <w:rFonts w:eastAsia="宋体"/>
                <w:sz w:val="16"/>
                <w:szCs w:val="16"/>
              </w:rPr>
              <w:t>资金使用重大违规违纪问题</w:t>
            </w:r>
          </w:p>
        </w:tc>
        <w:tc>
          <w:tcPr>
            <w:tcW w:w="1376" w:type="pct"/>
            <w:tcBorders>
              <w:top w:val="single" w:color="auto" w:sz="4" w:space="0"/>
              <w:left w:val="single" w:color="auto" w:sz="4" w:space="0"/>
              <w:bottom w:val="single" w:color="auto" w:sz="4" w:space="0"/>
              <w:right w:val="single" w:color="auto" w:sz="4" w:space="0"/>
            </w:tcBorders>
            <w:vAlign w:val="center"/>
          </w:tcPr>
          <w:p>
            <w:pPr>
              <w:spacing w:before="33" w:line="0" w:lineRule="atLeast"/>
              <w:jc w:val="center"/>
              <w:rPr>
                <w:rFonts w:eastAsia="宋体"/>
                <w:sz w:val="16"/>
                <w:szCs w:val="16"/>
              </w:rPr>
            </w:pPr>
            <w:r>
              <w:rPr>
                <w:rFonts w:eastAsia="宋体"/>
                <w:sz w:val="16"/>
                <w:szCs w:val="16"/>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tcBorders>
              <w:top w:val="single" w:color="auto" w:sz="4" w:space="0"/>
              <w:left w:val="single" w:color="auto" w:sz="4" w:space="0"/>
              <w:bottom w:val="single" w:color="auto" w:sz="4" w:space="0"/>
              <w:right w:val="single" w:color="auto" w:sz="4" w:space="0"/>
            </w:tcBorders>
            <w:vAlign w:val="center"/>
          </w:tcPr>
          <w:p>
            <w:pPr>
              <w:spacing w:before="34" w:line="0" w:lineRule="atLeast"/>
              <w:ind w:left="91"/>
              <w:jc w:val="center"/>
              <w:rPr>
                <w:rFonts w:eastAsia="宋体"/>
                <w:sz w:val="16"/>
                <w:szCs w:val="16"/>
              </w:rPr>
            </w:pPr>
            <w:r>
              <w:rPr>
                <w:rFonts w:eastAsia="宋体"/>
                <w:spacing w:val="-2"/>
                <w:sz w:val="16"/>
                <w:szCs w:val="16"/>
              </w:rPr>
              <w:t>生态效益指标</w:t>
            </w:r>
          </w:p>
        </w:tc>
        <w:tc>
          <w:tcPr>
            <w:tcW w:w="1801" w:type="pct"/>
            <w:tcBorders>
              <w:top w:val="single" w:color="auto" w:sz="4" w:space="0"/>
              <w:left w:val="single" w:color="auto" w:sz="4" w:space="0"/>
              <w:bottom w:val="single" w:color="auto" w:sz="4" w:space="0"/>
              <w:right w:val="single" w:color="auto" w:sz="4" w:space="0"/>
            </w:tcBorders>
            <w:vAlign w:val="center"/>
          </w:tcPr>
          <w:p>
            <w:pPr>
              <w:spacing w:before="33" w:line="0" w:lineRule="atLeast"/>
              <w:ind w:left="42"/>
              <w:rPr>
                <w:rFonts w:eastAsia="宋体"/>
                <w:sz w:val="16"/>
                <w:szCs w:val="16"/>
              </w:rPr>
            </w:pPr>
            <w:r>
              <w:rPr>
                <w:rFonts w:eastAsia="宋体"/>
                <w:spacing w:val="-1"/>
                <w:sz w:val="16"/>
                <w:szCs w:val="16"/>
              </w:rPr>
              <w:t>项目区受污染耕地安全利用率</w:t>
            </w:r>
          </w:p>
        </w:tc>
        <w:tc>
          <w:tcPr>
            <w:tcW w:w="1376" w:type="pct"/>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18"/>
                <w:szCs w:val="21"/>
              </w:rPr>
            </w:pPr>
            <w:r>
              <w:rPr>
                <w:rFonts w:ascii="Times New Roman" w:hAnsi="Times New Roman" w:eastAsia="微软雅黑" w:cs="Times New Roman"/>
                <w:sz w:val="18"/>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restart"/>
            <w:tcBorders>
              <w:top w:val="single" w:color="auto" w:sz="4" w:space="0"/>
              <w:left w:val="single" w:color="auto" w:sz="4" w:space="0"/>
              <w:bottom w:val="single" w:color="auto" w:sz="4" w:space="0"/>
              <w:right w:val="single" w:color="auto" w:sz="4" w:space="0"/>
            </w:tcBorders>
            <w:vAlign w:val="center"/>
          </w:tcPr>
          <w:p>
            <w:pPr>
              <w:spacing w:before="55" w:line="0" w:lineRule="atLeast"/>
              <w:ind w:left="270" w:right="54" w:hanging="240"/>
              <w:jc w:val="center"/>
              <w:rPr>
                <w:rFonts w:eastAsia="宋体"/>
                <w:sz w:val="16"/>
                <w:szCs w:val="16"/>
              </w:rPr>
            </w:pPr>
            <w:r>
              <w:rPr>
                <w:rFonts w:eastAsia="宋体"/>
                <w:spacing w:val="-2"/>
                <w:sz w:val="16"/>
                <w:szCs w:val="16"/>
              </w:rPr>
              <w:t>满意度指</w:t>
            </w:r>
            <w:r>
              <w:rPr>
                <w:rFonts w:eastAsia="宋体"/>
                <w:sz w:val="16"/>
                <w:szCs w:val="16"/>
              </w:rPr>
              <w:t>标</w:t>
            </w:r>
          </w:p>
        </w:tc>
        <w:tc>
          <w:tcPr>
            <w:tcW w:w="837" w:type="pct"/>
            <w:vMerge w:val="restart"/>
            <w:tcBorders>
              <w:top w:val="single" w:color="auto" w:sz="4" w:space="0"/>
              <w:left w:val="single" w:color="auto" w:sz="4" w:space="0"/>
              <w:bottom w:val="single" w:color="auto" w:sz="4" w:space="0"/>
              <w:right w:val="single" w:color="auto" w:sz="4" w:space="0"/>
            </w:tcBorders>
            <w:vAlign w:val="center"/>
          </w:tcPr>
          <w:p>
            <w:pPr>
              <w:spacing w:before="66" w:line="0" w:lineRule="atLeast"/>
              <w:ind w:left="411" w:right="23" w:hanging="400"/>
              <w:jc w:val="center"/>
              <w:rPr>
                <w:rFonts w:eastAsia="宋体"/>
                <w:sz w:val="16"/>
                <w:szCs w:val="16"/>
              </w:rPr>
            </w:pPr>
            <w:r>
              <w:rPr>
                <w:rFonts w:eastAsia="宋体"/>
                <w:spacing w:val="-1"/>
                <w:sz w:val="16"/>
                <w:szCs w:val="16"/>
              </w:rPr>
              <w:t>服务对象满意度</w:t>
            </w:r>
            <w:r>
              <w:rPr>
                <w:rFonts w:eastAsia="宋体"/>
                <w:spacing w:val="-3"/>
                <w:sz w:val="16"/>
                <w:szCs w:val="16"/>
              </w:rPr>
              <w:t>指标</w:t>
            </w:r>
          </w:p>
        </w:tc>
        <w:tc>
          <w:tcPr>
            <w:tcW w:w="1801"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34" w:line="0" w:lineRule="atLeast"/>
              <w:ind w:left="42"/>
              <w:rPr>
                <w:rFonts w:eastAsia="宋体"/>
                <w:sz w:val="16"/>
                <w:szCs w:val="16"/>
              </w:rPr>
            </w:pPr>
            <w:r>
              <w:rPr>
                <w:rFonts w:eastAsia="宋体"/>
                <w:spacing w:val="-1"/>
                <w:sz w:val="16"/>
                <w:szCs w:val="16"/>
              </w:rPr>
              <w:t>耕地地力保护补贴政策满意度</w:t>
            </w:r>
          </w:p>
        </w:tc>
        <w:tc>
          <w:tcPr>
            <w:tcW w:w="1376"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51" w:line="0" w:lineRule="atLeast"/>
              <w:jc w:val="center"/>
              <w:rPr>
                <w:rFonts w:eastAsia="宋体"/>
                <w:sz w:val="16"/>
                <w:szCs w:val="16"/>
              </w:rPr>
            </w:pPr>
            <w:r>
              <w:rPr>
                <w:rFonts w:eastAsia="宋体"/>
                <w:spacing w:val="-5"/>
                <w:sz w:val="16"/>
                <w:szCs w:val="16"/>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atLeast"/>
        </w:trPr>
        <w:tc>
          <w:tcPr>
            <w:tcW w:w="371"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612"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837" w:type="pct"/>
            <w:vMerge w:val="continue"/>
            <w:tcBorders>
              <w:top w:val="single" w:color="auto" w:sz="4" w:space="0"/>
              <w:left w:val="single" w:color="auto" w:sz="4" w:space="0"/>
              <w:bottom w:val="single" w:color="auto" w:sz="4" w:space="0"/>
              <w:right w:val="single" w:color="auto" w:sz="4" w:space="0"/>
            </w:tcBorders>
            <w:vAlign w:val="center"/>
          </w:tcPr>
          <w:p>
            <w:pPr>
              <w:pStyle w:val="14"/>
              <w:spacing w:line="0" w:lineRule="atLeast"/>
              <w:jc w:val="center"/>
              <w:rPr>
                <w:rFonts w:ascii="Times New Roman" w:hAnsi="Times New Roman" w:cs="Times New Roman"/>
                <w:sz w:val="21"/>
                <w:szCs w:val="21"/>
              </w:rPr>
            </w:pPr>
          </w:p>
        </w:tc>
        <w:tc>
          <w:tcPr>
            <w:tcW w:w="1801"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35" w:line="0" w:lineRule="atLeast"/>
              <w:ind w:left="42"/>
              <w:rPr>
                <w:rFonts w:eastAsia="宋体"/>
                <w:sz w:val="16"/>
                <w:szCs w:val="16"/>
              </w:rPr>
            </w:pPr>
            <w:r>
              <w:rPr>
                <w:rFonts w:eastAsia="宋体"/>
                <w:spacing w:val="-2"/>
                <w:sz w:val="16"/>
                <w:szCs w:val="16"/>
              </w:rPr>
              <w:t>受益群众满意率</w:t>
            </w:r>
          </w:p>
        </w:tc>
        <w:tc>
          <w:tcPr>
            <w:tcW w:w="1376"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51" w:line="0" w:lineRule="atLeast"/>
              <w:jc w:val="center"/>
              <w:rPr>
                <w:rFonts w:eastAsia="宋体"/>
                <w:spacing w:val="-5"/>
                <w:sz w:val="16"/>
                <w:szCs w:val="16"/>
              </w:rPr>
            </w:pPr>
            <w:r>
              <w:rPr>
                <w:rFonts w:eastAsia="宋体"/>
                <w:spacing w:val="-5"/>
                <w:sz w:val="16"/>
                <w:szCs w:val="16"/>
              </w:rPr>
              <w:t>≥90%</w:t>
            </w:r>
          </w:p>
        </w:tc>
      </w:tr>
    </w:tbl>
    <w:p>
      <w:pPr>
        <w:spacing w:line="219" w:lineRule="auto"/>
        <w:outlineLvl w:val="0"/>
        <w:rPr>
          <w:rFonts w:eastAsia="宋体"/>
          <w:b/>
          <w:bCs/>
          <w:spacing w:val="2"/>
          <w:sz w:val="22"/>
          <w:szCs w:val="22"/>
        </w:rPr>
      </w:pPr>
    </w:p>
    <w:p>
      <w:pPr>
        <w:pStyle w:val="11"/>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6"/>
        </w:rPr>
        <w:t>（二）</w:t>
      </w:r>
      <w:r>
        <w:rPr>
          <w:rFonts w:ascii="Times New Roman" w:hAnsi="Times New Roman" w:eastAsia="楷体"/>
          <w:b/>
          <w:bCs/>
          <w:sz w:val="32"/>
          <w:szCs w:val="32"/>
        </w:rPr>
        <w:t>自治区</w:t>
      </w:r>
      <w:r>
        <w:rPr>
          <w:rFonts w:ascii="Times New Roman" w:hAnsi="Times New Roman" w:eastAsia="楷体"/>
          <w:b/>
          <w:bCs/>
          <w:sz w:val="32"/>
          <w:szCs w:val="36"/>
        </w:rPr>
        <w:t>分解下达预算和</w:t>
      </w:r>
      <w:r>
        <w:rPr>
          <w:rFonts w:ascii="Times New Roman" w:hAnsi="Times New Roman" w:eastAsia="楷体"/>
          <w:b/>
          <w:bCs/>
          <w:sz w:val="32"/>
          <w:szCs w:val="32"/>
        </w:rPr>
        <w:t>绩效目标情况</w:t>
      </w:r>
    </w:p>
    <w:p>
      <w:pPr>
        <w:pStyle w:val="11"/>
        <w:spacing w:after="0" w:line="560" w:lineRule="exact"/>
        <w:ind w:left="0" w:leftChars="0" w:firstLine="643"/>
        <w:rPr>
          <w:rFonts w:ascii="Times New Roman" w:hAnsi="Times New Roman"/>
        </w:rPr>
      </w:pPr>
      <w:r>
        <w:rPr>
          <w:rFonts w:ascii="Times New Roman" w:hAnsi="Times New Roman" w:eastAsia="楷体"/>
          <w:b/>
          <w:bCs/>
          <w:sz w:val="32"/>
          <w:szCs w:val="32"/>
        </w:rPr>
        <w:t>1.分解下达中央预算情况</w:t>
      </w:r>
    </w:p>
    <w:p>
      <w:pPr>
        <w:pStyle w:val="11"/>
        <w:spacing w:line="560" w:lineRule="exact"/>
        <w:ind w:left="0" w:leftChars="0" w:firstLine="640"/>
        <w:rPr>
          <w:rFonts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4</w:t>
      </w:r>
      <w:r>
        <w:rPr>
          <w:rFonts w:ascii="Times New Roman" w:hAnsi="Times New Roman"/>
          <w:sz w:val="32"/>
          <w:szCs w:val="32"/>
        </w:rPr>
        <w:t>年度，</w:t>
      </w:r>
      <w:r>
        <w:rPr>
          <w:rFonts w:hint="eastAsia" w:ascii="Times New Roman" w:hAnsi="Times New Roman"/>
          <w:sz w:val="32"/>
          <w:szCs w:val="32"/>
        </w:rPr>
        <w:t>自治区分解</w:t>
      </w:r>
      <w:r>
        <w:rPr>
          <w:rFonts w:ascii="Times New Roman" w:hAnsi="Times New Roman"/>
          <w:sz w:val="32"/>
          <w:szCs w:val="32"/>
        </w:rPr>
        <w:t>下达耕地建设与利用资金</w:t>
      </w:r>
      <w:r>
        <w:rPr>
          <w:rFonts w:hint="eastAsia" w:ascii="Times New Roman" w:hAnsi="Times New Roman"/>
          <w:sz w:val="32"/>
          <w:szCs w:val="32"/>
        </w:rPr>
        <w:t>825308.3</w:t>
      </w:r>
      <w:r>
        <w:rPr>
          <w:rFonts w:hint="eastAsia" w:ascii="Times New Roman" w:hAnsi="Times New Roman"/>
          <w:sz w:val="32"/>
          <w:szCs w:val="32"/>
          <w:lang w:val="en-US" w:eastAsia="zh-CN"/>
        </w:rPr>
        <w:t>7</w:t>
      </w:r>
      <w:r>
        <w:rPr>
          <w:rFonts w:ascii="Times New Roman" w:hAnsi="Times New Roman"/>
          <w:sz w:val="32"/>
          <w:szCs w:val="32"/>
        </w:rPr>
        <w:t>万元，用于耕地建设与利用，详细如下：</w:t>
      </w:r>
    </w:p>
    <w:p>
      <w:pPr>
        <w:pStyle w:val="10"/>
        <w:ind w:firstLine="640" w:firstLineChars="200"/>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rPr>
        <w:t>2024年，自治区财政共下达中央耕地建设与利用资金710646万元</w:t>
      </w:r>
      <w:r>
        <w:rPr>
          <w:rFonts w:hint="eastAsia" w:ascii="Times New Roman" w:hAnsi="Times New Roman" w:eastAsia="仿宋_GB2312" w:cs="Times New Roman"/>
          <w:sz w:val="32"/>
          <w:lang w:val="en-US" w:eastAsia="zh-CN"/>
        </w:rPr>
        <w:t>。其中：</w:t>
      </w:r>
    </w:p>
    <w:p>
      <w:pPr>
        <w:pStyle w:val="10"/>
        <w:ind w:firstLine="640" w:firstLineChars="200"/>
        <w:rPr>
          <w:rFonts w:ascii="Times New Roman" w:hAnsi="Times New Roman" w:eastAsia="仿宋_GB2312" w:cs="Times New Roman"/>
          <w:sz w:val="32"/>
          <w:lang w:val="en-US"/>
        </w:rPr>
      </w:pPr>
      <w:r>
        <w:rPr>
          <w:rFonts w:hint="eastAsia" w:ascii="Times New Roman" w:hAnsi="Times New Roman" w:eastAsia="仿宋_GB2312" w:cs="Times New Roman"/>
          <w:sz w:val="32"/>
          <w:lang w:val="en-US"/>
        </w:rPr>
        <w:t>2023年12月8日</w:t>
      </w:r>
      <w:r>
        <w:rPr>
          <w:rFonts w:hint="eastAsia" w:ascii="Times New Roman" w:hAnsi="Times New Roman" w:cs="Times New Roman"/>
          <w:sz w:val="32"/>
          <w:lang w:val="en-US"/>
        </w:rPr>
        <w:t>，</w:t>
      </w:r>
      <w:r>
        <w:rPr>
          <w:rFonts w:ascii="Times New Roman" w:hAnsi="Times New Roman" w:eastAsia="仿宋_GB2312" w:cs="Times New Roman"/>
          <w:sz w:val="32"/>
        </w:rPr>
        <w:t>自治区财政厅下发</w:t>
      </w:r>
      <w:r>
        <w:rPr>
          <w:rFonts w:hint="eastAsia" w:ascii="Times New Roman" w:hAnsi="Times New Roman" w:eastAsia="仿宋_GB2312" w:cs="Times New Roman"/>
          <w:sz w:val="32"/>
        </w:rPr>
        <w:t>《</w:t>
      </w:r>
      <w:r>
        <w:rPr>
          <w:rFonts w:ascii="Times New Roman" w:hAnsi="Times New Roman" w:eastAsia="仿宋_GB2312" w:cs="Times New Roman"/>
          <w:sz w:val="32"/>
        </w:rPr>
        <w:t>关于提前下达2024年中央耕地建设与利用资金预算的通知</w:t>
      </w:r>
      <w:r>
        <w:rPr>
          <w:rFonts w:hint="eastAsia" w:ascii="Times New Roman" w:hAnsi="Times New Roman" w:eastAsia="仿宋_GB2312" w:cs="Times New Roman"/>
          <w:sz w:val="32"/>
        </w:rPr>
        <w:t>》</w:t>
      </w:r>
      <w:r>
        <w:rPr>
          <w:rFonts w:ascii="Times New Roman" w:hAnsi="Times New Roman" w:eastAsia="仿宋_GB2312" w:cs="Times New Roman"/>
          <w:sz w:val="32"/>
        </w:rPr>
        <w:t>（新财农〔2023〕91号</w:t>
      </w:r>
      <w:r>
        <w:rPr>
          <w:rFonts w:hint="eastAsia" w:ascii="Times New Roman" w:hAnsi="Times New Roman" w:eastAsia="仿宋_GB2312" w:cs="Times New Roman"/>
          <w:sz w:val="32"/>
        </w:rPr>
        <w:t>）</w:t>
      </w:r>
      <w:r>
        <w:rPr>
          <w:rFonts w:hint="eastAsia" w:ascii="Times New Roman" w:hAnsi="Times New Roman" w:eastAsia="仿宋_GB2312" w:cs="Times New Roman"/>
          <w:sz w:val="32"/>
          <w:lang w:val="en-US"/>
        </w:rPr>
        <w:t>下达资金483916万元。</w:t>
      </w:r>
    </w:p>
    <w:p>
      <w:pPr>
        <w:pStyle w:val="11"/>
        <w:spacing w:after="0" w:line="560" w:lineRule="exact"/>
        <w:ind w:left="0" w:leftChars="0" w:firstLine="640"/>
        <w:rPr>
          <w:rFonts w:hint="default" w:ascii="Times New Roman" w:hAnsi="Times New Roman" w:eastAsia="仿宋_GB2312"/>
          <w:sz w:val="32"/>
          <w:lang w:val="en-US" w:eastAsia="zh-CN"/>
        </w:rPr>
      </w:pPr>
      <w:r>
        <w:rPr>
          <w:rFonts w:hint="eastAsia" w:ascii="Times New Roman" w:hAnsi="Times New Roman"/>
          <w:sz w:val="32"/>
        </w:rPr>
        <w:t>2024年5月26日，</w:t>
      </w:r>
      <w:r>
        <w:rPr>
          <w:rFonts w:ascii="Times New Roman" w:hAnsi="Times New Roman"/>
          <w:sz w:val="32"/>
        </w:rPr>
        <w:t>自治区财政厅下发</w:t>
      </w:r>
      <w:r>
        <w:rPr>
          <w:rFonts w:hint="eastAsia" w:ascii="Times New Roman" w:hAnsi="Times New Roman"/>
          <w:sz w:val="32"/>
        </w:rPr>
        <w:t>《</w:t>
      </w:r>
      <w:r>
        <w:rPr>
          <w:rFonts w:ascii="Times New Roman" w:hAnsi="Times New Roman"/>
          <w:sz w:val="32"/>
        </w:rPr>
        <w:t>关于下达2024年中央耕地建设与利用资金预算的通知</w:t>
      </w:r>
      <w:r>
        <w:rPr>
          <w:rFonts w:hint="eastAsia" w:ascii="Times New Roman" w:hAnsi="Times New Roman"/>
          <w:sz w:val="32"/>
        </w:rPr>
        <w:t>》</w:t>
      </w:r>
      <w:r>
        <w:rPr>
          <w:rFonts w:ascii="Times New Roman" w:hAnsi="Times New Roman"/>
          <w:sz w:val="32"/>
        </w:rPr>
        <w:t>（新财农〔2024〕39号</w:t>
      </w:r>
      <w:r>
        <w:rPr>
          <w:rFonts w:hint="eastAsia" w:ascii="Times New Roman" w:hAnsi="Times New Roman"/>
          <w:sz w:val="32"/>
        </w:rPr>
        <w:t>）下达资金226730万元。</w:t>
      </w:r>
    </w:p>
    <w:p>
      <w:pPr>
        <w:pStyle w:val="11"/>
        <w:spacing w:after="0" w:line="560" w:lineRule="exact"/>
        <w:ind w:left="0" w:leftChars="0" w:firstLine="640"/>
        <w:rPr>
          <w:rFonts w:ascii="Times New Roman" w:hAnsi="Times New Roman"/>
          <w:sz w:val="32"/>
          <w:szCs w:val="32"/>
        </w:rPr>
      </w:pPr>
      <w:r>
        <w:rPr>
          <w:rFonts w:hint="eastAsia" w:ascii="Times New Roman" w:hAnsi="Times New Roman"/>
          <w:sz w:val="32"/>
          <w:szCs w:val="32"/>
        </w:rPr>
        <w:t>2024年，自治区财政共下达全区耕地力力保护补贴资金65062.38万元，其中：</w:t>
      </w:r>
    </w:p>
    <w:p>
      <w:pPr>
        <w:pStyle w:val="11"/>
        <w:spacing w:after="0" w:line="560" w:lineRule="exact"/>
        <w:ind w:left="0" w:leftChars="0" w:firstLine="640"/>
        <w:rPr>
          <w:rFonts w:ascii="Times New Roman" w:hAnsi="Times New Roman"/>
          <w:sz w:val="32"/>
          <w:szCs w:val="32"/>
        </w:rPr>
      </w:pPr>
      <w:r>
        <w:rPr>
          <w:rFonts w:hint="eastAsia" w:ascii="Times New Roman" w:hAnsi="Times New Roman"/>
          <w:sz w:val="32"/>
          <w:szCs w:val="32"/>
        </w:rPr>
        <w:t>2023年12月，《自治区财政厅关于提前下达2024年自治区农业生产发展资金预算（耕地地力保护补贴）的通知》（新财农〔2023〕116号），下达自治区财政耕地力力保护补贴资金42241万元。</w:t>
      </w:r>
    </w:p>
    <w:p>
      <w:pPr>
        <w:pStyle w:val="10"/>
        <w:ind w:firstLine="640" w:firstLineChars="200"/>
        <w:rPr>
          <w:rFonts w:hint="eastAsia" w:ascii="Times New Roman" w:hAnsi="Times New Roman" w:eastAsia="仿宋_GB2312"/>
          <w:sz w:val="32"/>
        </w:rPr>
      </w:pPr>
      <w:r>
        <w:rPr>
          <w:rFonts w:hint="eastAsia" w:ascii="Times New Roman" w:hAnsi="Times New Roman" w:eastAsia="仿宋_GB2312"/>
          <w:sz w:val="32"/>
        </w:rPr>
        <w:t>2024年10月，</w:t>
      </w:r>
      <w:bookmarkStart w:id="0" w:name="OLE_LINK2"/>
      <w:r>
        <w:rPr>
          <w:rFonts w:hint="eastAsia" w:ascii="Times New Roman" w:hAnsi="Times New Roman" w:eastAsia="仿宋_GB2312"/>
          <w:sz w:val="32"/>
        </w:rPr>
        <w:t>《自治区财政厅关于下达2024年第二批自治区耕地地力保护补贴资金的通知》（新财农〔2024〕77号）</w:t>
      </w:r>
      <w:bookmarkEnd w:id="0"/>
      <w:r>
        <w:rPr>
          <w:rFonts w:hint="eastAsia" w:ascii="Times New Roman" w:hAnsi="Times New Roman" w:eastAsia="仿宋_GB2312"/>
          <w:sz w:val="32"/>
        </w:rPr>
        <w:t>，下达第二批自治区财政耕地力力保护补贴资金22821.38万元。</w:t>
      </w:r>
    </w:p>
    <w:p>
      <w:pPr>
        <w:pStyle w:val="11"/>
        <w:spacing w:after="0" w:line="560" w:lineRule="exact"/>
        <w:ind w:left="0" w:leftChars="0" w:firstLine="640"/>
        <w:rPr>
          <w:rFonts w:hint="eastAsia" w:ascii="Times New Roman" w:hAnsi="Times New Roman" w:eastAsia="仿宋_GB2312"/>
          <w:sz w:val="32"/>
        </w:rPr>
      </w:pPr>
      <w:r>
        <w:rPr>
          <w:rFonts w:hint="eastAsia" w:ascii="Times New Roman" w:hAnsi="Times New Roman" w:eastAsia="仿宋_GB2312" w:cs="宋体"/>
          <w:kern w:val="2"/>
          <w:sz w:val="32"/>
          <w:szCs w:val="32"/>
          <w:lang w:val="en-US" w:eastAsia="zh-CN" w:bidi="zh-CN"/>
        </w:rPr>
        <w:t>2024年10月30</w:t>
      </w:r>
      <w:r>
        <w:rPr>
          <w:rFonts w:hint="eastAsia" w:cs="宋体"/>
          <w:kern w:val="2"/>
          <w:sz w:val="32"/>
          <w:szCs w:val="32"/>
          <w:lang w:val="en-US" w:eastAsia="zh-CN" w:bidi="zh-CN"/>
        </w:rPr>
        <w:t>日自治区财政厅下发</w:t>
      </w:r>
      <w:r>
        <w:rPr>
          <w:rFonts w:hint="eastAsia" w:cs="宋体"/>
          <w:kern w:val="2"/>
          <w:sz w:val="32"/>
          <w:szCs w:val="32"/>
          <w:lang w:val="zh-CN" w:eastAsia="zh-CN" w:bidi="zh-CN"/>
        </w:rPr>
        <w:t>《</w:t>
      </w:r>
      <w:r>
        <w:rPr>
          <w:rFonts w:hint="eastAsia" w:ascii="Times New Roman" w:hAnsi="Times New Roman" w:eastAsia="仿宋_GB2312" w:cs="宋体"/>
          <w:kern w:val="2"/>
          <w:sz w:val="32"/>
          <w:szCs w:val="32"/>
          <w:lang w:val="zh-CN" w:eastAsia="zh-CN" w:bidi="zh-CN"/>
        </w:rPr>
        <w:t>关于调整提前下达2024年中央及自治区耕地地力保护补贴资金预算的通知</w:t>
      </w:r>
      <w:r>
        <w:rPr>
          <w:rFonts w:hint="eastAsia" w:cs="宋体"/>
          <w:kern w:val="2"/>
          <w:sz w:val="32"/>
          <w:szCs w:val="32"/>
          <w:lang w:val="zh-CN" w:eastAsia="zh-CN" w:bidi="zh-CN"/>
        </w:rPr>
        <w:t>》</w:t>
      </w:r>
      <w:r>
        <w:rPr>
          <w:rFonts w:hint="eastAsia" w:ascii="FangSong_GB2312" w:hAnsi="FangSong_GB2312" w:eastAsia="FangSong_GB2312"/>
          <w:sz w:val="32"/>
          <w:szCs w:val="24"/>
        </w:rPr>
        <w:t>新财农〔</w:t>
      </w:r>
      <w:r>
        <w:rPr>
          <w:rFonts w:hint="eastAsia" w:ascii="Times New Roman" w:hAnsi="Times New Roman" w:eastAsia="仿宋_GB2312" w:cs="宋体"/>
          <w:kern w:val="2"/>
          <w:sz w:val="32"/>
          <w:szCs w:val="32"/>
          <w:lang w:val="en-US" w:eastAsia="zh-CN" w:bidi="zh-CN"/>
        </w:rPr>
        <w:t>2024</w:t>
      </w:r>
      <w:r>
        <w:rPr>
          <w:rFonts w:hint="eastAsia" w:ascii="FangSong_GB2312" w:hAnsi="FangSong_GB2312" w:eastAsia="FangSong_GB2312"/>
          <w:sz w:val="32"/>
          <w:szCs w:val="24"/>
        </w:rPr>
        <w:t>〕</w:t>
      </w:r>
      <w:r>
        <w:rPr>
          <w:rFonts w:hint="eastAsia" w:ascii="Times New Roman" w:hAnsi="Times New Roman" w:eastAsia="仿宋_GB2312" w:cs="宋体"/>
          <w:kern w:val="2"/>
          <w:sz w:val="32"/>
          <w:szCs w:val="32"/>
          <w:lang w:val="en-US" w:eastAsia="zh-CN" w:bidi="zh-CN"/>
        </w:rPr>
        <w:t>78</w:t>
      </w:r>
      <w:r>
        <w:rPr>
          <w:rFonts w:hint="eastAsia" w:ascii="FangSong_GB2312" w:hAnsi="FangSong_GB2312" w:eastAsia="FangSong_GB2312"/>
          <w:sz w:val="32"/>
          <w:szCs w:val="24"/>
        </w:rPr>
        <w:t>号</w:t>
      </w:r>
      <w:r>
        <w:rPr>
          <w:rFonts w:hint="eastAsia" w:ascii="FangSong_GB2312" w:hAnsi="FangSong_GB2312" w:eastAsia="FangSong_GB2312"/>
          <w:sz w:val="32"/>
          <w:szCs w:val="24"/>
          <w:lang w:eastAsia="zh-CN"/>
        </w:rPr>
        <w:t>，</w:t>
      </w:r>
      <w:r>
        <w:rPr>
          <w:rFonts w:hint="eastAsia" w:ascii="Times New Roman" w:hAnsi="Times New Roman"/>
          <w:sz w:val="32"/>
          <w:szCs w:val="32"/>
          <w:lang w:val="en-US" w:eastAsia="zh-CN"/>
        </w:rPr>
        <w:t>有关资金分解下达及预算绩效区域目标表相应有所调整</w:t>
      </w:r>
      <w:r>
        <w:rPr>
          <w:rFonts w:hint="eastAsia" w:ascii="FangSong_GB2312" w:hAnsi="FangSong_GB2312" w:eastAsia="FangSong_GB2312"/>
          <w:sz w:val="32"/>
          <w:szCs w:val="24"/>
          <w:lang w:eastAsia="zh-CN"/>
        </w:rPr>
        <w:t>。</w:t>
      </w:r>
    </w:p>
    <w:p>
      <w:pPr>
        <w:pStyle w:val="10"/>
        <w:ind w:firstLine="640" w:firstLineChars="200"/>
        <w:rPr>
          <w:rFonts w:hint="eastAsia" w:ascii="Times New Roman" w:hAnsi="Times New Roman" w:eastAsia="仿宋_GB2312" w:cs="Times New Roman"/>
          <w:sz w:val="32"/>
        </w:rPr>
      </w:pPr>
      <w:r>
        <w:rPr>
          <w:rFonts w:hint="eastAsia" w:ascii="Times New Roman" w:hAnsi="Times New Roman" w:eastAsia="仿宋_GB2312"/>
          <w:sz w:val="32"/>
        </w:rPr>
        <w:t>2023年12月29日，自治区财政厅下发《关于提前下达2024年自治区农田建设补助资金预算的通知》（新财农〔2023〕100号），2024年12月17日，财政厅下发《关于调整提前下达2024年自治区农田建设补助资金预算的通知》该文件为</w:t>
      </w:r>
      <w:bookmarkStart w:id="3" w:name="_GoBack"/>
      <w:bookmarkEnd w:id="3"/>
      <w:r>
        <w:rPr>
          <w:rFonts w:hint="eastAsia" w:ascii="Times New Roman" w:hAnsi="Times New Roman" w:eastAsia="仿宋_GB2312"/>
          <w:sz w:val="32"/>
        </w:rPr>
        <w:t>涉密文件，49600万元用于支持2024年中央转移支付新建任务</w:t>
      </w:r>
      <w:r>
        <w:rPr>
          <w:rFonts w:hint="eastAsia" w:ascii="Times New Roman" w:hAnsi="Times New Roman" w:eastAsia="仿宋_GB2312" w:cs="Times New Roman"/>
          <w:sz w:val="32"/>
        </w:rPr>
        <w:t>，不予公开。</w:t>
      </w:r>
      <w:r>
        <w:rPr>
          <w:rFonts w:ascii="Times New Roman" w:hAnsi="Times New Roman" w:eastAsia="仿宋_GB2312" w:cs="Times New Roman"/>
          <w:sz w:val="32"/>
        </w:rPr>
        <w:t>分解情况详见下表</w:t>
      </w:r>
      <w:r>
        <w:rPr>
          <w:rFonts w:hint="eastAsia" w:ascii="Times New Roman" w:hAnsi="Times New Roman" w:eastAsia="仿宋_GB2312" w:cs="Times New Roman"/>
          <w:sz w:val="32"/>
        </w:rPr>
        <w:t>：</w:t>
      </w:r>
    </w:p>
    <w:p>
      <w:pPr>
        <w:pStyle w:val="16"/>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年耕地建设与利用资金分配表</w:t>
      </w:r>
    </w:p>
    <w:p>
      <w:pPr>
        <w:pStyle w:val="16"/>
        <w:jc w:val="right"/>
        <w:rPr>
          <w:rFonts w:hint="eastAsia" w:ascii="Times New Roman" w:hAnsi="Times New Roman"/>
          <w:b/>
          <w:bCs/>
          <w:sz w:val="22"/>
        </w:rPr>
      </w:pPr>
      <w:r>
        <w:rPr>
          <w:rFonts w:hint="eastAsia" w:ascii="Times New Roman" w:hAnsi="Times New Roman"/>
          <w:b/>
          <w:bCs/>
          <w:sz w:val="22"/>
        </w:rPr>
        <w:t>单位：万元</w:t>
      </w:r>
    </w:p>
    <w:tbl>
      <w:tblPr>
        <w:tblStyle w:val="12"/>
        <w:tblW w:w="5193" w:type="pct"/>
        <w:tblInd w:w="-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4"/>
        <w:gridCol w:w="3856"/>
        <w:gridCol w:w="1203"/>
        <w:gridCol w:w="1056"/>
        <w:gridCol w:w="892"/>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地州、县市</w:t>
            </w:r>
          </w:p>
        </w:tc>
        <w:tc>
          <w:tcPr>
            <w:tcW w:w="6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中央耕地建设与利用分配资金</w:t>
            </w: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自治区耕地补贴分配资金</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自治区农田标准配套分配资金</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资金总额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710646</w:t>
            </w:r>
          </w:p>
        </w:tc>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65062.38</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49600</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825308.38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乌鲁木齐市</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2714.58</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577.24</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3455.82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伊犁州直</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140560.34</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18438.03</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15816</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174624.64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塔城地区</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35647.37</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4988.13</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2972</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43939.99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阿勒泰地区</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16239.23</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6356.56</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1992</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24527.92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克拉玛依市</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9003.76</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12.68</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1344</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10408.44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博州</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23926.2</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161.54</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2736</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26823.74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昌吉州</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73107.43</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7571.86</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3900</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84477.51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哈密市</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5787.31</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4823.71</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308</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10879.11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吐鲁番市</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189.15</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巴州</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22623.62</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6531.87</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800</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30016.17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阿克苏地区</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165511.8</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3221.51</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11904</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180637.31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克州</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12819.61</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617.73</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460</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13895.78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喀什地区</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154802.85</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7011.2</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6296</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168110.05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和田地区</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46979.5</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4750.31</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908</w:t>
            </w: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52587.16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自治区本级</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296</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color w:val="000000"/>
                <w:sz w:val="20"/>
                <w:szCs w:val="20"/>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color w:val="000000"/>
                <w:sz w:val="20"/>
                <w:szCs w:val="20"/>
                <w:u w:val="none"/>
              </w:rPr>
            </w:pP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新疆农业科学院土壤肥料研究所</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387.25</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color w:val="000000"/>
                <w:sz w:val="20"/>
                <w:szCs w:val="20"/>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color w:val="000000"/>
                <w:sz w:val="20"/>
                <w:szCs w:val="20"/>
                <w:u w:val="none"/>
              </w:rPr>
            </w:pP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2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自治区农业农村厅（中国科学院新疆生态与地理研究所）</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color w:val="000000"/>
                <w:sz w:val="20"/>
                <w:szCs w:val="20"/>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color w:val="000000"/>
                <w:sz w:val="20"/>
                <w:szCs w:val="20"/>
                <w:u w:val="none"/>
              </w:rPr>
            </w:pPr>
          </w:p>
        </w:tc>
        <w:tc>
          <w:tcPr>
            <w:tcW w:w="6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r>
    </w:tbl>
    <w:p>
      <w:pPr>
        <w:pStyle w:val="11"/>
        <w:spacing w:after="0" w:line="560" w:lineRule="exact"/>
        <w:ind w:left="0" w:leftChars="0" w:firstLine="0" w:firstLineChars="0"/>
        <w:rPr>
          <w:rFonts w:ascii="Times New Roman" w:hAnsi="Times New Roman" w:eastAsia="楷体"/>
          <w:b/>
          <w:bCs/>
          <w:sz w:val="32"/>
          <w:szCs w:val="32"/>
        </w:rPr>
      </w:pPr>
    </w:p>
    <w:p>
      <w:pPr>
        <w:pStyle w:val="11"/>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2"/>
        </w:rPr>
        <w:t>2.自治区分解下达绩效目标情况如下</w:t>
      </w:r>
    </w:p>
    <w:p>
      <w:pPr>
        <w:pStyle w:val="16"/>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ascii="Times New Roman" w:hAnsi="Times New Roman" w:eastAsia="仿宋_GB2312"/>
          <w:sz w:val="32"/>
          <w:szCs w:val="32"/>
        </w:rPr>
        <w:sectPr>
          <w:pgSz w:w="11906" w:h="16838"/>
          <w:pgMar w:top="1440" w:right="1800" w:bottom="1440" w:left="1800" w:header="851" w:footer="992" w:gutter="0"/>
          <w:cols w:space="425" w:num="1"/>
          <w:docGrid w:type="lines" w:linePitch="312" w:charSpace="0"/>
        </w:sectPr>
      </w:pPr>
      <w:r>
        <w:rPr>
          <w:rFonts w:ascii="Times New Roman" w:hAnsi="Times New Roman" w:eastAsia="仿宋_GB2312"/>
          <w:sz w:val="32"/>
          <w:szCs w:val="32"/>
        </w:rPr>
        <w:t>根据自治区财政厅下达的资金文件确定的绩效目标，结合脱贫县涉农资金整合情况，对县（市）资金的分配主要根据任务的特点进行合理的安排，根据</w:t>
      </w:r>
      <w:bookmarkStart w:id="1" w:name="OLE_LINK3"/>
      <w:r>
        <w:rPr>
          <w:rFonts w:hint="eastAsia" w:ascii="Times New Roman" w:hAnsi="Times New Roman" w:eastAsia="仿宋_GB2312"/>
          <w:sz w:val="32"/>
          <w:szCs w:val="32"/>
          <w:lang w:eastAsia="zh-CN"/>
        </w:rPr>
        <w:t>《关于调整提前下达</w:t>
      </w:r>
      <w:r>
        <w:rPr>
          <w:rFonts w:hint="eastAsia" w:ascii="Times New Roman" w:hAnsi="Times New Roman" w:eastAsia="仿宋_GB2312"/>
          <w:sz w:val="32"/>
          <w:szCs w:val="32"/>
          <w:lang w:val="en-US" w:eastAsia="zh-CN"/>
        </w:rPr>
        <w:t>2024年中央及自治区耕地地力保护补贴资金预算的通知</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（新财农〔2024〕</w:t>
      </w:r>
      <w:r>
        <w:rPr>
          <w:rFonts w:hint="eastAsia" w:ascii="Times New Roman" w:hAnsi="Times New Roman" w:eastAsia="仿宋_GB2312"/>
          <w:sz w:val="32"/>
          <w:szCs w:val="32"/>
          <w:lang w:val="en-US" w:eastAsia="zh-CN"/>
        </w:rPr>
        <w:t>78</w:t>
      </w:r>
      <w:r>
        <w:rPr>
          <w:rFonts w:hint="eastAsia" w:ascii="Times New Roman" w:hAnsi="Times New Roman" w:eastAsia="仿宋_GB2312"/>
          <w:sz w:val="32"/>
          <w:szCs w:val="32"/>
        </w:rPr>
        <w:t>号）</w:t>
      </w:r>
      <w:r>
        <w:rPr>
          <w:rFonts w:ascii="Times New Roman" w:hAnsi="Times New Roman" w:eastAsia="仿宋_GB2312"/>
          <w:sz w:val="32"/>
          <w:szCs w:val="32"/>
        </w:rPr>
        <w:t>，</w:t>
      </w:r>
      <w:bookmarkEnd w:id="1"/>
      <w:r>
        <w:rPr>
          <w:rFonts w:hint="eastAsia" w:ascii="Times New Roman" w:hAnsi="Times New Roman" w:eastAsia="仿宋_GB2312"/>
          <w:sz w:val="32"/>
          <w:szCs w:val="32"/>
        </w:rPr>
        <w:t>《自治区财政厅关于提前下达2024年自治区农业生产发展资金预算（耕地地力保护补贴）的通知》（新财农〔2023〕116号）</w:t>
      </w:r>
      <w:r>
        <w:rPr>
          <w:rFonts w:ascii="Times New Roman" w:hAnsi="Times New Roman" w:eastAsia="仿宋_GB2312"/>
          <w:sz w:val="32"/>
          <w:szCs w:val="32"/>
        </w:rPr>
        <w:t>，</w:t>
      </w:r>
      <w:r>
        <w:rPr>
          <w:rFonts w:hint="eastAsia" w:ascii="Times New Roman" w:hAnsi="Times New Roman" w:eastAsia="仿宋_GB2312"/>
          <w:sz w:val="32"/>
          <w:szCs w:val="32"/>
        </w:rPr>
        <w:t>《自治区财政厅关于下达</w:t>
      </w:r>
      <w:r>
        <w:rPr>
          <w:rFonts w:ascii="Times New Roman" w:hAnsi="Times New Roman" w:eastAsia="仿宋_GB2312"/>
          <w:sz w:val="32"/>
          <w:szCs w:val="32"/>
        </w:rPr>
        <w:t>2024</w:t>
      </w:r>
      <w:r>
        <w:rPr>
          <w:rFonts w:hint="eastAsia" w:ascii="Times New Roman" w:hAnsi="Times New Roman" w:eastAsia="仿宋_GB2312"/>
          <w:sz w:val="32"/>
          <w:szCs w:val="32"/>
        </w:rPr>
        <w:t>年第二批自治区耕地地力保护补贴资金的通知》（新财农〔</w:t>
      </w:r>
      <w:r>
        <w:rPr>
          <w:rFonts w:ascii="Times New Roman" w:hAnsi="Times New Roman" w:eastAsia="仿宋_GB2312"/>
          <w:sz w:val="32"/>
          <w:szCs w:val="32"/>
        </w:rPr>
        <w:t>2024</w:t>
      </w:r>
      <w:r>
        <w:rPr>
          <w:rFonts w:hint="eastAsia" w:ascii="Times New Roman" w:hAnsi="Times New Roman" w:eastAsia="仿宋_GB2312"/>
          <w:sz w:val="32"/>
          <w:szCs w:val="32"/>
        </w:rPr>
        <w:t>〕</w:t>
      </w:r>
      <w:r>
        <w:rPr>
          <w:rFonts w:ascii="Times New Roman" w:hAnsi="Times New Roman" w:eastAsia="仿宋_GB2312"/>
          <w:sz w:val="32"/>
          <w:szCs w:val="32"/>
        </w:rPr>
        <w:t>77</w:t>
      </w:r>
      <w:r>
        <w:rPr>
          <w:rFonts w:hint="eastAsia" w:ascii="Times New Roman" w:hAnsi="Times New Roman" w:eastAsia="仿宋_GB2312"/>
          <w:sz w:val="32"/>
          <w:szCs w:val="32"/>
        </w:rPr>
        <w:t>号）</w:t>
      </w:r>
      <w:r>
        <w:rPr>
          <w:rFonts w:ascii="Times New Roman" w:hAnsi="Times New Roman" w:eastAsia="仿宋_GB2312"/>
          <w:sz w:val="32"/>
          <w:szCs w:val="32"/>
        </w:rPr>
        <w:t>，绩效目标详见下表：</w:t>
      </w:r>
    </w:p>
    <w:p>
      <w:pPr>
        <w:pStyle w:val="16"/>
        <w:spacing w:line="560" w:lineRule="exact"/>
        <w:ind w:firstLine="441" w:firstLineChars="200"/>
        <w:jc w:val="center"/>
        <w:rPr>
          <w:rFonts w:ascii="Times New Roman" w:hAnsi="Times New Roman" w:eastAsia="仿宋_GB2312"/>
          <w:b/>
          <w:bCs/>
          <w:sz w:val="22"/>
        </w:rPr>
      </w:pPr>
      <w:r>
        <w:rPr>
          <w:rFonts w:ascii="Times New Roman" w:hAnsi="Times New Roman" w:eastAsia="仿宋_GB2312"/>
          <w:b/>
          <w:bCs/>
          <w:sz w:val="22"/>
        </w:rPr>
        <w:t>202</w:t>
      </w:r>
      <w:r>
        <w:rPr>
          <w:rFonts w:hint="eastAsia" w:ascii="Times New Roman" w:hAnsi="Times New Roman" w:eastAsia="仿宋_GB2312"/>
          <w:b/>
          <w:bCs/>
          <w:sz w:val="22"/>
        </w:rPr>
        <w:t>4</w:t>
      </w:r>
      <w:r>
        <w:rPr>
          <w:rFonts w:ascii="Times New Roman" w:hAnsi="Times New Roman" w:eastAsia="仿宋_GB2312"/>
          <w:b/>
          <w:bCs/>
          <w:sz w:val="22"/>
        </w:rPr>
        <w:t>年</w:t>
      </w:r>
      <w:r>
        <w:rPr>
          <w:rFonts w:hint="eastAsia" w:ascii="Times New Roman" w:hAnsi="Times New Roman" w:eastAsia="仿宋_GB2312"/>
          <w:b/>
          <w:bCs/>
          <w:sz w:val="22"/>
        </w:rPr>
        <w:t>中央耕地建设与资金利用</w:t>
      </w:r>
      <w:r>
        <w:rPr>
          <w:rFonts w:ascii="Times New Roman" w:hAnsi="Times New Roman" w:eastAsia="仿宋_GB2312"/>
          <w:b/>
          <w:bCs/>
          <w:sz w:val="22"/>
        </w:rPr>
        <w:t>区域绩效目标表</w:t>
      </w:r>
    </w:p>
    <w:tbl>
      <w:tblPr>
        <w:tblStyle w:val="12"/>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6"/>
        <w:gridCol w:w="456"/>
        <w:gridCol w:w="337"/>
        <w:gridCol w:w="1408"/>
        <w:gridCol w:w="516"/>
        <w:gridCol w:w="576"/>
        <w:gridCol w:w="606"/>
        <w:gridCol w:w="726"/>
        <w:gridCol w:w="666"/>
        <w:gridCol w:w="666"/>
        <w:gridCol w:w="606"/>
        <w:gridCol w:w="606"/>
        <w:gridCol w:w="666"/>
        <w:gridCol w:w="606"/>
        <w:gridCol w:w="546"/>
        <w:gridCol w:w="666"/>
        <w:gridCol w:w="666"/>
        <w:gridCol w:w="666"/>
        <w:gridCol w:w="726"/>
        <w:gridCol w:w="606"/>
        <w:gridCol w:w="396"/>
        <w:gridCol w:w="546"/>
        <w:gridCol w:w="4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2"/>
                <w:szCs w:val="12"/>
                <w:u w:val="none"/>
              </w:rPr>
            </w:pPr>
            <w:r>
              <w:rPr>
                <w:rFonts w:hint="eastAsia" w:ascii="宋体" w:hAnsi="宋体" w:eastAsia="宋体" w:cs="宋体"/>
                <w:b/>
                <w:i w:val="0"/>
                <w:color w:val="000000"/>
                <w:kern w:val="0"/>
                <w:sz w:val="12"/>
                <w:szCs w:val="12"/>
                <w:u w:val="none"/>
                <w:lang w:val="en-US" w:eastAsia="zh-CN" w:bidi="ar"/>
              </w:rPr>
              <w:t>资金名称</w:t>
            </w:r>
          </w:p>
        </w:tc>
        <w:tc>
          <w:tcPr>
            <w:tcW w:w="122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2"/>
                <w:szCs w:val="12"/>
                <w:u w:val="none"/>
              </w:rPr>
            </w:pPr>
            <w:r>
              <w:rPr>
                <w:rFonts w:hint="eastAsia" w:ascii="宋体" w:hAnsi="宋体" w:eastAsia="宋体" w:cs="宋体"/>
                <w:b/>
                <w:i w:val="0"/>
                <w:color w:val="000000"/>
                <w:kern w:val="0"/>
                <w:sz w:val="12"/>
                <w:szCs w:val="12"/>
                <w:u w:val="none"/>
                <w:lang w:val="en-US" w:eastAsia="zh-CN" w:bidi="ar"/>
              </w:rPr>
              <w:t>中央耕地建设与利用资金（全年总表）</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2"/>
                <w:szCs w:val="12"/>
                <w:u w:val="none"/>
              </w:rPr>
            </w:pPr>
            <w:r>
              <w:rPr>
                <w:rFonts w:hint="eastAsia" w:ascii="宋体" w:hAnsi="宋体" w:eastAsia="宋体" w:cs="宋体"/>
                <w:b/>
                <w:i w:val="0"/>
                <w:color w:val="000000"/>
                <w:kern w:val="0"/>
                <w:sz w:val="12"/>
                <w:szCs w:val="12"/>
                <w:u w:val="none"/>
                <w:lang w:val="en-US" w:eastAsia="zh-CN" w:bidi="ar"/>
              </w:rPr>
              <w:t>全区总绩效目标</w:t>
            </w:r>
          </w:p>
        </w:tc>
        <w:tc>
          <w:tcPr>
            <w:tcW w:w="3130" w:type="pct"/>
            <w:gridSpan w:val="1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2"/>
                <w:szCs w:val="12"/>
                <w:u w:val="none"/>
              </w:rPr>
            </w:pPr>
            <w:r>
              <w:rPr>
                <w:rFonts w:hint="eastAsia" w:ascii="宋体" w:hAnsi="宋体" w:eastAsia="宋体" w:cs="宋体"/>
                <w:b/>
                <w:i w:val="0"/>
                <w:color w:val="000000"/>
                <w:kern w:val="0"/>
                <w:sz w:val="12"/>
                <w:szCs w:val="12"/>
                <w:u w:val="none"/>
                <w:lang w:val="en-US" w:eastAsia="zh-CN" w:bidi="ar"/>
              </w:rPr>
              <w:t>分区域绩效目标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中央主管部门</w:t>
            </w:r>
          </w:p>
        </w:tc>
        <w:tc>
          <w:tcPr>
            <w:tcW w:w="122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财政部、农业农村部</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合计</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乌鲁木齐市</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伊犁州直</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塔城地区</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阿勒泰地区</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克拉玛依市</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博州</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昌吉州</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哈密市</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吐鲁番市</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巴州</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阿克苏地区</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克州</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喀什地区</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和田地区</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新疆农业大学</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新疆农业科学院土壤肥料研究所</w:t>
            </w: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自治区农业农村厅（中国科学院新疆生态与地理研究所）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省级财政部门</w:t>
            </w:r>
          </w:p>
        </w:tc>
        <w:tc>
          <w:tcPr>
            <w:tcW w:w="122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新疆维吾尔自治区财政厅</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565"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2"/>
                <w:szCs w:val="12"/>
                <w:u w:val="none"/>
              </w:rPr>
            </w:pPr>
            <w:r>
              <w:rPr>
                <w:rFonts w:hint="eastAsia" w:ascii="宋体" w:hAnsi="宋体" w:eastAsia="宋体" w:cs="宋体"/>
                <w:b/>
                <w:i w:val="0"/>
                <w:color w:val="000000"/>
                <w:kern w:val="0"/>
                <w:sz w:val="12"/>
                <w:szCs w:val="12"/>
                <w:u w:val="none"/>
                <w:lang w:val="en-US" w:eastAsia="zh-CN" w:bidi="ar"/>
              </w:rPr>
              <w:t>各地州市财政局、农业农村局</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省级主管部门</w:t>
            </w:r>
          </w:p>
        </w:tc>
        <w:tc>
          <w:tcPr>
            <w:tcW w:w="122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新疆维吾尔自治区农业农村厅</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565"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资金情况</w:t>
            </w:r>
            <w:r>
              <w:rPr>
                <w:rFonts w:hint="default" w:ascii="Times New Roman" w:hAnsi="Times New Roman" w:eastAsia="宋体" w:cs="Times New Roman"/>
                <w:i w:val="0"/>
                <w:color w:val="000000"/>
                <w:kern w:val="0"/>
                <w:sz w:val="12"/>
                <w:szCs w:val="12"/>
                <w:u w:val="none"/>
                <w:lang w:val="en-US" w:eastAsia="zh-CN" w:bidi="ar"/>
              </w:rPr>
              <w:t xml:space="preserve"> </w:t>
            </w:r>
            <w:r>
              <w:rPr>
                <w:rFonts w:hint="eastAsia" w:ascii="宋体" w:hAnsi="宋体" w:eastAsia="宋体" w:cs="宋体"/>
                <w:i w:val="0"/>
                <w:color w:val="000000"/>
                <w:kern w:val="0"/>
                <w:sz w:val="12"/>
                <w:szCs w:val="12"/>
                <w:u w:val="none"/>
                <w:lang w:val="en-US" w:eastAsia="zh-CN" w:bidi="ar"/>
              </w:rPr>
              <w:t>（万元）</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年度金额：</w:t>
            </w:r>
          </w:p>
        </w:tc>
        <w:tc>
          <w:tcPr>
            <w:tcW w:w="122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710646</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710646</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2714.58</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140560.34</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35647.37</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16239.23</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9003.76</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23926.2</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73107.43</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5787.31</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189.15</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22623.62</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165511.8</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12819.61</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154802.85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46979.5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296</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387.25</w:t>
            </w: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其中：中央补助</w:t>
            </w:r>
          </w:p>
        </w:tc>
        <w:tc>
          <w:tcPr>
            <w:tcW w:w="122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710646</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710646</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2714.58</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140560.34</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35647.37</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16239.23</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9003.76</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23926.2</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73107.43</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5787.31</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189.15</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22623.62</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165511.8</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12819.61</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154802.85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46979.5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296</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387.25</w:t>
            </w: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地方资金</w:t>
            </w:r>
          </w:p>
        </w:tc>
        <w:tc>
          <w:tcPr>
            <w:tcW w:w="122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2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年度目标</w:t>
            </w:r>
          </w:p>
        </w:tc>
        <w:tc>
          <w:tcPr>
            <w:tcW w:w="146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1.稳定实施耕地地力保护补贴；</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46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2.加强高标准农田建设；</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46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3.开展盐碱地综合利用试点；</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46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4.实施耕地轮作休耕；</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46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5.推进耕地质量提升。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绩效目标</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2"/>
                <w:szCs w:val="12"/>
                <w:u w:val="none"/>
              </w:rPr>
            </w:pPr>
            <w:r>
              <w:rPr>
                <w:rFonts w:hint="eastAsia" w:ascii="宋体" w:hAnsi="宋体" w:eastAsia="宋体" w:cs="宋体"/>
                <w:b/>
                <w:i w:val="0"/>
                <w:color w:val="000000"/>
                <w:kern w:val="0"/>
                <w:sz w:val="12"/>
                <w:szCs w:val="12"/>
                <w:u w:val="none"/>
                <w:lang w:val="en-US" w:eastAsia="zh-CN" w:bidi="ar"/>
              </w:rPr>
              <w:t>一级指标</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2"/>
                <w:szCs w:val="12"/>
                <w:u w:val="none"/>
              </w:rPr>
            </w:pPr>
            <w:r>
              <w:rPr>
                <w:rFonts w:hint="eastAsia" w:ascii="宋体" w:hAnsi="宋体" w:eastAsia="宋体" w:cs="宋体"/>
                <w:b/>
                <w:i w:val="0"/>
                <w:color w:val="000000"/>
                <w:kern w:val="0"/>
                <w:sz w:val="12"/>
                <w:szCs w:val="12"/>
                <w:u w:val="none"/>
                <w:lang w:val="en-US" w:eastAsia="zh-CN" w:bidi="ar"/>
              </w:rPr>
              <w:t>二级指标</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2"/>
                <w:szCs w:val="12"/>
                <w:u w:val="none"/>
              </w:rPr>
            </w:pPr>
            <w:r>
              <w:rPr>
                <w:rFonts w:hint="eastAsia" w:ascii="宋体" w:hAnsi="宋体" w:eastAsia="宋体" w:cs="宋体"/>
                <w:b/>
                <w:i w:val="0"/>
                <w:color w:val="000000"/>
                <w:kern w:val="0"/>
                <w:sz w:val="12"/>
                <w:szCs w:val="12"/>
                <w:u w:val="none"/>
                <w:lang w:val="en-US" w:eastAsia="zh-CN" w:bidi="ar"/>
              </w:rPr>
              <w:t>三级指标</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2"/>
                <w:szCs w:val="12"/>
                <w:u w:val="none"/>
              </w:rPr>
            </w:pPr>
            <w:r>
              <w:rPr>
                <w:rFonts w:hint="eastAsia" w:ascii="宋体" w:hAnsi="宋体" w:eastAsia="宋体" w:cs="宋体"/>
                <w:b/>
                <w:i w:val="0"/>
                <w:color w:val="000000"/>
                <w:kern w:val="0"/>
                <w:sz w:val="12"/>
                <w:szCs w:val="12"/>
                <w:u w:val="none"/>
                <w:lang w:val="en-US" w:eastAsia="zh-CN" w:bidi="ar"/>
              </w:rPr>
              <w:t>指标值</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1</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2</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3</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4</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5</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6</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7</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8</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9</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10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11</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12</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13</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14</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15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16</w:t>
            </w: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2"/>
                <w:szCs w:val="12"/>
                <w:u w:val="none"/>
              </w:rPr>
            </w:pPr>
            <w:r>
              <w:rPr>
                <w:rFonts w:hint="default" w:ascii="Times New Roman" w:hAnsi="Times New Roman" w:eastAsia="宋体" w:cs="Times New Roman"/>
                <w:b/>
                <w:i w:val="0"/>
                <w:color w:val="000000"/>
                <w:kern w:val="0"/>
                <w:sz w:val="12"/>
                <w:szCs w:val="12"/>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产出指标</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数量指标</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小麦下达目标面积（万亩）</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1410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1410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185</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160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20</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260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44</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405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170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b/>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新增高效节水滴灌面积（万亩）</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34</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34</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14</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b/>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改造提升高标准农田面积（万亩）</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21</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21</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0.6</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1.37</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0.9</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1.8</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4.74</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0.9</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3.9</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2.7</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2.69</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1.4</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新建高标准农田面积（万亩）</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124</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124</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0.41</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39.54</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7.43</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4.98</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3.36</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6.84</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9.75</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0.77</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0</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29.76</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1.15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15.74</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2.27</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开展盐碱地综合利用试点县数量（个）</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耕地轮作试点面积（万亩）</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251</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251</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24</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53</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23</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19</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耕地休耕试点面积（万亩）</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16</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16</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6</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化肥减量增效“三新”集成推进县数量（个）</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农户施肥调查数量（户）</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11000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11000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1295</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1400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790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410</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930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125</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115</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925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1780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195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2295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605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田间试验数量（个）</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320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320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160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125</w:t>
            </w: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耕地质量定点监测调查评价点位（个）</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7040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7040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115</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944</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1169</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363</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44</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259</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970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142</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87</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532</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990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83</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1018</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324</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完成县级耕地质量等级变更调查评价数量（个）</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87</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87</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87</w:t>
            </w: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外业调查采样和内业测试化验点位数（个）</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25350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25350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1471</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2513</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1961</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1839</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811</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2034</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1594</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1789</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735</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2267</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2513</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981</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3003</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1839</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完成盐碱地专题调查成果报告数（份）</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质量指标</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高标准农田当年验收项目验收合格率（</w:t>
            </w:r>
            <w:r>
              <w:rPr>
                <w:rFonts w:hint="default" w:ascii="Times New Roman" w:hAnsi="Times New Roman" w:eastAsia="宋体" w:cs="Times New Roman"/>
                <w:i w:val="0"/>
                <w:color w:val="000000"/>
                <w:kern w:val="0"/>
                <w:sz w:val="12"/>
                <w:szCs w:val="12"/>
                <w:u w:val="none"/>
                <w:lang w:val="en-US" w:eastAsia="zh-CN" w:bidi="ar"/>
              </w:rPr>
              <w:t>%</w:t>
            </w:r>
            <w:r>
              <w:rPr>
                <w:rStyle w:val="34"/>
                <w:sz w:val="12"/>
                <w:szCs w:val="12"/>
                <w:lang w:val="en-US" w:eastAsia="zh-CN" w:bidi="ar"/>
              </w:rPr>
              <w:t>）</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新增建设高标准农田耕地地力平均提高0.5个等级以上</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提高0.5个等级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35"/>
                <w:sz w:val="12"/>
                <w:szCs w:val="12"/>
                <w:lang w:val="en-US" w:eastAsia="zh-CN" w:bidi="ar"/>
              </w:rPr>
              <w:t>提高</w:t>
            </w:r>
            <w:r>
              <w:rPr>
                <w:rFonts w:hint="eastAsia" w:ascii="宋体" w:hAnsi="宋体" w:eastAsia="宋体" w:cs="宋体"/>
                <w:i w:val="0"/>
                <w:color w:val="000000"/>
                <w:kern w:val="0"/>
                <w:sz w:val="12"/>
                <w:szCs w:val="12"/>
                <w:u w:val="none"/>
                <w:lang w:val="en-US" w:eastAsia="zh-CN" w:bidi="ar"/>
              </w:rPr>
              <w:t>0.5个等级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新增建设高标准农田亩均节水率10%以上</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节水率</w:t>
            </w:r>
            <w:r>
              <w:rPr>
                <w:rFonts w:hint="default" w:ascii="Times New Roman" w:hAnsi="Times New Roman" w:eastAsia="宋体" w:cs="Times New Roman"/>
                <w:i w:val="0"/>
                <w:color w:val="000000"/>
                <w:kern w:val="0"/>
                <w:sz w:val="12"/>
                <w:szCs w:val="12"/>
                <w:u w:val="none"/>
                <w:lang w:val="en-US" w:eastAsia="zh-CN" w:bidi="ar"/>
              </w:rPr>
              <w:t>≥10%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建成高标准农田上图入库覆盖率</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100%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保障粮食安全</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提升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时效指标</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耕地地力保护补贴发放时限</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6</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7</w:t>
            </w:r>
            <w:r>
              <w:rPr>
                <w:rFonts w:hint="eastAsia" w:ascii="宋体" w:hAnsi="宋体" w:eastAsia="宋体" w:cs="宋体"/>
                <w:i w:val="0"/>
                <w:color w:val="000000"/>
                <w:kern w:val="0"/>
                <w:sz w:val="12"/>
                <w:szCs w:val="12"/>
                <w:u w:val="none"/>
                <w:lang w:val="en-US" w:eastAsia="zh-CN" w:bidi="ar"/>
              </w:rPr>
              <w:t>月</w:t>
            </w:r>
            <w:r>
              <w:rPr>
                <w:rFonts w:hint="default" w:ascii="Times New Roman" w:hAnsi="Times New Roman" w:eastAsia="宋体" w:cs="Times New Roman"/>
                <w:i w:val="0"/>
                <w:color w:val="000000"/>
                <w:kern w:val="0"/>
                <w:sz w:val="12"/>
                <w:szCs w:val="12"/>
                <w:u w:val="none"/>
                <w:lang w:val="en-US" w:eastAsia="zh-CN" w:bidi="ar"/>
              </w:rPr>
              <w:t>30</w:t>
            </w:r>
            <w:r>
              <w:rPr>
                <w:rFonts w:hint="eastAsia" w:ascii="宋体" w:hAnsi="宋体" w:eastAsia="宋体" w:cs="宋体"/>
                <w:i w:val="0"/>
                <w:color w:val="000000"/>
                <w:kern w:val="0"/>
                <w:sz w:val="12"/>
                <w:szCs w:val="12"/>
                <w:u w:val="none"/>
                <w:lang w:val="en-US" w:eastAsia="zh-CN" w:bidi="ar"/>
              </w:rPr>
              <w:t>日前</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高标准农田建设任务完成及时性</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1-2</w:t>
            </w:r>
            <w:r>
              <w:rPr>
                <w:rFonts w:hint="eastAsia" w:ascii="宋体" w:hAnsi="宋体" w:eastAsia="宋体" w:cs="宋体"/>
                <w:i w:val="0"/>
                <w:color w:val="000000"/>
                <w:kern w:val="0"/>
                <w:sz w:val="12"/>
                <w:szCs w:val="12"/>
                <w:u w:val="none"/>
                <w:lang w:val="en-US" w:eastAsia="zh-CN" w:bidi="ar"/>
              </w:rPr>
              <w:t>年</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效益指标</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社会效益指标</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粮食（玉米）综合生产能力</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玉米产能提高</w:t>
            </w:r>
            <w:r>
              <w:rPr>
                <w:rFonts w:hint="default" w:ascii="Times New Roman" w:hAnsi="Times New Roman" w:eastAsia="宋体" w:cs="Times New Roman"/>
                <w:i w:val="0"/>
                <w:color w:val="000000"/>
                <w:kern w:val="0"/>
                <w:sz w:val="12"/>
                <w:szCs w:val="12"/>
                <w:u w:val="none"/>
                <w:lang w:val="en-US" w:eastAsia="zh-CN" w:bidi="ar"/>
              </w:rPr>
              <w:t>50</w:t>
            </w:r>
            <w:r>
              <w:rPr>
                <w:rStyle w:val="34"/>
                <w:sz w:val="12"/>
                <w:szCs w:val="12"/>
                <w:lang w:val="en-US" w:eastAsia="zh-CN" w:bidi="ar"/>
              </w:rPr>
              <w:t>公斤左右（棉花产能提高</w:t>
            </w:r>
            <w:r>
              <w:rPr>
                <w:rFonts w:hint="default" w:ascii="Times New Roman" w:hAnsi="Times New Roman" w:eastAsia="宋体" w:cs="Times New Roman"/>
                <w:i w:val="0"/>
                <w:color w:val="000000"/>
                <w:kern w:val="0"/>
                <w:sz w:val="12"/>
                <w:szCs w:val="12"/>
                <w:u w:val="none"/>
                <w:lang w:val="en-US" w:eastAsia="zh-CN" w:bidi="ar"/>
              </w:rPr>
              <w:t>5</w:t>
            </w:r>
            <w:r>
              <w:rPr>
                <w:rStyle w:val="34"/>
                <w:sz w:val="12"/>
                <w:szCs w:val="12"/>
                <w:lang w:val="en-US" w:eastAsia="zh-CN" w:bidi="ar"/>
              </w:rPr>
              <w:t>公斤）</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资金使用重大违规违纪问题（有</w:t>
            </w:r>
            <w:r>
              <w:rPr>
                <w:rFonts w:hint="default" w:ascii="Times New Roman" w:hAnsi="Times New Roman" w:eastAsia="宋体" w:cs="Times New Roman"/>
                <w:i w:val="0"/>
                <w:color w:val="000000"/>
                <w:kern w:val="0"/>
                <w:sz w:val="12"/>
                <w:szCs w:val="12"/>
                <w:u w:val="none"/>
                <w:lang w:val="en-US" w:eastAsia="zh-CN" w:bidi="ar"/>
              </w:rPr>
              <w:t>/</w:t>
            </w:r>
            <w:r>
              <w:rPr>
                <w:rFonts w:hint="eastAsia" w:ascii="宋体" w:hAnsi="宋体" w:eastAsia="宋体" w:cs="宋体"/>
                <w:i w:val="0"/>
                <w:color w:val="000000"/>
                <w:kern w:val="0"/>
                <w:sz w:val="12"/>
                <w:szCs w:val="12"/>
                <w:u w:val="none"/>
                <w:lang w:val="en-US" w:eastAsia="zh-CN" w:bidi="ar"/>
              </w:rPr>
              <w:t>无）</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满意度指标</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服务对象满意度 指标</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耕地地力保护补贴政策群众满意度（</w:t>
            </w:r>
            <w:r>
              <w:rPr>
                <w:rFonts w:hint="default" w:ascii="Times New Roman" w:hAnsi="Times New Roman" w:eastAsia="宋体" w:cs="Times New Roman"/>
                <w:i w:val="0"/>
                <w:color w:val="000000"/>
                <w:kern w:val="0"/>
                <w:sz w:val="12"/>
                <w:szCs w:val="12"/>
                <w:u w:val="none"/>
                <w:lang w:val="en-US" w:eastAsia="zh-CN" w:bidi="ar"/>
              </w:rPr>
              <w:t>%</w:t>
            </w:r>
            <w:r>
              <w:rPr>
                <w:rFonts w:hint="eastAsia" w:ascii="宋体" w:hAnsi="宋体" w:eastAsia="宋体" w:cs="宋体"/>
                <w:i w:val="0"/>
                <w:color w:val="000000"/>
                <w:kern w:val="0"/>
                <w:sz w:val="12"/>
                <w:szCs w:val="12"/>
                <w:u w:val="none"/>
                <w:lang w:val="en-US" w:eastAsia="zh-CN" w:bidi="ar"/>
              </w:rPr>
              <w:t>）</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≥85%</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高标准农田建设受益群众满意率（</w:t>
            </w:r>
            <w:r>
              <w:rPr>
                <w:rFonts w:hint="default" w:ascii="Times New Roman" w:hAnsi="Times New Roman" w:eastAsia="宋体" w:cs="Times New Roman"/>
                <w:i w:val="0"/>
                <w:color w:val="000000"/>
                <w:kern w:val="0"/>
                <w:sz w:val="12"/>
                <w:szCs w:val="12"/>
                <w:u w:val="none"/>
                <w:lang w:val="en-US" w:eastAsia="zh-CN" w:bidi="ar"/>
              </w:rPr>
              <w:t>%</w:t>
            </w:r>
            <w:r>
              <w:rPr>
                <w:rStyle w:val="34"/>
                <w:sz w:val="12"/>
                <w:szCs w:val="12"/>
                <w:lang w:val="en-US" w:eastAsia="zh-CN" w:bidi="ar"/>
              </w:rPr>
              <w:t>）</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2"/>
                <w:szCs w:val="12"/>
                <w:u w:val="none"/>
              </w:rPr>
            </w:pPr>
            <w:r>
              <w:rPr>
                <w:rFonts w:hint="default" w:ascii="Times New Roman" w:hAnsi="Times New Roman" w:eastAsia="宋体" w:cs="Times New Roman"/>
                <w:i w:val="0"/>
                <w:color w:val="000000"/>
                <w:kern w:val="0"/>
                <w:sz w:val="12"/>
                <w:szCs w:val="12"/>
                <w:u w:val="none"/>
                <w:lang w:val="en-US" w:eastAsia="zh-CN" w:bidi="ar"/>
              </w:rPr>
              <w:t>≥90%</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2"/>
                <w:szCs w:val="12"/>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12"/>
                <w:szCs w:val="12"/>
                <w:u w:val="none"/>
              </w:rPr>
            </w:pPr>
          </w:p>
        </w:tc>
      </w:tr>
    </w:tbl>
    <w:p>
      <w:pPr>
        <w:rPr>
          <w:rFonts w:ascii="Times New Roman" w:hAnsi="Times New Roman" w:eastAsia="仿宋_GB2312"/>
          <w:b/>
          <w:bCs/>
          <w:sz w:val="22"/>
        </w:rPr>
      </w:pPr>
      <w:r>
        <w:rPr>
          <w:rFonts w:ascii="Times New Roman" w:hAnsi="Times New Roman" w:eastAsia="仿宋_GB2312"/>
          <w:b/>
          <w:bCs/>
          <w:sz w:val="22"/>
        </w:rPr>
        <w:br w:type="page"/>
      </w:r>
    </w:p>
    <w:p>
      <w:pPr>
        <w:pStyle w:val="16"/>
        <w:spacing w:line="560" w:lineRule="exact"/>
        <w:ind w:firstLine="441" w:firstLineChars="200"/>
        <w:jc w:val="center"/>
        <w:rPr>
          <w:rFonts w:ascii="Times New Roman" w:hAnsi="Times New Roman" w:eastAsia="仿宋_GB2312"/>
          <w:b/>
          <w:bCs/>
          <w:sz w:val="22"/>
        </w:rPr>
      </w:pPr>
      <w:r>
        <w:rPr>
          <w:rFonts w:ascii="Times New Roman" w:hAnsi="Times New Roman" w:eastAsia="仿宋_GB2312"/>
          <w:b/>
          <w:bCs/>
          <w:sz w:val="22"/>
        </w:rPr>
        <w:t>202</w:t>
      </w:r>
      <w:r>
        <w:rPr>
          <w:rFonts w:hint="eastAsia" w:ascii="Times New Roman" w:hAnsi="Times New Roman" w:eastAsia="仿宋_GB2312"/>
          <w:b/>
          <w:bCs/>
          <w:sz w:val="22"/>
        </w:rPr>
        <w:t>4</w:t>
      </w:r>
      <w:r>
        <w:rPr>
          <w:rFonts w:ascii="Times New Roman" w:hAnsi="Times New Roman" w:eastAsia="仿宋_GB2312"/>
          <w:b/>
          <w:bCs/>
          <w:sz w:val="22"/>
        </w:rPr>
        <w:t>年</w:t>
      </w:r>
      <w:r>
        <w:rPr>
          <w:rFonts w:hint="eastAsia" w:ascii="Times New Roman" w:hAnsi="Times New Roman" w:eastAsia="仿宋_GB2312"/>
          <w:b/>
          <w:bCs/>
          <w:sz w:val="22"/>
        </w:rPr>
        <w:t>自治区农业生产发展资金预算（耕地地力保护补贴）区域绩效目标表</w:t>
      </w:r>
    </w:p>
    <w:tbl>
      <w:tblPr>
        <w:tblStyle w:val="12"/>
        <w:tblW w:w="5000" w:type="pct"/>
        <w:jc w:val="center"/>
        <w:tblLayout w:type="autofit"/>
        <w:tblCellMar>
          <w:top w:w="0" w:type="dxa"/>
          <w:left w:w="108" w:type="dxa"/>
          <w:bottom w:w="0" w:type="dxa"/>
          <w:right w:w="108" w:type="dxa"/>
        </w:tblCellMar>
      </w:tblPr>
      <w:tblGrid>
        <w:gridCol w:w="666"/>
        <w:gridCol w:w="808"/>
        <w:gridCol w:w="791"/>
        <w:gridCol w:w="1296"/>
        <w:gridCol w:w="774"/>
        <w:gridCol w:w="675"/>
        <w:gridCol w:w="799"/>
        <w:gridCol w:w="777"/>
        <w:gridCol w:w="799"/>
        <w:gridCol w:w="726"/>
        <w:gridCol w:w="661"/>
        <w:gridCol w:w="706"/>
        <w:gridCol w:w="788"/>
        <w:gridCol w:w="819"/>
        <w:gridCol w:w="782"/>
        <w:gridCol w:w="794"/>
        <w:gridCol w:w="697"/>
        <w:gridCol w:w="816"/>
      </w:tblGrid>
      <w:tr>
        <w:tblPrEx>
          <w:tblCellMar>
            <w:top w:w="0" w:type="dxa"/>
            <w:left w:w="108" w:type="dxa"/>
            <w:bottom w:w="0" w:type="dxa"/>
            <w:right w:w="108" w:type="dxa"/>
          </w:tblCellMar>
        </w:tblPrEx>
        <w:trPr>
          <w:trHeight w:val="780" w:hRule="atLeast"/>
          <w:jc w:val="center"/>
        </w:trPr>
        <w:tc>
          <w:tcPr>
            <w:tcW w:w="5000" w:type="pct"/>
            <w:gridSpan w:val="18"/>
            <w:tcBorders>
              <w:top w:val="nil"/>
              <w:left w:val="nil"/>
              <w:bottom w:val="nil"/>
              <w:right w:val="nil"/>
            </w:tcBorders>
            <w:vAlign w:val="center"/>
          </w:tcPr>
          <w:p>
            <w:pPr>
              <w:widowControl/>
              <w:spacing w:line="480" w:lineRule="exact"/>
              <w:textAlignment w:val="center"/>
              <w:rPr>
                <w:rFonts w:hint="eastAsia" w:ascii="宋体" w:hAnsi="宋体" w:eastAsia="宋体" w:cs="宋体"/>
                <w:color w:val="000000"/>
                <w:kern w:val="0"/>
                <w:sz w:val="14"/>
                <w:szCs w:val="14"/>
                <w:lang w:bidi="ar"/>
              </w:rPr>
            </w:pPr>
          </w:p>
        </w:tc>
      </w:tr>
      <w:tr>
        <w:tblPrEx>
          <w:tblCellMar>
            <w:top w:w="0" w:type="dxa"/>
            <w:left w:w="108" w:type="dxa"/>
            <w:bottom w:w="0" w:type="dxa"/>
            <w:right w:w="108" w:type="dxa"/>
          </w:tblCellMar>
        </w:tblPrEx>
        <w:trPr>
          <w:trHeight w:val="467" w:hRule="atLeast"/>
          <w:jc w:val="center"/>
        </w:trPr>
        <w:tc>
          <w:tcPr>
            <w:tcW w:w="52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资金名称</w:t>
            </w:r>
          </w:p>
        </w:tc>
        <w:tc>
          <w:tcPr>
            <w:tcW w:w="73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自治区耕地地力保护补贴</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总绩效</w:t>
            </w:r>
          </w:p>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目标</w:t>
            </w:r>
          </w:p>
        </w:tc>
        <w:tc>
          <w:tcPr>
            <w:tcW w:w="3470" w:type="pct"/>
            <w:gridSpan w:val="13"/>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分区域绩效目标</w:t>
            </w:r>
          </w:p>
        </w:tc>
      </w:tr>
      <w:tr>
        <w:tblPrEx>
          <w:tblCellMar>
            <w:top w:w="0" w:type="dxa"/>
            <w:left w:w="108" w:type="dxa"/>
            <w:bottom w:w="0" w:type="dxa"/>
            <w:right w:w="108" w:type="dxa"/>
          </w:tblCellMar>
        </w:tblPrEx>
        <w:trPr>
          <w:trHeight w:val="438" w:hRule="atLeast"/>
          <w:jc w:val="center"/>
        </w:trPr>
        <w:tc>
          <w:tcPr>
            <w:tcW w:w="52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中央主管部门</w:t>
            </w:r>
          </w:p>
        </w:tc>
        <w:tc>
          <w:tcPr>
            <w:tcW w:w="73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财政部、农业农村部</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合计</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乌鲁木齐市</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伊犁州</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塔城</w:t>
            </w:r>
          </w:p>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地区</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阿勒泰</w:t>
            </w:r>
          </w:p>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地区</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克拉玛依市</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博州</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昌吉州</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哈密市</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巴州</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阿克苏地区</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克州</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喀什</w:t>
            </w:r>
          </w:p>
          <w:p>
            <w:pPr>
              <w:widowControl/>
              <w:spacing w:line="160" w:lineRule="exact"/>
              <w:jc w:val="center"/>
              <w:textAlignment w:val="center"/>
              <w:rPr>
                <w:rFonts w:hint="eastAsia" w:ascii="宋体" w:hAnsi="宋体" w:eastAsia="宋体" w:cs="宋体"/>
                <w:bCs/>
                <w:color w:val="000000"/>
                <w:sz w:val="14"/>
                <w:szCs w:val="14"/>
              </w:rPr>
            </w:pPr>
            <w:r>
              <w:rPr>
                <w:rFonts w:hint="eastAsia" w:ascii="宋体" w:hAnsi="宋体" w:eastAsia="宋体" w:cs="宋体"/>
                <w:bCs/>
                <w:color w:val="000000"/>
                <w:kern w:val="0"/>
                <w:sz w:val="14"/>
                <w:szCs w:val="14"/>
                <w:lang w:bidi="ar"/>
              </w:rPr>
              <w:t>地区</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和田</w:t>
            </w:r>
          </w:p>
          <w:p>
            <w:pPr>
              <w:widowControl/>
              <w:spacing w:line="160" w:lineRule="exact"/>
              <w:jc w:val="center"/>
              <w:textAlignment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地区</w:t>
            </w:r>
          </w:p>
        </w:tc>
      </w:tr>
      <w:tr>
        <w:tblPrEx>
          <w:tblCellMar>
            <w:top w:w="0" w:type="dxa"/>
            <w:left w:w="108" w:type="dxa"/>
            <w:bottom w:w="0" w:type="dxa"/>
            <w:right w:w="108" w:type="dxa"/>
          </w:tblCellMar>
        </w:tblPrEx>
        <w:trPr>
          <w:trHeight w:val="308" w:hRule="atLeast"/>
          <w:jc w:val="center"/>
        </w:trPr>
        <w:tc>
          <w:tcPr>
            <w:tcW w:w="52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省级主管部门</w:t>
            </w:r>
          </w:p>
        </w:tc>
        <w:tc>
          <w:tcPr>
            <w:tcW w:w="73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自治区财政厅、农业农村厅</w:t>
            </w:r>
          </w:p>
        </w:tc>
        <w:tc>
          <w:tcPr>
            <w:tcW w:w="3743" w:type="pct"/>
            <w:gridSpan w:val="14"/>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bCs/>
                <w:color w:val="000000"/>
                <w:kern w:val="0"/>
                <w:sz w:val="14"/>
                <w:szCs w:val="14"/>
                <w:lang w:bidi="ar"/>
              </w:rPr>
            </w:pPr>
            <w:r>
              <w:rPr>
                <w:rFonts w:hint="eastAsia" w:ascii="宋体" w:hAnsi="宋体" w:eastAsia="宋体" w:cs="宋体"/>
                <w:bCs/>
                <w:color w:val="000000"/>
                <w:kern w:val="0"/>
                <w:sz w:val="14"/>
                <w:szCs w:val="14"/>
                <w:lang w:bidi="ar"/>
              </w:rPr>
              <w:t>各地州市财政局、农业农村局</w:t>
            </w:r>
          </w:p>
        </w:tc>
      </w:tr>
      <w:tr>
        <w:tblPrEx>
          <w:tblCellMar>
            <w:top w:w="0" w:type="dxa"/>
            <w:left w:w="108" w:type="dxa"/>
            <w:bottom w:w="0" w:type="dxa"/>
            <w:right w:w="108" w:type="dxa"/>
          </w:tblCellMar>
        </w:tblPrEx>
        <w:trPr>
          <w:trHeight w:val="223" w:hRule="atLeast"/>
          <w:jc w:val="center"/>
        </w:trPr>
        <w:tc>
          <w:tcPr>
            <w:tcW w:w="1256" w:type="pct"/>
            <w:gridSpan w:val="4"/>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资金情况（万元）</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65062.38</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577.24 </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18438.03 </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4988.14 </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6356.56 </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12.68 </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161.54 </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7571.86 </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4823.71 </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6531.87 </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3221.51 </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617.73 </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7011.20 </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4750.31 </w:t>
            </w:r>
          </w:p>
        </w:tc>
      </w:tr>
      <w:tr>
        <w:tblPrEx>
          <w:tblCellMar>
            <w:top w:w="0" w:type="dxa"/>
            <w:left w:w="108" w:type="dxa"/>
            <w:bottom w:w="0" w:type="dxa"/>
            <w:right w:w="108" w:type="dxa"/>
          </w:tblCellMar>
        </w:tblPrEx>
        <w:trPr>
          <w:trHeight w:val="635" w:hRule="atLeast"/>
          <w:jc w:val="center"/>
        </w:trPr>
        <w:tc>
          <w:tcPr>
            <w:tcW w:w="520"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其中：</w:t>
            </w:r>
          </w:p>
        </w:tc>
        <w:tc>
          <w:tcPr>
            <w:tcW w:w="73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提前下达资金</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42241</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250.19 </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10979.98 </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3381.91 </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2815.03 </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0.00 </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111.35 </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5674.15 </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2941.34 </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4046.95 </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2957.33 </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347.78 </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5741.76 </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2993.23 </w:t>
            </w:r>
          </w:p>
        </w:tc>
      </w:tr>
      <w:tr>
        <w:tblPrEx>
          <w:tblCellMar>
            <w:top w:w="0" w:type="dxa"/>
            <w:left w:w="108" w:type="dxa"/>
            <w:bottom w:w="0" w:type="dxa"/>
            <w:right w:w="108" w:type="dxa"/>
          </w:tblCellMar>
        </w:tblPrEx>
        <w:trPr>
          <w:trHeight w:val="225" w:hRule="atLeast"/>
          <w:jc w:val="center"/>
        </w:trPr>
        <w:tc>
          <w:tcPr>
            <w:tcW w:w="520"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73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追加资金</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22821.38</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327.05 </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7458.05 </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1606.22 </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3541.53 </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12.68 </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50.19 </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1897.71 </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1882.38 </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2484.92 </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264.18 </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269.95 </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1269.44 </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 xml:space="preserve">1757.08 </w:t>
            </w:r>
          </w:p>
        </w:tc>
      </w:tr>
      <w:tr>
        <w:tblPrEx>
          <w:tblCellMar>
            <w:top w:w="0" w:type="dxa"/>
            <w:left w:w="108" w:type="dxa"/>
            <w:bottom w:w="0" w:type="dxa"/>
            <w:right w:w="108" w:type="dxa"/>
          </w:tblCellMar>
        </w:tblPrEx>
        <w:trPr>
          <w:trHeight w:val="360" w:hRule="atLeast"/>
          <w:jc w:val="center"/>
        </w:trPr>
        <w:tc>
          <w:tcPr>
            <w:tcW w:w="235"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年度</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目标</w:t>
            </w:r>
          </w:p>
        </w:tc>
        <w:tc>
          <w:tcPr>
            <w:tcW w:w="1020"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left"/>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保障农民等生产主体种粮收益</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w:t>
            </w:r>
          </w:p>
        </w:tc>
      </w:tr>
      <w:tr>
        <w:tblPrEx>
          <w:tblCellMar>
            <w:top w:w="0" w:type="dxa"/>
            <w:left w:w="108" w:type="dxa"/>
            <w:bottom w:w="0" w:type="dxa"/>
            <w:right w:w="108" w:type="dxa"/>
          </w:tblCellMar>
        </w:tblPrEx>
        <w:trPr>
          <w:trHeight w:val="340" w:hRule="atLeast"/>
          <w:jc w:val="center"/>
        </w:trPr>
        <w:tc>
          <w:tcPr>
            <w:tcW w:w="235" w:type="pct"/>
            <w:tcBorders>
              <w:top w:val="single" w:color="000000" w:sz="4" w:space="0"/>
              <w:left w:val="single" w:color="000000" w:sz="4" w:space="0"/>
              <w:bottom w:val="single" w:color="000000" w:sz="4" w:space="0"/>
              <w:right w:val="single" w:color="000000" w:sz="4" w:space="0"/>
            </w:tcBorders>
            <w:vAlign w:val="bottom"/>
          </w:tcPr>
          <w:p>
            <w:pPr>
              <w:widowControl/>
              <w:spacing w:line="160" w:lineRule="exact"/>
              <w:rPr>
                <w:rFonts w:hint="eastAsia" w:ascii="宋体" w:hAnsi="宋体" w:eastAsia="宋体" w:cs="宋体"/>
                <w:color w:val="000000"/>
                <w:sz w:val="14"/>
                <w:szCs w:val="14"/>
              </w:rPr>
            </w:pPr>
          </w:p>
        </w:tc>
        <w:tc>
          <w:tcPr>
            <w:tcW w:w="285"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一级</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指标</w:t>
            </w:r>
          </w:p>
        </w:tc>
        <w:tc>
          <w:tcPr>
            <w:tcW w:w="279"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二级</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指标</w:t>
            </w:r>
          </w:p>
        </w:tc>
        <w:tc>
          <w:tcPr>
            <w:tcW w:w="45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三级指标</w:t>
            </w:r>
          </w:p>
        </w:tc>
        <w:tc>
          <w:tcPr>
            <w:tcW w:w="273" w:type="pct"/>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color w:val="000000"/>
                <w:kern w:val="0"/>
                <w:sz w:val="14"/>
                <w:szCs w:val="14"/>
                <w:lang w:bidi="ar"/>
              </w:rPr>
            </w:pP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2</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3</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4</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5</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6</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7</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8</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9</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10</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11</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12</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13</w:t>
            </w:r>
          </w:p>
        </w:tc>
      </w:tr>
      <w:tr>
        <w:tblPrEx>
          <w:tblCellMar>
            <w:top w:w="0" w:type="dxa"/>
            <w:left w:w="108" w:type="dxa"/>
            <w:bottom w:w="0" w:type="dxa"/>
            <w:right w:w="108" w:type="dxa"/>
          </w:tblCellMar>
        </w:tblPrEx>
        <w:trPr>
          <w:trHeight w:val="393" w:hRule="atLeast"/>
          <w:jc w:val="center"/>
        </w:trPr>
        <w:tc>
          <w:tcPr>
            <w:tcW w:w="235"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绩效</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指标</w:t>
            </w:r>
          </w:p>
        </w:tc>
        <w:tc>
          <w:tcPr>
            <w:tcW w:w="285"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产出</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指标</w:t>
            </w:r>
          </w:p>
        </w:tc>
        <w:tc>
          <w:tcPr>
            <w:tcW w:w="279"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数量</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指标</w:t>
            </w:r>
          </w:p>
        </w:tc>
        <w:tc>
          <w:tcPr>
            <w:tcW w:w="45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left"/>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小麦下达目标面积（万亩）</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1410</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3</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185</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70</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30</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0</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8</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160</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20</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55</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260</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44</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405</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170</w:t>
            </w:r>
          </w:p>
        </w:tc>
      </w:tr>
      <w:tr>
        <w:tblPrEx>
          <w:tblCellMar>
            <w:top w:w="0" w:type="dxa"/>
            <w:left w:w="108" w:type="dxa"/>
            <w:bottom w:w="0" w:type="dxa"/>
            <w:right w:w="108" w:type="dxa"/>
          </w:tblCellMar>
        </w:tblPrEx>
        <w:trPr>
          <w:trHeight w:val="408" w:hRule="atLeast"/>
          <w:jc w:val="center"/>
        </w:trPr>
        <w:tc>
          <w:tcPr>
            <w:tcW w:w="23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8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7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45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left"/>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超目标任务补贴面积（万亩）</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84.11</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0.47</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8.49</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28.3</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3.45</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0.23</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0.91</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16.09</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4.78</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5.21</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4.79</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2.76</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0</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8.63</w:t>
            </w:r>
          </w:p>
        </w:tc>
      </w:tr>
      <w:tr>
        <w:tblPrEx>
          <w:tblCellMar>
            <w:top w:w="0" w:type="dxa"/>
            <w:left w:w="108" w:type="dxa"/>
            <w:bottom w:w="0" w:type="dxa"/>
            <w:right w:w="108" w:type="dxa"/>
          </w:tblCellMar>
        </w:tblPrEx>
        <w:trPr>
          <w:trHeight w:val="343" w:hRule="atLeast"/>
          <w:jc w:val="center"/>
        </w:trPr>
        <w:tc>
          <w:tcPr>
            <w:tcW w:w="23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8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79"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质量</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指标</w:t>
            </w:r>
          </w:p>
        </w:tc>
        <w:tc>
          <w:tcPr>
            <w:tcW w:w="45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left"/>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保障粮食安全能力</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提升</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提升</w:t>
            </w:r>
          </w:p>
        </w:tc>
      </w:tr>
      <w:tr>
        <w:tblPrEx>
          <w:tblCellMar>
            <w:top w:w="0" w:type="dxa"/>
            <w:left w:w="108" w:type="dxa"/>
            <w:bottom w:w="0" w:type="dxa"/>
            <w:right w:w="108" w:type="dxa"/>
          </w:tblCellMar>
        </w:tblPrEx>
        <w:trPr>
          <w:trHeight w:val="435" w:hRule="atLeast"/>
          <w:jc w:val="center"/>
        </w:trPr>
        <w:tc>
          <w:tcPr>
            <w:tcW w:w="23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8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7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45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left"/>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补贴资金兑付率（%）</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≥95%</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≥95%</w:t>
            </w:r>
          </w:p>
        </w:tc>
      </w:tr>
      <w:tr>
        <w:tblPrEx>
          <w:tblCellMar>
            <w:top w:w="0" w:type="dxa"/>
            <w:left w:w="108" w:type="dxa"/>
            <w:bottom w:w="0" w:type="dxa"/>
            <w:right w:w="108" w:type="dxa"/>
          </w:tblCellMar>
        </w:tblPrEx>
        <w:trPr>
          <w:trHeight w:val="445" w:hRule="atLeast"/>
          <w:jc w:val="center"/>
        </w:trPr>
        <w:tc>
          <w:tcPr>
            <w:tcW w:w="23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8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79"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时效</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指标</w:t>
            </w:r>
          </w:p>
        </w:tc>
        <w:tc>
          <w:tcPr>
            <w:tcW w:w="45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耕地地力保护补贴发放时限</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12月25日前</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12月25日前</w:t>
            </w:r>
          </w:p>
        </w:tc>
      </w:tr>
      <w:tr>
        <w:tblPrEx>
          <w:tblCellMar>
            <w:top w:w="0" w:type="dxa"/>
            <w:left w:w="108" w:type="dxa"/>
            <w:bottom w:w="0" w:type="dxa"/>
            <w:right w:w="108" w:type="dxa"/>
          </w:tblCellMar>
        </w:tblPrEx>
        <w:trPr>
          <w:trHeight w:val="470" w:hRule="atLeast"/>
          <w:jc w:val="center"/>
        </w:trPr>
        <w:tc>
          <w:tcPr>
            <w:tcW w:w="23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85"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效益</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指标</w:t>
            </w:r>
          </w:p>
        </w:tc>
        <w:tc>
          <w:tcPr>
            <w:tcW w:w="279"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社会</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效益</w:t>
            </w:r>
          </w:p>
        </w:tc>
        <w:tc>
          <w:tcPr>
            <w:tcW w:w="45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资金使用重大违规违纪问题（有/无）</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无</w:t>
            </w:r>
          </w:p>
        </w:tc>
      </w:tr>
      <w:tr>
        <w:tblPrEx>
          <w:tblCellMar>
            <w:top w:w="0" w:type="dxa"/>
            <w:left w:w="108" w:type="dxa"/>
            <w:bottom w:w="0" w:type="dxa"/>
            <w:right w:w="108" w:type="dxa"/>
          </w:tblCellMar>
        </w:tblPrEx>
        <w:trPr>
          <w:trHeight w:val="555" w:hRule="atLeast"/>
          <w:jc w:val="center"/>
        </w:trPr>
        <w:tc>
          <w:tcPr>
            <w:tcW w:w="23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4"/>
                <w:szCs w:val="14"/>
              </w:rPr>
            </w:pPr>
          </w:p>
        </w:tc>
        <w:tc>
          <w:tcPr>
            <w:tcW w:w="285"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满意度</w:t>
            </w:r>
          </w:p>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指标</w:t>
            </w:r>
          </w:p>
        </w:tc>
        <w:tc>
          <w:tcPr>
            <w:tcW w:w="279"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服务对象满意度指标</w:t>
            </w:r>
          </w:p>
        </w:tc>
        <w:tc>
          <w:tcPr>
            <w:tcW w:w="456" w:type="pct"/>
            <w:tcBorders>
              <w:top w:val="single" w:color="000000" w:sz="4" w:space="0"/>
              <w:left w:val="single" w:color="000000" w:sz="4" w:space="0"/>
              <w:bottom w:val="single" w:color="000000" w:sz="4" w:space="0"/>
              <w:right w:val="single" w:color="000000" w:sz="4" w:space="0"/>
            </w:tcBorders>
            <w:vAlign w:val="center"/>
          </w:tcPr>
          <w:p>
            <w:pPr>
              <w:widowControl/>
              <w:spacing w:line="160" w:lineRule="exact"/>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政策群众满意度（%）</w:t>
            </w:r>
          </w:p>
        </w:tc>
        <w:tc>
          <w:tcPr>
            <w:tcW w:w="2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3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4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7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7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4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4"/>
                <w:szCs w:val="14"/>
              </w:rPr>
            </w:pPr>
            <w:r>
              <w:rPr>
                <w:rFonts w:hint="eastAsia" w:ascii="宋体" w:hAnsi="宋体" w:eastAsia="宋体" w:cs="宋体"/>
                <w:color w:val="000000"/>
                <w:kern w:val="0"/>
                <w:sz w:val="14"/>
                <w:szCs w:val="14"/>
                <w:lang w:bidi="ar"/>
              </w:rPr>
              <w:t>无</w:t>
            </w:r>
          </w:p>
        </w:tc>
        <w:tc>
          <w:tcPr>
            <w:tcW w:w="28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14"/>
                <w:szCs w:val="14"/>
                <w:lang w:bidi="ar"/>
              </w:rPr>
            </w:pPr>
            <w:r>
              <w:rPr>
                <w:rFonts w:hint="eastAsia" w:ascii="宋体" w:hAnsi="宋体" w:eastAsia="宋体" w:cs="宋体"/>
                <w:color w:val="000000"/>
                <w:kern w:val="0"/>
                <w:sz w:val="14"/>
                <w:szCs w:val="14"/>
                <w:lang w:bidi="ar"/>
              </w:rPr>
              <w:t>无</w:t>
            </w:r>
          </w:p>
        </w:tc>
      </w:tr>
    </w:tbl>
    <w:p>
      <w:pPr>
        <w:pStyle w:val="16"/>
        <w:spacing w:line="560" w:lineRule="exact"/>
        <w:ind w:firstLine="441" w:firstLineChars="200"/>
        <w:rPr>
          <w:rFonts w:ascii="Times New Roman" w:hAnsi="Times New Roman" w:eastAsia="仿宋_GB2312"/>
          <w:b/>
          <w:bCs/>
          <w:sz w:val="22"/>
        </w:rPr>
      </w:pPr>
    </w:p>
    <w:p>
      <w:pPr>
        <w:pStyle w:val="16"/>
        <w:spacing w:line="560" w:lineRule="exact"/>
        <w:ind w:firstLine="441" w:firstLineChars="200"/>
        <w:jc w:val="center"/>
        <w:rPr>
          <w:rFonts w:ascii="Times New Roman" w:hAnsi="Times New Roman" w:eastAsia="仿宋_GB2312"/>
          <w:b/>
          <w:bCs/>
          <w:sz w:val="22"/>
        </w:rPr>
        <w:sectPr>
          <w:pgSz w:w="16838" w:h="11906" w:orient="landscape"/>
          <w:pgMar w:top="1800" w:right="1440" w:bottom="1800" w:left="144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二、绩效目标完成情况分析</w:t>
      </w:r>
    </w:p>
    <w:p>
      <w:pPr>
        <w:pStyle w:val="11"/>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2"/>
        </w:rPr>
        <w:t>（一）资金投入情况分析</w:t>
      </w:r>
    </w:p>
    <w:p>
      <w:pPr>
        <w:pStyle w:val="11"/>
        <w:spacing w:after="0" w:line="560" w:lineRule="exact"/>
        <w:ind w:left="0" w:leftChars="0" w:firstLine="640"/>
        <w:rPr>
          <w:rFonts w:ascii="Times New Roman" w:hAnsi="Times New Roman"/>
          <w:b/>
          <w:bCs/>
          <w:sz w:val="32"/>
          <w:szCs w:val="32"/>
        </w:rPr>
      </w:pPr>
      <w:r>
        <w:rPr>
          <w:rFonts w:ascii="Times New Roman" w:hAnsi="Times New Roman"/>
          <w:b/>
          <w:bCs/>
          <w:sz w:val="32"/>
          <w:szCs w:val="32"/>
        </w:rPr>
        <w:t>1.项目资金到位情况分析</w:t>
      </w:r>
    </w:p>
    <w:p>
      <w:pPr>
        <w:pStyle w:val="10"/>
        <w:ind w:firstLine="640" w:firstLineChars="200"/>
        <w:rPr>
          <w:rFonts w:ascii="Times New Roman" w:hAnsi="Times New Roman" w:eastAsia="仿宋_GB2312" w:cs="Times New Roman"/>
          <w:sz w:val="32"/>
          <w:lang w:val="en-US" w:bidi="ar-SA"/>
        </w:rPr>
      </w:pPr>
      <w:r>
        <w:rPr>
          <w:rFonts w:ascii="Times New Roman" w:hAnsi="Times New Roman" w:eastAsia="仿宋_GB2312" w:cs="Times New Roman"/>
          <w:sz w:val="32"/>
          <w:lang w:val="en-US" w:bidi="ar-SA"/>
        </w:rPr>
        <w:t>202</w:t>
      </w:r>
      <w:r>
        <w:rPr>
          <w:rFonts w:hint="eastAsia" w:ascii="Times New Roman" w:hAnsi="Times New Roman" w:eastAsia="仿宋_GB2312" w:cs="Times New Roman"/>
          <w:sz w:val="32"/>
          <w:lang w:val="en-US" w:bidi="ar-SA"/>
        </w:rPr>
        <w:t>4</w:t>
      </w:r>
      <w:r>
        <w:rPr>
          <w:rFonts w:ascii="Times New Roman" w:hAnsi="Times New Roman" w:eastAsia="仿宋_GB2312" w:cs="Times New Roman"/>
          <w:sz w:val="32"/>
          <w:lang w:val="en-US" w:bidi="ar-SA"/>
        </w:rPr>
        <w:t>年度中央下达我区耕地建设与利用资金775708.38万元，资金到位</w:t>
      </w:r>
      <w:r>
        <w:rPr>
          <w:rFonts w:hint="eastAsia" w:ascii="Times New Roman" w:hAnsi="Times New Roman" w:eastAsia="仿宋_GB2312" w:cs="Times New Roman"/>
          <w:sz w:val="32"/>
          <w:lang w:val="en-US" w:bidi="ar-SA"/>
        </w:rPr>
        <w:t>825308.37</w:t>
      </w:r>
      <w:r>
        <w:rPr>
          <w:rFonts w:ascii="Times New Roman" w:hAnsi="Times New Roman" w:eastAsia="仿宋_GB2312" w:cs="Times New Roman"/>
          <w:sz w:val="32"/>
          <w:lang w:val="en-US" w:bidi="ar-SA"/>
        </w:rPr>
        <w:t>万元，到位率</w:t>
      </w:r>
      <w:r>
        <w:rPr>
          <w:rFonts w:hint="eastAsia" w:ascii="Times New Roman" w:hAnsi="Times New Roman" w:eastAsia="仿宋_GB2312" w:cs="Times New Roman"/>
          <w:sz w:val="32"/>
          <w:lang w:val="en-US" w:bidi="ar-SA"/>
        </w:rPr>
        <w:t>100</w:t>
      </w:r>
      <w:r>
        <w:rPr>
          <w:rFonts w:ascii="Times New Roman" w:hAnsi="Times New Roman" w:eastAsia="仿宋_GB2312" w:cs="Times New Roman"/>
          <w:sz w:val="32"/>
          <w:lang w:val="en-US" w:bidi="ar-SA"/>
        </w:rPr>
        <w:t>%</w:t>
      </w:r>
      <w:r>
        <w:rPr>
          <w:rFonts w:hint="eastAsia" w:ascii="Times New Roman" w:hAnsi="Times New Roman" w:eastAsia="仿宋_GB2312" w:cs="Times New Roman"/>
          <w:sz w:val="32"/>
          <w:lang w:val="en-US" w:bidi="ar-SA"/>
        </w:rPr>
        <w:t>。</w:t>
      </w:r>
    </w:p>
    <w:p>
      <w:pPr>
        <w:pStyle w:val="10"/>
        <w:keepNext w:val="0"/>
        <w:keepLines w:val="0"/>
        <w:pageBreakBefore w:val="0"/>
        <w:widowControl w:val="0"/>
        <w:kinsoku/>
        <w:wordWrap/>
        <w:overflowPunct/>
        <w:topLinePunct w:val="0"/>
        <w:autoSpaceDE/>
        <w:autoSpaceDN/>
        <w:bidi w:val="0"/>
        <w:adjustRightInd/>
        <w:snapToGrid/>
        <w:spacing w:after="0" w:line="279" w:lineRule="auto"/>
        <w:ind w:firstLine="640" w:firstLineChars="200"/>
        <w:textAlignment w:val="auto"/>
        <w:rPr>
          <w:rFonts w:ascii="Times New Roman" w:hAnsi="Times New Roman" w:eastAsia="仿宋_GB2312" w:cs="Times New Roman"/>
          <w:sz w:val="32"/>
          <w:lang w:val="en-US" w:bidi="ar-SA"/>
        </w:rPr>
      </w:pPr>
      <w:r>
        <w:rPr>
          <w:rFonts w:ascii="Times New Roman" w:hAnsi="Times New Roman" w:eastAsia="仿宋_GB2312" w:cs="Times New Roman"/>
          <w:sz w:val="32"/>
          <w:lang w:val="en-US" w:bidi="ar-SA"/>
        </w:rPr>
        <w:t>202</w:t>
      </w:r>
      <w:r>
        <w:rPr>
          <w:rFonts w:hint="eastAsia" w:ascii="Times New Roman" w:hAnsi="Times New Roman" w:eastAsia="仿宋_GB2312" w:cs="Times New Roman"/>
          <w:sz w:val="32"/>
          <w:lang w:val="en-US" w:bidi="ar-SA"/>
        </w:rPr>
        <w:t>4</w:t>
      </w:r>
      <w:r>
        <w:rPr>
          <w:rFonts w:ascii="Times New Roman" w:hAnsi="Times New Roman" w:eastAsia="仿宋_GB2312" w:cs="Times New Roman"/>
          <w:sz w:val="32"/>
          <w:lang w:val="en-US" w:bidi="ar-SA"/>
        </w:rPr>
        <w:t>年度中央下达我区耕地建设与利用资金</w:t>
      </w:r>
      <w:r>
        <w:rPr>
          <w:rFonts w:hint="eastAsia" w:ascii="Times New Roman" w:hAnsi="Times New Roman"/>
          <w:sz w:val="32"/>
          <w:szCs w:val="32"/>
        </w:rPr>
        <w:t>710646</w:t>
      </w:r>
      <w:r>
        <w:rPr>
          <w:rFonts w:ascii="Times New Roman" w:hAnsi="Times New Roman" w:eastAsia="仿宋_GB2312" w:cs="Times New Roman"/>
          <w:sz w:val="32"/>
          <w:lang w:val="en-US" w:bidi="ar-SA"/>
        </w:rPr>
        <w:t>万元，资金到位</w:t>
      </w:r>
      <w:r>
        <w:rPr>
          <w:rFonts w:hint="eastAsia" w:ascii="Times New Roman" w:hAnsi="Times New Roman"/>
          <w:sz w:val="32"/>
          <w:szCs w:val="32"/>
        </w:rPr>
        <w:t>710646</w:t>
      </w:r>
      <w:r>
        <w:rPr>
          <w:rFonts w:ascii="Times New Roman" w:hAnsi="Times New Roman" w:eastAsia="仿宋_GB2312" w:cs="Times New Roman"/>
          <w:sz w:val="32"/>
          <w:lang w:val="en-US" w:bidi="ar-SA"/>
        </w:rPr>
        <w:t>万元，到位率</w:t>
      </w:r>
      <w:r>
        <w:rPr>
          <w:rFonts w:hint="eastAsia" w:ascii="Times New Roman" w:hAnsi="Times New Roman" w:eastAsia="仿宋_GB2312" w:cs="Times New Roman"/>
          <w:sz w:val="32"/>
          <w:lang w:val="en-US" w:bidi="ar-SA"/>
        </w:rPr>
        <w:t>100</w:t>
      </w:r>
      <w:r>
        <w:rPr>
          <w:rFonts w:ascii="Times New Roman" w:hAnsi="Times New Roman" w:eastAsia="仿宋_GB2312" w:cs="Times New Roman"/>
          <w:sz w:val="32"/>
          <w:lang w:val="en-US" w:bidi="ar-SA"/>
        </w:rPr>
        <w:t>%</w:t>
      </w:r>
      <w:r>
        <w:rPr>
          <w:rFonts w:hint="eastAsia" w:ascii="Times New Roman" w:hAnsi="Times New Roman" w:eastAsia="仿宋_GB2312" w:cs="Times New Roman"/>
          <w:sz w:val="32"/>
          <w:lang w:val="en-US" w:bidi="ar-SA"/>
        </w:rPr>
        <w:t>。</w:t>
      </w:r>
    </w:p>
    <w:p>
      <w:pPr>
        <w:pStyle w:val="10"/>
        <w:keepNext w:val="0"/>
        <w:keepLines w:val="0"/>
        <w:pageBreakBefore w:val="0"/>
        <w:widowControl w:val="0"/>
        <w:kinsoku/>
        <w:wordWrap/>
        <w:overflowPunct/>
        <w:topLinePunct w:val="0"/>
        <w:autoSpaceDE/>
        <w:autoSpaceDN/>
        <w:bidi w:val="0"/>
        <w:adjustRightInd/>
        <w:snapToGrid/>
        <w:spacing w:after="0" w:line="279" w:lineRule="auto"/>
        <w:ind w:firstLine="640" w:firstLineChars="200"/>
        <w:textAlignment w:val="auto"/>
        <w:rPr>
          <w:rFonts w:hint="default" w:ascii="Times New Roman" w:hAnsi="Times New Roman" w:eastAsia="仿宋_GB2312" w:cs="Times New Roman"/>
          <w:sz w:val="32"/>
          <w:lang w:val="en-US" w:eastAsia="zh-CN" w:bidi="ar-SA"/>
        </w:rPr>
      </w:pPr>
      <w:r>
        <w:rPr>
          <w:rFonts w:ascii="Times New Roman" w:hAnsi="Times New Roman" w:eastAsia="仿宋_GB2312" w:cs="Times New Roman"/>
          <w:sz w:val="32"/>
          <w:lang w:val="en-US" w:bidi="ar-SA"/>
        </w:rPr>
        <w:t>其中</w:t>
      </w:r>
      <w:r>
        <w:rPr>
          <w:rFonts w:hint="eastAsia" w:ascii="Times New Roman" w:hAnsi="Times New Roman" w:eastAsia="仿宋_GB2312" w:cs="Times New Roman"/>
          <w:sz w:val="32"/>
          <w:lang w:val="en-US" w:bidi="ar-SA"/>
        </w:rPr>
        <w:t>：2023年11月《财政部关于提前下达2024年农业相关转移支付资金预算的通知》（财农〔2023〕87号）下达483916万元</w:t>
      </w:r>
      <w:r>
        <w:rPr>
          <w:rFonts w:hint="eastAsia" w:ascii="Times New Roman" w:hAnsi="Times New Roman" w:eastAsia="仿宋_GB2312" w:cs="Times New Roman"/>
          <w:sz w:val="32"/>
          <w:lang w:val="en-US" w:eastAsia="zh-CN" w:bidi="ar-SA"/>
        </w:rPr>
        <w:t>，资金到位</w:t>
      </w:r>
      <w:r>
        <w:rPr>
          <w:rFonts w:hint="eastAsia" w:ascii="Times New Roman" w:hAnsi="Times New Roman" w:eastAsia="仿宋_GB2312" w:cs="Times New Roman"/>
          <w:sz w:val="32"/>
          <w:lang w:val="en-US" w:bidi="ar-SA"/>
        </w:rPr>
        <w:t>483916万元</w:t>
      </w:r>
      <w:r>
        <w:rPr>
          <w:rFonts w:hint="eastAsia" w:ascii="Times New Roman" w:hAnsi="Times New Roman" w:eastAsia="仿宋_GB2312" w:cs="Times New Roman"/>
          <w:sz w:val="32"/>
          <w:lang w:val="en-US" w:eastAsia="zh-CN" w:bidi="ar-SA"/>
        </w:rPr>
        <w:t>，到位率100%。</w:t>
      </w:r>
      <w:r>
        <w:rPr>
          <w:rFonts w:hint="eastAsia" w:ascii="Times New Roman" w:hAnsi="Times New Roman" w:eastAsia="仿宋_GB2312" w:cs="Times New Roman"/>
          <w:sz w:val="32"/>
          <w:lang w:val="en-US" w:bidi="ar-SA"/>
        </w:rPr>
        <w:t>2024年4月《财政部关于下达2024年耕地建设与利用资金预算的通知》（财农〔2024〕12号）下达226730万元</w:t>
      </w:r>
      <w:r>
        <w:rPr>
          <w:rFonts w:hint="eastAsia" w:ascii="Times New Roman" w:hAnsi="Times New Roman" w:eastAsia="仿宋_GB2312" w:cs="Times New Roman"/>
          <w:sz w:val="32"/>
          <w:lang w:val="en-US" w:eastAsia="zh-CN" w:bidi="ar-SA"/>
        </w:rPr>
        <w:t>，资金到位226730万元，到位率100%。</w:t>
      </w:r>
    </w:p>
    <w:p>
      <w:pPr>
        <w:pStyle w:val="10"/>
        <w:keepNext w:val="0"/>
        <w:keepLines w:val="0"/>
        <w:pageBreakBefore w:val="0"/>
        <w:widowControl w:val="0"/>
        <w:kinsoku/>
        <w:wordWrap/>
        <w:overflowPunct/>
        <w:topLinePunct w:val="0"/>
        <w:autoSpaceDE/>
        <w:autoSpaceDN/>
        <w:bidi w:val="0"/>
        <w:adjustRightInd/>
        <w:snapToGrid/>
        <w:spacing w:after="0" w:line="279" w:lineRule="auto"/>
        <w:ind w:firstLine="640" w:firstLineChars="200"/>
        <w:textAlignment w:val="auto"/>
        <w:rPr>
          <w:rFonts w:hint="eastAsia" w:ascii="Times New Roman" w:hAnsi="Times New Roman" w:eastAsia="仿宋_GB2312" w:cs="Times New Roman"/>
          <w:sz w:val="32"/>
          <w:lang w:val="en-US" w:bidi="ar-SA"/>
        </w:rPr>
      </w:pPr>
      <w:r>
        <w:rPr>
          <w:rFonts w:hint="eastAsia" w:ascii="Times New Roman" w:hAnsi="Times New Roman" w:eastAsia="仿宋_GB2312" w:cs="Times New Roman"/>
          <w:sz w:val="32"/>
          <w:lang w:val="en-US" w:bidi="ar-SA"/>
        </w:rPr>
        <w:t>2024年度下达自治区财政耕地地力保护补贴总预算资金为65062.38万元，资金到位65062.38万元、到位率100%。</w:t>
      </w:r>
    </w:p>
    <w:p>
      <w:pPr>
        <w:pStyle w:val="10"/>
        <w:keepNext w:val="0"/>
        <w:keepLines w:val="0"/>
        <w:pageBreakBefore w:val="0"/>
        <w:widowControl w:val="0"/>
        <w:kinsoku/>
        <w:wordWrap/>
        <w:overflowPunct/>
        <w:topLinePunct w:val="0"/>
        <w:autoSpaceDE/>
        <w:autoSpaceDN/>
        <w:bidi w:val="0"/>
        <w:adjustRightInd/>
        <w:snapToGrid/>
        <w:spacing w:after="0" w:line="279" w:lineRule="auto"/>
        <w:ind w:firstLine="640" w:firstLineChars="200"/>
        <w:textAlignment w:val="auto"/>
        <w:rPr>
          <w:rFonts w:hint="eastAsia" w:ascii="Times New Roman" w:hAnsi="Times New Roman" w:eastAsia="仿宋_GB2312"/>
          <w:sz w:val="32"/>
          <w:lang w:val="en-US" w:eastAsia="zh-CN"/>
        </w:rPr>
      </w:pPr>
      <w:r>
        <w:rPr>
          <w:rFonts w:hint="eastAsia" w:ascii="Times New Roman" w:hAnsi="Times New Roman" w:eastAsia="仿宋_GB2312" w:cs="Times New Roman"/>
          <w:sz w:val="32"/>
          <w:lang w:val="en-US" w:eastAsia="zh-CN" w:bidi="ar-SA"/>
        </w:rPr>
        <w:t>2024年度下达</w:t>
      </w:r>
      <w:r>
        <w:rPr>
          <w:rFonts w:hint="eastAsia" w:ascii="仿宋_GB2312" w:hAnsi="仿宋_GB2312" w:eastAsia="仿宋_GB2312" w:cs="仿宋_GB2312"/>
          <w:sz w:val="32"/>
          <w:szCs w:val="32"/>
          <w:lang w:val="en-US" w:eastAsia="zh-CN"/>
        </w:rPr>
        <w:t>自治区</w:t>
      </w:r>
      <w:r>
        <w:rPr>
          <w:rFonts w:hint="eastAsia" w:ascii="Times New Roman" w:hAnsi="Times New Roman" w:eastAsia="仿宋_GB2312"/>
          <w:sz w:val="32"/>
        </w:rPr>
        <w:t>农田建设补助资金</w:t>
      </w:r>
      <w:r>
        <w:rPr>
          <w:rFonts w:hint="eastAsia" w:ascii="Times New Roman" w:hAnsi="Times New Roman" w:eastAsia="仿宋_GB2312"/>
          <w:sz w:val="32"/>
          <w:lang w:val="en-US" w:eastAsia="zh-CN"/>
        </w:rPr>
        <w:t>总预算资金为49600万元，资金到位49600万元，到位率100%。</w:t>
      </w:r>
    </w:p>
    <w:p>
      <w:pPr>
        <w:pStyle w:val="11"/>
        <w:numPr>
          <w:ilvl w:val="0"/>
          <w:numId w:val="1"/>
        </w:numPr>
        <w:spacing w:after="0" w:line="560" w:lineRule="exact"/>
        <w:ind w:left="0" w:leftChars="0" w:firstLine="640"/>
        <w:rPr>
          <w:rFonts w:ascii="Times New Roman" w:hAnsi="Times New Roman"/>
          <w:b/>
          <w:bCs/>
          <w:sz w:val="32"/>
          <w:szCs w:val="32"/>
        </w:rPr>
      </w:pPr>
      <w:r>
        <w:rPr>
          <w:rFonts w:ascii="Times New Roman" w:hAnsi="Times New Roman"/>
          <w:b/>
          <w:bCs/>
          <w:sz w:val="32"/>
          <w:szCs w:val="32"/>
        </w:rPr>
        <w:t>项目资金执行情况分析</w:t>
      </w:r>
    </w:p>
    <w:p>
      <w:pPr>
        <w:pStyle w:val="10"/>
        <w:keepNext w:val="0"/>
        <w:keepLines w:val="0"/>
        <w:pageBreakBefore w:val="0"/>
        <w:widowControl w:val="0"/>
        <w:kinsoku/>
        <w:wordWrap/>
        <w:overflowPunct/>
        <w:topLinePunct w:val="0"/>
        <w:autoSpaceDE/>
        <w:autoSpaceDN/>
        <w:bidi w:val="0"/>
        <w:snapToGrid/>
        <w:spacing w:line="560" w:lineRule="exact"/>
        <w:ind w:firstLine="640" w:firstLineChars="200"/>
        <w:textAlignment w:val="auto"/>
      </w:pPr>
      <w:r>
        <w:rPr>
          <w:rFonts w:hint="eastAsia" w:ascii="Times New Roman" w:hAnsi="Times New Roman" w:eastAsia="仿宋_GB2312" w:cs="Times New Roman"/>
          <w:sz w:val="32"/>
          <w:lang w:val="en-US" w:bidi="ar-SA"/>
        </w:rPr>
        <w:t>截止到2024年12月31日，2024年度中央耕地建设于利用资金项目（含自治区财政耕地地力保护补贴配套</w:t>
      </w:r>
      <w:r>
        <w:rPr>
          <w:rFonts w:hint="eastAsia" w:ascii="Times New Roman" w:hAnsi="Times New Roman" w:eastAsia="仿宋_GB2312" w:cs="Times New Roman"/>
          <w:sz w:val="32"/>
          <w:lang w:val="en-US" w:eastAsia="zh-CN" w:bidi="ar-SA"/>
        </w:rPr>
        <w:t>、</w:t>
      </w:r>
      <w:r>
        <w:rPr>
          <w:rFonts w:hint="eastAsia" w:ascii="仿宋_GB2312" w:hAnsi="仿宋_GB2312" w:eastAsia="仿宋_GB2312" w:cs="仿宋_GB2312"/>
          <w:sz w:val="32"/>
          <w:szCs w:val="32"/>
          <w:lang w:val="en-US" w:eastAsia="zh-CN"/>
        </w:rPr>
        <w:t>自治区</w:t>
      </w:r>
      <w:r>
        <w:rPr>
          <w:rFonts w:hint="eastAsia" w:ascii="Times New Roman" w:hAnsi="Times New Roman" w:eastAsia="仿宋_GB2312"/>
          <w:sz w:val="32"/>
        </w:rPr>
        <w:t>农田建设补助</w:t>
      </w:r>
      <w:r>
        <w:rPr>
          <w:rFonts w:hint="eastAsia" w:ascii="Times New Roman" w:hAnsi="Times New Roman" w:eastAsia="仿宋_GB2312" w:cs="Times New Roman"/>
          <w:sz w:val="32"/>
          <w:lang w:val="en-US" w:bidi="ar-SA"/>
        </w:rPr>
        <w:t>资金）总计825308.37万元，总计执行657500.09万元，资金执行率79.</w:t>
      </w:r>
      <w:r>
        <w:rPr>
          <w:rFonts w:hint="eastAsia" w:ascii="Times New Roman" w:hAnsi="Times New Roman" w:eastAsia="仿宋_GB2312" w:cs="Times New Roman"/>
          <w:sz w:val="32"/>
          <w:lang w:val="en-US" w:eastAsia="zh-CN" w:bidi="ar-SA"/>
        </w:rPr>
        <w:t>6</w:t>
      </w:r>
      <w:r>
        <w:rPr>
          <w:rFonts w:hint="eastAsia" w:ascii="Times New Roman" w:hAnsi="Times New Roman" w:eastAsia="仿宋_GB2312" w:cs="Times New Roman"/>
          <w:sz w:val="32"/>
          <w:lang w:val="en-US" w:bidi="ar-SA"/>
        </w:rPr>
        <w:t>7%。</w:t>
      </w:r>
    </w:p>
    <w:p>
      <w:pPr>
        <w:pStyle w:val="11"/>
        <w:keepNext w:val="0"/>
        <w:keepLines w:val="0"/>
        <w:pageBreakBefore w:val="0"/>
        <w:widowControl w:val="0"/>
        <w:kinsoku/>
        <w:wordWrap/>
        <w:overflowPunct/>
        <w:topLinePunct w:val="0"/>
        <w:autoSpaceDE/>
        <w:autoSpaceDN/>
        <w:bidi w:val="0"/>
        <w:adjustRightInd w:val="0"/>
        <w:snapToGrid/>
        <w:spacing w:after="0" w:line="560" w:lineRule="exact"/>
        <w:ind w:left="0" w:leftChars="0" w:firstLine="640"/>
        <w:textAlignment w:val="auto"/>
        <w:rPr>
          <w:rFonts w:hint="eastAsia" w:ascii="Times New Roman" w:hAnsi="Times New Roman"/>
          <w:sz w:val="32"/>
          <w:szCs w:val="32"/>
        </w:rPr>
      </w:pPr>
      <w:r>
        <w:rPr>
          <w:rFonts w:hint="eastAsia" w:ascii="Times New Roman" w:hAnsi="Times New Roman"/>
          <w:sz w:val="32"/>
          <w:szCs w:val="32"/>
        </w:rPr>
        <w:t>截止到</w:t>
      </w:r>
      <w:r>
        <w:rPr>
          <w:rFonts w:ascii="Times New Roman" w:hAnsi="Times New Roman"/>
          <w:sz w:val="32"/>
          <w:szCs w:val="32"/>
        </w:rPr>
        <w:t>202</w:t>
      </w:r>
      <w:r>
        <w:rPr>
          <w:rFonts w:hint="eastAsia" w:ascii="Times New Roman" w:hAnsi="Times New Roman"/>
          <w:sz w:val="32"/>
          <w:szCs w:val="32"/>
        </w:rPr>
        <w:t>4</w:t>
      </w:r>
      <w:r>
        <w:rPr>
          <w:rFonts w:hint="eastAsia" w:ascii="Times New Roman" w:hAnsi="Times New Roman"/>
          <w:sz w:val="32"/>
          <w:szCs w:val="32"/>
          <w:lang w:eastAsia="zh-CN"/>
        </w:rPr>
        <w:t>年</w:t>
      </w:r>
      <w:r>
        <w:rPr>
          <w:rFonts w:hint="eastAsia" w:ascii="Times New Roman" w:hAnsi="Times New Roman"/>
          <w:sz w:val="32"/>
          <w:szCs w:val="32"/>
        </w:rPr>
        <w:t>12月31日中央</w:t>
      </w:r>
      <w:r>
        <w:rPr>
          <w:rFonts w:ascii="Times New Roman" w:hAnsi="Times New Roman"/>
          <w:sz w:val="32"/>
          <w:szCs w:val="32"/>
        </w:rPr>
        <w:t>耕地建设与利用资金</w:t>
      </w:r>
      <w:r>
        <w:rPr>
          <w:rFonts w:hint="eastAsia" w:ascii="Times New Roman" w:hAnsi="Times New Roman"/>
          <w:sz w:val="32"/>
          <w:szCs w:val="32"/>
        </w:rPr>
        <w:t>下达710646万元，截至2024年12月31日，资金执行</w:t>
      </w:r>
      <w:r>
        <w:rPr>
          <w:rFonts w:ascii="Times New Roman" w:hAnsi="Times New Roman"/>
          <w:sz w:val="32"/>
          <w:szCs w:val="32"/>
        </w:rPr>
        <w:t>563592.85</w:t>
      </w:r>
      <w:r>
        <w:rPr>
          <w:rFonts w:hint="eastAsia" w:ascii="Times New Roman" w:hAnsi="Times New Roman"/>
          <w:sz w:val="32"/>
          <w:szCs w:val="32"/>
        </w:rPr>
        <w:t>万元，资金执行率79.31%。</w:t>
      </w:r>
    </w:p>
    <w:p>
      <w:pPr>
        <w:pStyle w:val="11"/>
        <w:keepNext w:val="0"/>
        <w:keepLines w:val="0"/>
        <w:pageBreakBefore w:val="0"/>
        <w:widowControl w:val="0"/>
        <w:kinsoku/>
        <w:wordWrap/>
        <w:overflowPunct/>
        <w:topLinePunct w:val="0"/>
        <w:autoSpaceDE/>
        <w:autoSpaceDN/>
        <w:bidi w:val="0"/>
        <w:adjustRightInd w:val="0"/>
        <w:snapToGrid/>
        <w:spacing w:after="0" w:line="560" w:lineRule="exact"/>
        <w:ind w:left="0" w:leftChars="0" w:firstLine="640"/>
        <w:textAlignment w:val="auto"/>
        <w:rPr>
          <w:rFonts w:hint="eastAsia" w:ascii="Times New Roman" w:hAnsi="Times New Roman"/>
          <w:sz w:val="32"/>
          <w:szCs w:val="32"/>
        </w:rPr>
      </w:pPr>
      <w:r>
        <w:rPr>
          <w:rFonts w:hint="eastAsia" w:ascii="Times New Roman" w:hAnsi="Times New Roman"/>
          <w:sz w:val="32"/>
          <w:szCs w:val="32"/>
        </w:rPr>
        <w:t>截止到2024年12月31日，2024年度用于自治区财政耕地地力保护补贴的资金</w:t>
      </w:r>
      <w:r>
        <w:rPr>
          <w:rFonts w:hint="eastAsia" w:ascii="Times New Roman" w:hAnsi="Times New Roman"/>
          <w:sz w:val="32"/>
          <w:szCs w:val="32"/>
          <w:lang w:val="en-US" w:eastAsia="zh-CN"/>
        </w:rPr>
        <w:t>下达</w:t>
      </w:r>
      <w:r>
        <w:rPr>
          <w:rFonts w:hint="eastAsia" w:ascii="Times New Roman" w:hAnsi="Times New Roman"/>
          <w:sz w:val="32"/>
          <w:szCs w:val="32"/>
        </w:rPr>
        <w:t>65062.38万元，共计执行49723.51万元，资金执行率76.42%。</w:t>
      </w:r>
    </w:p>
    <w:p>
      <w:pPr>
        <w:pStyle w:val="10"/>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default" w:eastAsia="仿宋_GB2312"/>
          <w:lang w:val="en-US" w:eastAsia="zh-CN"/>
        </w:rPr>
      </w:pPr>
      <w:r>
        <w:rPr>
          <w:rFonts w:hint="eastAsia" w:ascii="仿宋_GB2312" w:hAnsi="仿宋_GB2312" w:eastAsia="仿宋_GB2312" w:cs="仿宋_GB2312"/>
          <w:sz w:val="32"/>
          <w:szCs w:val="32"/>
        </w:rPr>
        <w:t>截止到</w:t>
      </w:r>
      <w:r>
        <w:rPr>
          <w:rFonts w:hint="default" w:ascii="Times New Roman" w:hAnsi="Times New Roman" w:eastAsia="仿宋_GB2312" w:cs="Times New Roman"/>
          <w:sz w:val="32"/>
          <w:szCs w:val="32"/>
        </w:rPr>
        <w:t>2024</w:t>
      </w:r>
      <w:r>
        <w:rPr>
          <w:rFonts w:hint="eastAsia" w:ascii="仿宋_GB2312" w:hAnsi="仿宋_GB2312" w:eastAsia="仿宋_GB2312" w:cs="仿宋_GB2312"/>
          <w:sz w:val="32"/>
          <w:szCs w:val="32"/>
        </w:rPr>
        <w:t>年</w:t>
      </w:r>
      <w:r>
        <w:rPr>
          <w:rFonts w:hint="eastAsia" w:ascii="Times New Roman" w:hAnsi="Times New Roman" w:eastAsia="仿宋_GB2312" w:cs="Times New Roman"/>
          <w:kern w:val="2"/>
          <w:sz w:val="32"/>
          <w:szCs w:val="32"/>
          <w:lang w:val="en-US" w:eastAsia="zh-CN" w:bidi="ar-SA"/>
        </w:rPr>
        <w:t>12</w:t>
      </w:r>
      <w:r>
        <w:rPr>
          <w:rFonts w:hint="eastAsia" w:ascii="仿宋_GB2312" w:hAnsi="仿宋_GB2312" w:eastAsia="仿宋_GB2312" w:cs="仿宋_GB2312"/>
          <w:sz w:val="32"/>
          <w:szCs w:val="32"/>
        </w:rPr>
        <w:t>月</w:t>
      </w:r>
      <w:r>
        <w:rPr>
          <w:rFonts w:hint="eastAsia" w:ascii="Times New Roman" w:hAnsi="Times New Roman" w:eastAsia="仿宋_GB2312" w:cs="Times New Roman"/>
          <w:kern w:val="2"/>
          <w:sz w:val="32"/>
          <w:szCs w:val="32"/>
          <w:lang w:val="en-US" w:eastAsia="zh-CN" w:bidi="ar-SA"/>
        </w:rPr>
        <w:t>31</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kern w:val="2"/>
          <w:sz w:val="32"/>
          <w:szCs w:val="32"/>
          <w:lang w:val="en-US" w:eastAsia="zh-CN" w:bidi="ar-SA"/>
        </w:rPr>
        <w:t>2024年度用于自治区农田</w:t>
      </w:r>
      <w:r>
        <w:rPr>
          <w:rFonts w:hint="eastAsia" w:ascii="Times New Roman" w:hAnsi="Times New Roman" w:eastAsia="仿宋_GB2312"/>
          <w:sz w:val="32"/>
        </w:rPr>
        <w:t>建设补助资金</w:t>
      </w:r>
      <w:r>
        <w:rPr>
          <w:rFonts w:hint="eastAsia" w:ascii="Times New Roman" w:hAnsi="Times New Roman" w:eastAsia="仿宋_GB2312"/>
          <w:sz w:val="32"/>
          <w:lang w:val="en-US" w:eastAsia="zh-CN"/>
        </w:rPr>
        <w:t>下达49600万元，共计执行33078.65万元，资金执行率66.69%。</w:t>
      </w:r>
    </w:p>
    <w:p>
      <w:pPr>
        <w:pStyle w:val="11"/>
        <w:adjustRightInd w:val="0"/>
        <w:spacing w:after="0" w:line="560" w:lineRule="exact"/>
        <w:ind w:left="0" w:leftChars="0" w:firstLine="640"/>
        <w:rPr>
          <w:rFonts w:ascii="Times New Roman" w:hAnsi="Times New Roman"/>
          <w:sz w:val="32"/>
          <w:szCs w:val="32"/>
        </w:rPr>
      </w:pPr>
      <w:r>
        <w:rPr>
          <w:rFonts w:ascii="Times New Roman" w:hAnsi="Times New Roman"/>
          <w:sz w:val="32"/>
          <w:szCs w:val="32"/>
        </w:rPr>
        <w:t>资金执行情况详见下表：</w:t>
      </w:r>
    </w:p>
    <w:p>
      <w:pPr>
        <w:pStyle w:val="16"/>
        <w:spacing w:line="560" w:lineRule="exact"/>
        <w:ind w:firstLine="441" w:firstLineChars="200"/>
        <w:jc w:val="center"/>
        <w:rPr>
          <w:rFonts w:hint="eastAsia" w:ascii="仿宋_GB2312" w:hAnsi="仿宋_GB2312" w:eastAsia="仿宋_GB2312" w:cs="仿宋_GB2312"/>
          <w:b/>
          <w:bCs/>
          <w:sz w:val="22"/>
        </w:rPr>
      </w:pPr>
      <w:r>
        <w:rPr>
          <w:rFonts w:hint="eastAsia" w:ascii="仿宋_GB2312" w:hAnsi="仿宋_GB2312" w:eastAsia="仿宋_GB2312" w:cs="仿宋_GB2312"/>
          <w:b/>
          <w:bCs/>
          <w:sz w:val="22"/>
        </w:rPr>
        <w:t>2024年中央耕地建设与利用各地州资金执行情况表</w:t>
      </w:r>
    </w:p>
    <w:p>
      <w:pPr>
        <w:pStyle w:val="16"/>
        <w:spacing w:line="560" w:lineRule="exact"/>
        <w:ind w:firstLine="441" w:firstLineChars="200"/>
        <w:jc w:val="right"/>
        <w:rPr>
          <w:rFonts w:hint="eastAsia" w:ascii="仿宋_GB2312" w:hAnsi="仿宋_GB2312" w:eastAsia="仿宋_GB2312" w:cs="仿宋_GB2312"/>
          <w:b/>
          <w:bCs/>
          <w:sz w:val="22"/>
        </w:rPr>
      </w:pPr>
      <w:r>
        <w:rPr>
          <w:rFonts w:hint="eastAsia" w:ascii="仿宋_GB2312" w:hAnsi="仿宋_GB2312" w:eastAsia="仿宋_GB2312" w:cs="仿宋_GB2312"/>
          <w:b/>
          <w:bCs/>
          <w:sz w:val="22"/>
        </w:rPr>
        <w:t xml:space="preserve"> 单位：万元</w:t>
      </w:r>
    </w:p>
    <w:tbl>
      <w:tblPr>
        <w:tblStyle w:val="12"/>
        <w:tblW w:w="88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216"/>
        <w:gridCol w:w="1146"/>
        <w:gridCol w:w="1053"/>
        <w:gridCol w:w="1035"/>
        <w:gridCol w:w="1206"/>
        <w:gridCol w:w="1092"/>
        <w:gridCol w:w="10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地州、县市</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中央耕地建设与利用资金执行数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自治区耕地补贴执行数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自治区农田标准执行数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分配总额</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执行数合计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563592.85</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60828.59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33078.65</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825308.37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657500.09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乌鲁木齐市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2253.59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577.24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18.28</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3455.82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2849.11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伊犁州直</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108074.78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16477.75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5996.72</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174624.64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130549.25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塔城地区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26498.59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4987.79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1860.79</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43939.99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33347.17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阿勒泰地区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9073.4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6356.56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925.46</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24527.92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16355.42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克拉玛依市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7788.66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1344</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10408.44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9145.34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20635.27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1943.97</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26823.74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22603.73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65228.49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7528.44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2163.55</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84477.51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74920.48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哈密市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4823.71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268</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10879.11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9783.84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吐鲁番市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189.15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17535.6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6467.72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667.6</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30016.17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24670.92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阿克苏地区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124246.49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11904</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180637.31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138825.75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克州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12455.51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607.91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13895.78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13523.42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喀什地区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121537.11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6351.62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5126.28</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168110.05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133015.01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和田地区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42715.87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3937.42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52587.16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47053.29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自治区本级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668.21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733.25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668.21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91.13%</w:t>
            </w:r>
          </w:p>
        </w:tc>
      </w:tr>
    </w:tbl>
    <w:p>
      <w:pPr>
        <w:spacing w:line="560" w:lineRule="exact"/>
        <w:ind w:firstLine="642" w:firstLineChars="200"/>
        <w:rPr>
          <w:b/>
          <w:bCs/>
          <w:sz w:val="32"/>
          <w:szCs w:val="32"/>
        </w:rPr>
      </w:pPr>
      <w:r>
        <w:rPr>
          <w:b/>
          <w:bCs/>
          <w:sz w:val="32"/>
          <w:szCs w:val="32"/>
        </w:rPr>
        <w:t>（二）项目资金管理情况分析</w:t>
      </w:r>
    </w:p>
    <w:p>
      <w:pPr>
        <w:spacing w:line="560" w:lineRule="exact"/>
        <w:ind w:firstLine="632" w:firstLineChars="200"/>
        <w:rPr>
          <w:b/>
          <w:bCs/>
          <w:sz w:val="32"/>
          <w:szCs w:val="32"/>
        </w:rPr>
      </w:pPr>
      <w:r>
        <w:rPr>
          <w:spacing w:val="-2"/>
          <w:sz w:val="32"/>
          <w:szCs w:val="32"/>
        </w:rPr>
        <w:t>按照《财政部农业农村部关于修订农业相关转移支付资金管理办法的通知》</w:t>
      </w:r>
      <w:r>
        <w:rPr>
          <w:rFonts w:hint="eastAsia"/>
          <w:spacing w:val="-2"/>
          <w:sz w:val="32"/>
          <w:szCs w:val="32"/>
        </w:rPr>
        <w:t>（</w:t>
      </w:r>
      <w:r>
        <w:rPr>
          <w:spacing w:val="-2"/>
          <w:sz w:val="32"/>
          <w:szCs w:val="32"/>
        </w:rPr>
        <w:t>财农〔2022〕25号）</w:t>
      </w:r>
      <w:r>
        <w:rPr>
          <w:rFonts w:hint="eastAsia"/>
          <w:spacing w:val="-2"/>
          <w:sz w:val="32"/>
          <w:szCs w:val="32"/>
          <w:lang w:eastAsia="zh-CN"/>
        </w:rPr>
        <w:t>、</w:t>
      </w:r>
      <w:r>
        <w:rPr>
          <w:sz w:val="32"/>
          <w:szCs w:val="32"/>
        </w:rPr>
        <w:t>财政部、农业农村部《耕地建设与利用资金管理办法》（财农〔2023〕12号）</w:t>
      </w:r>
      <w:r>
        <w:rPr>
          <w:rFonts w:hint="eastAsia"/>
          <w:sz w:val="32"/>
          <w:szCs w:val="32"/>
          <w:lang w:eastAsia="zh-CN"/>
        </w:rPr>
        <w:t>、</w:t>
      </w:r>
      <w:r>
        <w:rPr>
          <w:sz w:val="32"/>
          <w:szCs w:val="32"/>
        </w:rPr>
        <w:t>《自治区惠民惠农财政补贴资金“一卡通”发放操作规程》（新财监〔2023〕7号）</w:t>
      </w:r>
      <w:r>
        <w:rPr>
          <w:rFonts w:hint="eastAsia"/>
          <w:sz w:val="32"/>
          <w:szCs w:val="32"/>
          <w:lang w:eastAsia="zh-CN"/>
        </w:rPr>
        <w:t>、</w:t>
      </w:r>
      <w:r>
        <w:rPr>
          <w:sz w:val="32"/>
          <w:szCs w:val="32"/>
          <w:shd w:val="clear" w:color="auto" w:fill="FFFFFF"/>
        </w:rPr>
        <w:t>中共中央国务院关于全面实施预算绩效管理的意见》、《关于印发&lt;自治区本级部门预算绩效目标管理办法&gt;的通知》（新财预〔2017〕21号</w:t>
      </w:r>
      <w:r>
        <w:rPr>
          <w:rFonts w:hint="eastAsia"/>
          <w:sz w:val="32"/>
          <w:szCs w:val="32"/>
          <w:shd w:val="clear" w:color="auto" w:fill="FFFFFF"/>
        </w:rPr>
        <w:t>）</w:t>
      </w:r>
      <w:r>
        <w:rPr>
          <w:sz w:val="32"/>
          <w:szCs w:val="32"/>
          <w:shd w:val="clear" w:color="auto" w:fill="FFFFFF"/>
        </w:rPr>
        <w:t>、《关于印发&lt;新疆维吾尔自治区农业相关转移支付资金绩效管理办法实施细则&gt;的通知》（新财规〔2020〕15号）</w:t>
      </w:r>
      <w:r>
        <w:rPr>
          <w:rFonts w:hint="eastAsia"/>
          <w:sz w:val="32"/>
          <w:szCs w:val="32"/>
          <w:lang w:eastAsia="zh-CN"/>
        </w:rPr>
        <w:t>，</w:t>
      </w:r>
      <w:r>
        <w:rPr>
          <w:rFonts w:hint="eastAsia"/>
          <w:sz w:val="32"/>
          <w:szCs w:val="32"/>
          <w:shd w:val="clear" w:color="auto" w:fill="FFFFFF"/>
        </w:rPr>
        <w:t>本项目资金的整体管理水平，做到了专款专用、及时拨付、规范支付，保障中央粮油生产保障资金支付需求，</w:t>
      </w:r>
      <w:r>
        <w:rPr>
          <w:rFonts w:hint="eastAsia"/>
          <w:sz w:val="32"/>
          <w:szCs w:val="32"/>
          <w:shd w:val="clear" w:color="auto" w:fill="FFFFFF"/>
          <w:lang w:eastAsia="zh-CN"/>
        </w:rPr>
        <w:t>保障</w:t>
      </w:r>
      <w:r>
        <w:rPr>
          <w:rFonts w:hint="eastAsia"/>
          <w:sz w:val="32"/>
          <w:szCs w:val="32"/>
          <w:shd w:val="clear" w:color="auto" w:fill="FFFFFF"/>
        </w:rPr>
        <w:t>中央粮油生产保障提升资金项目顺利实施。</w:t>
      </w:r>
    </w:p>
    <w:p>
      <w:pPr>
        <w:spacing w:line="560" w:lineRule="exact"/>
        <w:ind w:firstLine="642" w:firstLineChars="200"/>
        <w:rPr>
          <w:sz w:val="32"/>
          <w:szCs w:val="32"/>
        </w:rPr>
      </w:pPr>
      <w:r>
        <w:rPr>
          <w:b/>
          <w:bCs/>
          <w:sz w:val="32"/>
          <w:szCs w:val="32"/>
        </w:rPr>
        <w:t>1.资金分配科学性：</w:t>
      </w:r>
      <w:r>
        <w:rPr>
          <w:sz w:val="32"/>
          <w:szCs w:val="32"/>
          <w:shd w:val="clear" w:color="auto" w:fill="FFFFFF"/>
        </w:rPr>
        <w:t>一是突出重点。聚焦党中央、国务院关于农业农村高质量发展的重大决策部署</w:t>
      </w:r>
      <w:r>
        <w:rPr>
          <w:rFonts w:hint="eastAsia"/>
          <w:sz w:val="32"/>
          <w:szCs w:val="32"/>
          <w:shd w:val="clear" w:color="auto" w:fill="FFFFFF"/>
        </w:rPr>
        <w:t>。按照</w:t>
      </w:r>
      <w:r>
        <w:rPr>
          <w:sz w:val="32"/>
          <w:szCs w:val="32"/>
          <w:shd w:val="clear" w:color="auto" w:fill="FFFFFF"/>
        </w:rPr>
        <w:t>自治区党委、政府以及农业农村部</w:t>
      </w:r>
      <w:r>
        <w:rPr>
          <w:rFonts w:hint="eastAsia"/>
          <w:sz w:val="32"/>
          <w:szCs w:val="32"/>
          <w:shd w:val="clear" w:color="auto" w:fill="FFFFFF"/>
        </w:rPr>
        <w:t>部署安排</w:t>
      </w:r>
      <w:r>
        <w:rPr>
          <w:sz w:val="32"/>
          <w:szCs w:val="32"/>
          <w:shd w:val="clear" w:color="auto" w:fill="FFFFFF"/>
        </w:rPr>
        <w:t>，围绕农业农村领域重点目标任务提供资金保障和有力支撑。二是强化对比分析。根据分配资金的性质、来源、额度、投资方向、实施期限等基本情况，与上年进行比较分析，研究变化趋势，形成资金分配方案，体现资金支持的必要性和突出效果。三是提出约束性要求。对照资金分配使用需要达到的目标、任务、效果等，明确实施主体必须完成</w:t>
      </w:r>
      <w:r>
        <w:rPr>
          <w:rFonts w:hint="eastAsia"/>
          <w:sz w:val="32"/>
          <w:szCs w:val="32"/>
          <w:shd w:val="clear" w:color="auto" w:fill="FFFFFF"/>
        </w:rPr>
        <w:t>的</w:t>
      </w:r>
      <w:r>
        <w:rPr>
          <w:sz w:val="32"/>
          <w:szCs w:val="32"/>
          <w:shd w:val="clear" w:color="auto" w:fill="FFFFFF"/>
        </w:rPr>
        <w:t>绩效指标、约束指标、硬性指标。新疆</w:t>
      </w:r>
      <w:r>
        <w:rPr>
          <w:rFonts w:hint="eastAsia"/>
          <w:sz w:val="32"/>
          <w:szCs w:val="32"/>
          <w:shd w:val="clear" w:color="auto" w:fill="FFFFFF"/>
        </w:rPr>
        <w:t>耕地建设与利用资</w:t>
      </w:r>
      <w:r>
        <w:rPr>
          <w:sz w:val="32"/>
          <w:szCs w:val="32"/>
          <w:shd w:val="clear" w:color="auto" w:fill="FFFFFF"/>
        </w:rPr>
        <w:t>金分配额度合理，资金分配依据充分</w:t>
      </w:r>
      <w:r>
        <w:rPr>
          <w:sz w:val="32"/>
          <w:szCs w:val="32"/>
        </w:rPr>
        <w:t>。</w:t>
      </w:r>
    </w:p>
    <w:p>
      <w:pPr>
        <w:spacing w:line="560" w:lineRule="exact"/>
        <w:ind w:firstLine="642" w:firstLineChars="200"/>
        <w:rPr>
          <w:sz w:val="32"/>
          <w:szCs w:val="32"/>
        </w:rPr>
      </w:pPr>
      <w:r>
        <w:rPr>
          <w:b/>
          <w:bCs/>
          <w:sz w:val="32"/>
          <w:szCs w:val="32"/>
        </w:rPr>
        <w:t>2.资金下达及时性：</w:t>
      </w:r>
      <w:r>
        <w:rPr>
          <w:sz w:val="32"/>
          <w:szCs w:val="32"/>
        </w:rPr>
        <w:t>202</w:t>
      </w:r>
      <w:r>
        <w:rPr>
          <w:rFonts w:hint="eastAsia"/>
          <w:sz w:val="32"/>
          <w:szCs w:val="32"/>
        </w:rPr>
        <w:t>4</w:t>
      </w:r>
      <w:r>
        <w:rPr>
          <w:sz w:val="32"/>
          <w:szCs w:val="32"/>
        </w:rPr>
        <w:t>年度，财政部分两批下达我区耕地建设与利用资金，第一批资金于202</w:t>
      </w:r>
      <w:r>
        <w:rPr>
          <w:rFonts w:hint="eastAsia"/>
          <w:sz w:val="32"/>
          <w:szCs w:val="32"/>
        </w:rPr>
        <w:t>3</w:t>
      </w:r>
      <w:r>
        <w:rPr>
          <w:sz w:val="32"/>
          <w:szCs w:val="32"/>
        </w:rPr>
        <w:t>年11月</w:t>
      </w:r>
      <w:r>
        <w:rPr>
          <w:rFonts w:hint="eastAsia"/>
          <w:sz w:val="32"/>
          <w:szCs w:val="32"/>
          <w:lang w:eastAsia="zh-CN"/>
        </w:rPr>
        <w:t>《</w:t>
      </w:r>
      <w:r>
        <w:rPr>
          <w:rFonts w:hint="eastAsia"/>
          <w:sz w:val="32"/>
          <w:szCs w:val="32"/>
          <w:lang w:val="en-US" w:eastAsia="zh-CN"/>
        </w:rPr>
        <w:t>财政部关于提前下达2024年农业相关转移支付资金预算的通知</w:t>
      </w:r>
      <w:r>
        <w:rPr>
          <w:rFonts w:hint="eastAsia"/>
          <w:sz w:val="32"/>
          <w:szCs w:val="32"/>
          <w:lang w:eastAsia="zh-CN"/>
        </w:rPr>
        <w:t>》</w:t>
      </w:r>
      <w:r>
        <w:rPr>
          <w:rFonts w:hint="eastAsia"/>
          <w:sz w:val="32"/>
          <w:szCs w:val="32"/>
        </w:rPr>
        <w:t>提前下达，第二批资金于</w:t>
      </w:r>
      <w:r>
        <w:rPr>
          <w:sz w:val="32"/>
          <w:szCs w:val="32"/>
        </w:rPr>
        <w:t>202</w:t>
      </w:r>
      <w:r>
        <w:rPr>
          <w:rFonts w:hint="eastAsia"/>
          <w:sz w:val="32"/>
          <w:szCs w:val="32"/>
        </w:rPr>
        <w:t>4</w:t>
      </w:r>
      <w:r>
        <w:rPr>
          <w:sz w:val="32"/>
          <w:szCs w:val="32"/>
        </w:rPr>
        <w:t>年</w:t>
      </w:r>
      <w:r>
        <w:rPr>
          <w:rFonts w:hint="eastAsia"/>
          <w:sz w:val="32"/>
          <w:szCs w:val="32"/>
        </w:rPr>
        <w:t>4</w:t>
      </w:r>
      <w:r>
        <w:rPr>
          <w:sz w:val="32"/>
          <w:szCs w:val="32"/>
        </w:rPr>
        <w:t>月</w:t>
      </w:r>
      <w:r>
        <w:rPr>
          <w:rFonts w:hint="eastAsia"/>
          <w:sz w:val="32"/>
          <w:szCs w:val="32"/>
          <w:lang w:eastAsia="zh-CN"/>
        </w:rPr>
        <w:t>《</w:t>
      </w:r>
      <w:r>
        <w:rPr>
          <w:rFonts w:hint="eastAsia"/>
          <w:sz w:val="32"/>
          <w:szCs w:val="32"/>
          <w:lang w:val="en-US" w:eastAsia="zh-CN"/>
        </w:rPr>
        <w:t>财政部关于下达2024年耕地建设与利用资金预算的通知</w:t>
      </w:r>
      <w:r>
        <w:rPr>
          <w:rFonts w:hint="eastAsia"/>
          <w:sz w:val="32"/>
          <w:szCs w:val="32"/>
          <w:lang w:eastAsia="zh-CN"/>
        </w:rPr>
        <w:t>》</w:t>
      </w:r>
      <w:r>
        <w:rPr>
          <w:rFonts w:hint="eastAsia"/>
          <w:sz w:val="32"/>
          <w:szCs w:val="32"/>
        </w:rPr>
        <w:t>下达</w:t>
      </w:r>
      <w:r>
        <w:rPr>
          <w:sz w:val="32"/>
          <w:szCs w:val="32"/>
        </w:rPr>
        <w:t>。根据财政部、农业</w:t>
      </w:r>
      <w:r>
        <w:rPr>
          <w:rFonts w:hint="eastAsia"/>
          <w:sz w:val="32"/>
          <w:szCs w:val="32"/>
        </w:rPr>
        <w:t>农村</w:t>
      </w:r>
      <w:r>
        <w:rPr>
          <w:sz w:val="32"/>
          <w:szCs w:val="32"/>
        </w:rPr>
        <w:t>部有关要求，农业农村厅收到资金文件后，在规定时限内，按管理办法规定提出具体资金分配方案，经厅党组审议同意后，正式行文报财政厅申请下达资金</w:t>
      </w:r>
      <w:r>
        <w:rPr>
          <w:rFonts w:hint="eastAsia"/>
          <w:sz w:val="32"/>
          <w:szCs w:val="32"/>
        </w:rPr>
        <w:t>。</w:t>
      </w:r>
      <w:r>
        <w:rPr>
          <w:sz w:val="32"/>
          <w:szCs w:val="32"/>
        </w:rPr>
        <w:t>专项资金及时拨付至各地县市，</w:t>
      </w:r>
      <w:r>
        <w:rPr>
          <w:kern w:val="0"/>
          <w:sz w:val="32"/>
          <w:szCs w:val="32"/>
          <w:lang w:bidi="ar"/>
        </w:rPr>
        <w:t>资金分解下达及时</w:t>
      </w:r>
      <w:r>
        <w:rPr>
          <w:rFonts w:hint="eastAsia"/>
          <w:kern w:val="0"/>
          <w:sz w:val="32"/>
          <w:szCs w:val="32"/>
          <w:lang w:bidi="ar"/>
        </w:rPr>
        <w:t>。</w:t>
      </w:r>
    </w:p>
    <w:p>
      <w:pPr>
        <w:spacing w:line="560" w:lineRule="exact"/>
        <w:ind w:firstLine="642" w:firstLineChars="200"/>
        <w:rPr>
          <w:sz w:val="32"/>
          <w:szCs w:val="32"/>
        </w:rPr>
      </w:pPr>
      <w:r>
        <w:rPr>
          <w:b/>
          <w:bCs/>
          <w:sz w:val="32"/>
          <w:szCs w:val="32"/>
        </w:rPr>
        <w:t>3.资金拨付合规性</w:t>
      </w:r>
      <w:r>
        <w:rPr>
          <w:rFonts w:hint="eastAsia"/>
          <w:b/>
          <w:bCs/>
          <w:sz w:val="32"/>
          <w:szCs w:val="32"/>
        </w:rPr>
        <w:t>：</w:t>
      </w:r>
      <w:r>
        <w:rPr>
          <w:spacing w:val="-2"/>
          <w:sz w:val="32"/>
          <w:szCs w:val="32"/>
        </w:rPr>
        <w:t>按照《财政部农业农村部关于修订农业相关转移支付资金管理办法的通知》</w:t>
      </w:r>
      <w:r>
        <w:rPr>
          <w:rFonts w:hint="eastAsia"/>
          <w:spacing w:val="-2"/>
          <w:sz w:val="32"/>
          <w:szCs w:val="32"/>
        </w:rPr>
        <w:t>（</w:t>
      </w:r>
      <w:r>
        <w:rPr>
          <w:spacing w:val="-2"/>
          <w:sz w:val="32"/>
          <w:szCs w:val="32"/>
        </w:rPr>
        <w:t>财农〔2022〕25号）文件的“第三章资金分配和预算下达”要求，严格按照国库集中支付制度有关规定支付资金，未出现违规将资金从国库转入财政专户或支付到预算单位实有资金账户等问题</w:t>
      </w:r>
      <w:r>
        <w:rPr>
          <w:sz w:val="32"/>
          <w:szCs w:val="32"/>
          <w:shd w:val="clear" w:color="auto" w:fill="FFFFFF"/>
        </w:rPr>
        <w:t>，资金拨付合规</w:t>
      </w:r>
      <w:r>
        <w:rPr>
          <w:rFonts w:hint="eastAsia"/>
          <w:sz w:val="32"/>
          <w:szCs w:val="32"/>
          <w:shd w:val="clear" w:color="auto" w:fill="FFFFFF"/>
        </w:rPr>
        <w:t>。</w:t>
      </w:r>
    </w:p>
    <w:p>
      <w:pPr>
        <w:spacing w:line="560" w:lineRule="exact"/>
        <w:ind w:firstLine="642" w:firstLineChars="200"/>
        <w:rPr>
          <w:sz w:val="32"/>
          <w:szCs w:val="32"/>
        </w:rPr>
      </w:pPr>
      <w:r>
        <w:rPr>
          <w:b/>
          <w:bCs/>
          <w:sz w:val="32"/>
          <w:szCs w:val="32"/>
        </w:rPr>
        <w:t>4.资金使用规范性：</w:t>
      </w:r>
      <w:r>
        <w:rPr>
          <w:sz w:val="32"/>
          <w:szCs w:val="32"/>
        </w:rPr>
        <w:t>严格按照财政部、农业农村部《耕地建设与利用资金管理办法》（财农〔2023〕12号）规定，建立资金使用台账，加强资金监管，实行统筹管理、专项核算、专职会计。坚持实事求是的原则，严格执行财务制度，做到原始凭证齐全，财务手续健全，账目核算规范。做</w:t>
      </w:r>
      <w:r>
        <w:rPr>
          <w:rFonts w:hint="eastAsia"/>
          <w:sz w:val="32"/>
          <w:szCs w:val="32"/>
        </w:rPr>
        <w:t>到</w:t>
      </w:r>
      <w:r>
        <w:rPr>
          <w:sz w:val="32"/>
          <w:szCs w:val="32"/>
        </w:rPr>
        <w:t>项目资金专款专储专用，</w:t>
      </w:r>
      <w:r>
        <w:rPr>
          <w:rFonts w:hint="eastAsia"/>
          <w:sz w:val="32"/>
          <w:szCs w:val="32"/>
        </w:rPr>
        <w:t>不存在</w:t>
      </w:r>
      <w:r>
        <w:rPr>
          <w:sz w:val="32"/>
          <w:szCs w:val="32"/>
        </w:rPr>
        <w:t>资金占用</w:t>
      </w:r>
      <w:r>
        <w:rPr>
          <w:rFonts w:hint="eastAsia"/>
          <w:sz w:val="32"/>
          <w:szCs w:val="32"/>
        </w:rPr>
        <w:t>情况</w:t>
      </w:r>
      <w:r>
        <w:rPr>
          <w:sz w:val="32"/>
          <w:szCs w:val="32"/>
        </w:rPr>
        <w:t>。资金使用符合中央耕地建设与利用资金使用范围要求，在中央巡视、各级审计和财政监督中未发现问题</w:t>
      </w:r>
      <w:r>
        <w:rPr>
          <w:rFonts w:hint="eastAsia"/>
          <w:sz w:val="32"/>
          <w:szCs w:val="32"/>
        </w:rPr>
        <w:t>。</w:t>
      </w:r>
    </w:p>
    <w:p>
      <w:pPr>
        <w:spacing w:line="560" w:lineRule="exact"/>
        <w:ind w:firstLine="642" w:firstLineChars="200"/>
        <w:rPr>
          <w:color w:val="FF0000"/>
          <w:sz w:val="32"/>
          <w:szCs w:val="32"/>
        </w:rPr>
      </w:pPr>
      <w:r>
        <w:rPr>
          <w:b/>
          <w:bCs/>
          <w:sz w:val="32"/>
          <w:szCs w:val="32"/>
        </w:rPr>
        <w:t>5.资金执行准确性</w:t>
      </w:r>
      <w:r>
        <w:rPr>
          <w:sz w:val="32"/>
          <w:szCs w:val="32"/>
        </w:rPr>
        <w:t>：</w:t>
      </w:r>
      <w:r>
        <w:rPr>
          <w:rFonts w:hint="eastAsia"/>
          <w:sz w:val="32"/>
          <w:szCs w:val="32"/>
        </w:rPr>
        <w:t>按照</w:t>
      </w:r>
      <w:r>
        <w:rPr>
          <w:sz w:val="32"/>
          <w:szCs w:val="32"/>
        </w:rPr>
        <w:t>《自治区惠民惠农财政补贴资金“一卡通”发放操作规程》（新财监〔2023〕7号），从工作职责、发放流程、监督与检查、工作要求5个方面明确了发放操作流程，推动及时、精准、足额发放补贴，防止虚报、冒领、挪用惠民惠农财政补贴资金等行为</w:t>
      </w:r>
      <w:r>
        <w:rPr>
          <w:rFonts w:hint="eastAsia"/>
          <w:sz w:val="32"/>
          <w:szCs w:val="32"/>
        </w:rPr>
        <w:t>。</w:t>
      </w:r>
    </w:p>
    <w:p>
      <w:pPr>
        <w:spacing w:line="560" w:lineRule="exact"/>
        <w:ind w:firstLine="642" w:firstLineChars="200"/>
        <w:rPr>
          <w:sz w:val="32"/>
          <w:szCs w:val="32"/>
        </w:rPr>
      </w:pPr>
      <w:r>
        <w:rPr>
          <w:b/>
          <w:bCs/>
          <w:sz w:val="32"/>
          <w:szCs w:val="32"/>
        </w:rPr>
        <w:t>6.预算绩效管理情况：</w:t>
      </w:r>
      <w:r>
        <w:rPr>
          <w:sz w:val="32"/>
          <w:szCs w:val="32"/>
          <w:shd w:val="clear" w:color="auto" w:fill="FFFFFF"/>
        </w:rPr>
        <w:t>按照《中共中央国务院关于全面实施预算绩效管理的意见》、《关于印发&lt;自治区本级部门预算绩效目标管理办法&gt;的通知》（新财预〔2017〕21号</w:t>
      </w:r>
      <w:r>
        <w:rPr>
          <w:rFonts w:hint="eastAsia"/>
          <w:sz w:val="32"/>
          <w:szCs w:val="32"/>
          <w:shd w:val="clear" w:color="auto" w:fill="FFFFFF"/>
        </w:rPr>
        <w:t>）</w:t>
      </w:r>
      <w:r>
        <w:rPr>
          <w:sz w:val="32"/>
          <w:szCs w:val="32"/>
          <w:shd w:val="clear" w:color="auto" w:fill="FFFFFF"/>
        </w:rPr>
        <w:t>、《关于印发&lt;新疆维吾尔自治区农业相关转移支付资金绩效管理办法实施细则&gt;的通知》（新财规〔2020〕15号）等相关文件要求，自治区农业农村厅强化资金使用监管，严格执行有关财经制度，进一步加强预算绩效管理，在预算执行中做好绩效监控，预算执行完做好绩效评价，切实提高财政资金使用效益，资金安全规范使用，年度绩效目标如期实现</w:t>
      </w:r>
      <w:r>
        <w:rPr>
          <w:rFonts w:hint="eastAsia"/>
          <w:sz w:val="32"/>
          <w:szCs w:val="32"/>
          <w:shd w:val="clear" w:color="auto" w:fill="FFFFFF"/>
        </w:rPr>
        <w:t>。</w:t>
      </w:r>
    </w:p>
    <w:p>
      <w:pPr>
        <w:pStyle w:val="11"/>
        <w:spacing w:after="0" w:line="560" w:lineRule="exact"/>
        <w:ind w:left="0" w:leftChars="0" w:firstLine="640"/>
        <w:rPr>
          <w:rFonts w:ascii="Times New Roman" w:hAnsi="Times New Roman"/>
          <w:sz w:val="32"/>
          <w:szCs w:val="32"/>
          <w:shd w:val="clear" w:color="auto" w:fill="FFFFFF"/>
        </w:rPr>
      </w:pPr>
      <w:r>
        <w:rPr>
          <w:rFonts w:ascii="Times New Roman" w:hAnsi="Times New Roman"/>
          <w:b/>
          <w:bCs/>
          <w:sz w:val="32"/>
          <w:szCs w:val="32"/>
        </w:rPr>
        <w:t>7.支出责任履行情况：</w:t>
      </w:r>
      <w:r>
        <w:rPr>
          <w:rFonts w:ascii="Times New Roman" w:hAnsi="Times New Roman"/>
          <w:sz w:val="32"/>
          <w:szCs w:val="32"/>
          <w:shd w:val="clear" w:color="auto" w:fill="FFFFFF"/>
        </w:rPr>
        <w:t>对共同财政事权转移支付，按照财政事权和支出责任划分有关规定，足额安排资金履行本级支出责任，支出责任履行情况良好。</w:t>
      </w:r>
    </w:p>
    <w:p>
      <w:pPr>
        <w:pStyle w:val="11"/>
        <w:spacing w:after="0" w:line="560" w:lineRule="exact"/>
        <w:ind w:left="0" w:leftChars="0" w:firstLine="640"/>
        <w:rPr>
          <w:rFonts w:ascii="Times New Roman" w:hAnsi="Times New Roman"/>
          <w:color w:val="FF0000"/>
          <w:sz w:val="32"/>
          <w:szCs w:val="32"/>
        </w:rPr>
      </w:pPr>
      <w:r>
        <w:rPr>
          <w:rFonts w:ascii="Times New Roman" w:hAnsi="Times New Roman"/>
          <w:sz w:val="32"/>
          <w:szCs w:val="32"/>
          <w:lang w:eastAsia="zh-Hans"/>
        </w:rPr>
        <w:t>项目实施乡镇人民政府为直接责任人，地州市县农业农村局为项目主管部门对项目资金使用、监督和验收负主体责任；单位主要领导为项目监督和实施第一责任人</w:t>
      </w:r>
      <w:r>
        <w:rPr>
          <w:rFonts w:ascii="Times New Roman" w:hAnsi="Times New Roman"/>
          <w:sz w:val="32"/>
          <w:szCs w:val="32"/>
        </w:rPr>
        <w:t>，</w:t>
      </w:r>
      <w:r>
        <w:rPr>
          <w:rFonts w:ascii="Times New Roman" w:hAnsi="Times New Roman"/>
          <w:sz w:val="32"/>
          <w:szCs w:val="32"/>
          <w:lang w:eastAsia="zh-Hans"/>
        </w:rPr>
        <w:t>主动与财政部门做好项目资金对接落实工作，</w:t>
      </w:r>
      <w:r>
        <w:rPr>
          <w:rFonts w:hint="eastAsia" w:ascii="Times New Roman" w:hAnsi="Times New Roman"/>
          <w:sz w:val="32"/>
          <w:szCs w:val="32"/>
          <w:lang w:eastAsia="zh-CN"/>
        </w:rPr>
        <w:t>保障</w:t>
      </w:r>
      <w:r>
        <w:rPr>
          <w:rFonts w:ascii="Times New Roman" w:hAnsi="Times New Roman"/>
          <w:sz w:val="32"/>
          <w:szCs w:val="32"/>
          <w:lang w:eastAsia="zh-Hans"/>
        </w:rPr>
        <w:t>资金及时到位，安全使用；</w:t>
      </w:r>
      <w:r>
        <w:rPr>
          <w:rFonts w:ascii="Times New Roman" w:hAnsi="Times New Roman"/>
          <w:sz w:val="32"/>
          <w:szCs w:val="32"/>
        </w:rPr>
        <w:t>自治区农业农村厅</w:t>
      </w:r>
      <w:r>
        <w:rPr>
          <w:rFonts w:ascii="Times New Roman" w:hAnsi="Times New Roman"/>
          <w:sz w:val="32"/>
          <w:szCs w:val="32"/>
          <w:lang w:eastAsia="zh-Hans"/>
        </w:rPr>
        <w:t>建立项目执行定期调度督导机制，及时掌握项目执行和资金使用情况，</w:t>
      </w:r>
      <w:r>
        <w:rPr>
          <w:rFonts w:ascii="Times New Roman" w:hAnsi="Times New Roman"/>
          <w:sz w:val="32"/>
          <w:szCs w:val="32"/>
        </w:rPr>
        <w:t>不断总结经验和问题，</w:t>
      </w:r>
      <w:r>
        <w:rPr>
          <w:rFonts w:hint="eastAsia" w:ascii="Times New Roman" w:hAnsi="Times New Roman"/>
          <w:sz w:val="32"/>
          <w:szCs w:val="32"/>
          <w:lang w:eastAsia="zh-CN"/>
        </w:rPr>
        <w:t>保障</w:t>
      </w:r>
      <w:r>
        <w:rPr>
          <w:rFonts w:ascii="Times New Roman" w:hAnsi="Times New Roman"/>
          <w:sz w:val="32"/>
          <w:szCs w:val="32"/>
          <w:lang w:eastAsia="zh-Hans"/>
        </w:rPr>
        <w:t>项目执行到位、资金使用规范。</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（三）总体绩效目标完成情况分析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202</w:t>
      </w:r>
      <w:r>
        <w:rPr>
          <w:rFonts w:hint="eastAsia"/>
          <w:sz w:val="32"/>
          <w:szCs w:val="32"/>
        </w:rPr>
        <w:t>4</w:t>
      </w:r>
      <w:r>
        <w:rPr>
          <w:sz w:val="32"/>
          <w:szCs w:val="32"/>
        </w:rPr>
        <w:t>年，</w:t>
      </w:r>
      <w:r>
        <w:rPr>
          <w:rFonts w:hint="eastAsia"/>
          <w:sz w:val="32"/>
          <w:szCs w:val="32"/>
        </w:rPr>
        <w:t>农田建设项目实施后，有效改善了项目区农田基础设施条件，实现了规模化、集约化生产，项目区主要粮棉作物耕种收综合机械化率提高至98%以上。通过田水路林电综合配套、带动良种良机良法集成推广，田间耕作成本降低5%～15%，土地流转费用亩均提高了300元，农田综合效益和竞争力得到有效释放，粮食综合生产能力得到大幅提升。截至2024年12月31日，国家下达我区的145万亩中央财政转移支付高标准农田建设项目（含34万亩高效节水任务）任务完成率100%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全区各地按照标准和时限要求，全面完成中央财政耕地地力保护补贴资金，用于补贴小麦种植户，每亩230元，有力缓解了粮食价格下行对种粮农户收益影响，达到了保护种粮农民收益的总体目标</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（四）绩效指标完成情况分析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1.产出指标完成情况分析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（1）数量指标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a</w:t>
      </w:r>
      <w:r>
        <w:rPr>
          <w:sz w:val="32"/>
          <w:szCs w:val="32"/>
        </w:rPr>
        <w:t>.</w:t>
      </w:r>
      <w:r>
        <w:rPr>
          <w:rFonts w:hint="eastAsia"/>
          <w:sz w:val="32"/>
          <w:szCs w:val="32"/>
        </w:rPr>
        <w:t>财政部</w:t>
      </w:r>
      <w:r>
        <w:rPr>
          <w:sz w:val="32"/>
          <w:szCs w:val="32"/>
        </w:rPr>
        <w:t>随文下达</w:t>
      </w:r>
      <w:r>
        <w:rPr>
          <w:rFonts w:hint="eastAsia"/>
          <w:sz w:val="32"/>
          <w:szCs w:val="32"/>
        </w:rPr>
        <w:t>新增高效节水灌溉面积指标，指标值为34（万亩），</w:t>
      </w:r>
      <w:r>
        <w:rPr>
          <w:sz w:val="32"/>
          <w:szCs w:val="36"/>
        </w:rPr>
        <w:t>我区实际完成</w:t>
      </w:r>
      <w:r>
        <w:rPr>
          <w:rFonts w:hint="eastAsia"/>
          <w:sz w:val="32"/>
          <w:szCs w:val="36"/>
        </w:rPr>
        <w:t>34</w:t>
      </w:r>
      <w:r>
        <w:rPr>
          <w:rFonts w:hint="eastAsia"/>
          <w:sz w:val="32"/>
          <w:szCs w:val="36"/>
          <w:lang w:val="en-US" w:eastAsia="zh-CN"/>
        </w:rPr>
        <w:t>万亩</w:t>
      </w:r>
      <w:r>
        <w:rPr>
          <w:sz w:val="32"/>
          <w:szCs w:val="36"/>
        </w:rPr>
        <w:t>，完成率</w:t>
      </w:r>
      <w:r>
        <w:rPr>
          <w:rFonts w:hint="eastAsia"/>
          <w:sz w:val="32"/>
          <w:szCs w:val="36"/>
        </w:rPr>
        <w:t>100</w:t>
      </w:r>
      <w:r>
        <w:rPr>
          <w:sz w:val="32"/>
          <w:szCs w:val="36"/>
        </w:rPr>
        <w:t>%，偏差率0%</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2"/>
        </w:rPr>
        <w:t>b</w:t>
      </w:r>
      <w:r>
        <w:rPr>
          <w:sz w:val="32"/>
          <w:szCs w:val="32"/>
        </w:rPr>
        <w:t>.</w:t>
      </w:r>
      <w:r>
        <w:rPr>
          <w:rFonts w:hint="eastAsia"/>
          <w:sz w:val="32"/>
          <w:szCs w:val="32"/>
        </w:rPr>
        <w:t>财政部</w:t>
      </w:r>
      <w:r>
        <w:rPr>
          <w:sz w:val="32"/>
          <w:szCs w:val="32"/>
        </w:rPr>
        <w:t>随文下达改造提升高标准农田面积</w:t>
      </w:r>
      <w:r>
        <w:rPr>
          <w:rFonts w:hint="eastAsia"/>
          <w:sz w:val="32"/>
          <w:szCs w:val="32"/>
        </w:rPr>
        <w:t>指标，指标值为21（万亩），</w:t>
      </w:r>
      <w:r>
        <w:rPr>
          <w:sz w:val="32"/>
          <w:szCs w:val="36"/>
        </w:rPr>
        <w:t>我区实际完成</w:t>
      </w:r>
      <w:r>
        <w:rPr>
          <w:rFonts w:hint="eastAsia"/>
          <w:sz w:val="32"/>
          <w:szCs w:val="36"/>
        </w:rPr>
        <w:t>21万亩</w:t>
      </w:r>
      <w:r>
        <w:rPr>
          <w:sz w:val="32"/>
          <w:szCs w:val="36"/>
        </w:rPr>
        <w:t>，完成率</w:t>
      </w:r>
      <w:r>
        <w:rPr>
          <w:rFonts w:hint="eastAsia"/>
          <w:sz w:val="32"/>
          <w:szCs w:val="36"/>
        </w:rPr>
        <w:t>100</w:t>
      </w:r>
      <w:r>
        <w:rPr>
          <w:sz w:val="32"/>
          <w:szCs w:val="36"/>
        </w:rPr>
        <w:t>%，偏差率</w:t>
      </w:r>
      <w:r>
        <w:rPr>
          <w:rFonts w:hint="eastAsia"/>
          <w:sz w:val="32"/>
          <w:szCs w:val="36"/>
        </w:rPr>
        <w:t>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6"/>
        </w:rPr>
        <w:t>c.</w:t>
      </w:r>
      <w:r>
        <w:rPr>
          <w:rFonts w:hint="eastAsia"/>
          <w:sz w:val="32"/>
          <w:szCs w:val="32"/>
        </w:rPr>
        <w:t>财政部</w:t>
      </w:r>
      <w:r>
        <w:rPr>
          <w:sz w:val="32"/>
          <w:szCs w:val="32"/>
        </w:rPr>
        <w:t>随文下达新建高标准农田面积</w:t>
      </w:r>
      <w:r>
        <w:rPr>
          <w:rFonts w:hint="eastAsia"/>
          <w:sz w:val="32"/>
          <w:szCs w:val="32"/>
        </w:rPr>
        <w:t>指标，指标值为124（万亩），</w:t>
      </w:r>
      <w:r>
        <w:rPr>
          <w:sz w:val="32"/>
          <w:szCs w:val="36"/>
        </w:rPr>
        <w:t>我区实际完成</w:t>
      </w:r>
      <w:r>
        <w:rPr>
          <w:rFonts w:hint="eastAsia"/>
          <w:sz w:val="32"/>
          <w:szCs w:val="36"/>
        </w:rPr>
        <w:t>124</w:t>
      </w:r>
      <w:r>
        <w:rPr>
          <w:rFonts w:hint="eastAsia"/>
          <w:sz w:val="32"/>
          <w:szCs w:val="36"/>
          <w:lang w:val="en-US" w:eastAsia="zh-CN"/>
        </w:rPr>
        <w:t>万亩</w:t>
      </w:r>
      <w:r>
        <w:rPr>
          <w:sz w:val="32"/>
          <w:szCs w:val="36"/>
        </w:rPr>
        <w:t>，完成率</w:t>
      </w:r>
      <w:r>
        <w:rPr>
          <w:rFonts w:hint="eastAsia"/>
          <w:sz w:val="32"/>
          <w:szCs w:val="36"/>
        </w:rPr>
        <w:t>100</w:t>
      </w:r>
      <w:r>
        <w:rPr>
          <w:sz w:val="32"/>
          <w:szCs w:val="36"/>
        </w:rPr>
        <w:t>%，偏差率0%</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2"/>
        </w:rPr>
        <w:t>d.财政部</w:t>
      </w:r>
      <w:r>
        <w:rPr>
          <w:sz w:val="32"/>
          <w:szCs w:val="32"/>
        </w:rPr>
        <w:t>随文下达开展盐碱地综合利用试点县数量</w:t>
      </w:r>
      <w:r>
        <w:rPr>
          <w:rFonts w:hint="eastAsia"/>
          <w:sz w:val="32"/>
          <w:szCs w:val="32"/>
        </w:rPr>
        <w:t>指标，指标值为2个，</w:t>
      </w:r>
      <w:r>
        <w:rPr>
          <w:sz w:val="32"/>
          <w:szCs w:val="36"/>
        </w:rPr>
        <w:t>我区实际完成</w:t>
      </w:r>
      <w:r>
        <w:rPr>
          <w:rFonts w:hint="eastAsia"/>
          <w:sz w:val="32"/>
          <w:szCs w:val="36"/>
        </w:rPr>
        <w:t>2</w:t>
      </w:r>
      <w:r>
        <w:rPr>
          <w:sz w:val="32"/>
          <w:szCs w:val="36"/>
        </w:rPr>
        <w:t>个，完成率</w:t>
      </w:r>
      <w:r>
        <w:rPr>
          <w:rFonts w:hint="eastAsia"/>
          <w:sz w:val="32"/>
          <w:szCs w:val="36"/>
        </w:rPr>
        <w:t>100</w:t>
      </w:r>
      <w:r>
        <w:rPr>
          <w:sz w:val="32"/>
          <w:szCs w:val="36"/>
        </w:rPr>
        <w:t>%，偏差率</w:t>
      </w:r>
      <w:r>
        <w:rPr>
          <w:rFonts w:hint="eastAsia"/>
          <w:sz w:val="32"/>
          <w:szCs w:val="36"/>
        </w:rPr>
        <w:t>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e.</w:t>
      </w:r>
      <w:r>
        <w:rPr>
          <w:rFonts w:hint="eastAsia"/>
          <w:sz w:val="32"/>
          <w:szCs w:val="32"/>
        </w:rPr>
        <w:t>财政部</w:t>
      </w:r>
      <w:r>
        <w:rPr>
          <w:sz w:val="32"/>
          <w:szCs w:val="32"/>
        </w:rPr>
        <w:t>随文下达耕地轮作试点面积</w:t>
      </w:r>
      <w:r>
        <w:rPr>
          <w:rFonts w:hint="eastAsia"/>
          <w:sz w:val="32"/>
          <w:szCs w:val="32"/>
        </w:rPr>
        <w:t>指标，指标值为251（万亩），</w:t>
      </w:r>
      <w:r>
        <w:rPr>
          <w:rFonts w:hint="eastAsia"/>
          <w:sz w:val="32"/>
          <w:szCs w:val="36"/>
        </w:rPr>
        <w:t>实际完成235.74万亩，完成率94%、偏差率6%。偏差原因：按照</w:t>
      </w:r>
      <w:r>
        <w:rPr>
          <w:rFonts w:hint="eastAsia"/>
          <w:sz w:val="32"/>
          <w:szCs w:val="36"/>
          <w:lang w:val="en-US" w:eastAsia="zh-CN"/>
        </w:rPr>
        <w:t>耕地轮作试点工作要求</w:t>
      </w:r>
      <w:r>
        <w:rPr>
          <w:rFonts w:hint="eastAsia"/>
          <w:sz w:val="32"/>
          <w:szCs w:val="36"/>
        </w:rPr>
        <w:t>，部分</w:t>
      </w:r>
      <w:r>
        <w:rPr>
          <w:rFonts w:hint="eastAsia"/>
          <w:sz w:val="32"/>
          <w:szCs w:val="36"/>
          <w:lang w:val="en-US" w:eastAsia="zh-CN"/>
        </w:rPr>
        <w:t>试点</w:t>
      </w:r>
      <w:r>
        <w:rPr>
          <w:rFonts w:hint="eastAsia"/>
          <w:sz w:val="32"/>
          <w:szCs w:val="36"/>
        </w:rPr>
        <w:t>面积因农户未按要求开展轮作</w:t>
      </w:r>
      <w:r>
        <w:rPr>
          <w:rFonts w:hint="eastAsia"/>
          <w:sz w:val="32"/>
          <w:szCs w:val="36"/>
          <w:lang w:eastAsia="zh-CN"/>
        </w:rPr>
        <w:t>，</w:t>
      </w:r>
      <w:r>
        <w:rPr>
          <w:rFonts w:hint="eastAsia"/>
          <w:sz w:val="32"/>
          <w:szCs w:val="36"/>
        </w:rPr>
        <w:t>未支付轮作补助资金。针对2024年未完成的7万亩轮作任务，督促相关地州、县市抓紧做好任务安排和地块的落实，及时支付补助资金，</w:t>
      </w:r>
      <w:r>
        <w:rPr>
          <w:rFonts w:hint="eastAsia"/>
          <w:sz w:val="32"/>
          <w:szCs w:val="36"/>
          <w:lang w:eastAsia="zh-CN"/>
        </w:rPr>
        <w:t>保障</w:t>
      </w:r>
      <w:r>
        <w:rPr>
          <w:rFonts w:hint="eastAsia"/>
          <w:sz w:val="32"/>
          <w:szCs w:val="36"/>
        </w:rPr>
        <w:t>轮作任务保质保量完成。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f.</w:t>
      </w:r>
      <w:r>
        <w:rPr>
          <w:rFonts w:hint="eastAsia"/>
          <w:sz w:val="32"/>
          <w:szCs w:val="32"/>
        </w:rPr>
        <w:t>财政部</w:t>
      </w:r>
      <w:r>
        <w:rPr>
          <w:sz w:val="32"/>
          <w:szCs w:val="32"/>
        </w:rPr>
        <w:t>随文下达耕地休耕试点面积</w:t>
      </w:r>
      <w:r>
        <w:rPr>
          <w:rFonts w:hint="eastAsia"/>
          <w:sz w:val="32"/>
          <w:szCs w:val="32"/>
        </w:rPr>
        <w:t>指标，指标值为16（万亩），</w:t>
      </w:r>
      <w:r>
        <w:rPr>
          <w:sz w:val="32"/>
          <w:szCs w:val="36"/>
        </w:rPr>
        <w:t>我区实际完成</w:t>
      </w:r>
      <w:r>
        <w:rPr>
          <w:rFonts w:hint="eastAsia"/>
          <w:sz w:val="32"/>
          <w:szCs w:val="36"/>
        </w:rPr>
        <w:t>16万亩</w:t>
      </w:r>
      <w:r>
        <w:rPr>
          <w:sz w:val="32"/>
          <w:szCs w:val="36"/>
        </w:rPr>
        <w:t>，完成率</w:t>
      </w:r>
      <w:r>
        <w:rPr>
          <w:rFonts w:hint="eastAsia"/>
          <w:sz w:val="32"/>
          <w:szCs w:val="36"/>
        </w:rPr>
        <w:t>100</w:t>
      </w:r>
      <w:r>
        <w:rPr>
          <w:sz w:val="32"/>
          <w:szCs w:val="36"/>
        </w:rPr>
        <w:t>%，偏差率</w:t>
      </w:r>
      <w:r>
        <w:rPr>
          <w:rFonts w:hint="eastAsia"/>
          <w:sz w:val="32"/>
          <w:szCs w:val="36"/>
        </w:rPr>
        <w:t>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g.</w:t>
      </w:r>
      <w:r>
        <w:rPr>
          <w:rFonts w:hint="eastAsia"/>
          <w:sz w:val="32"/>
          <w:szCs w:val="32"/>
        </w:rPr>
        <w:t>财政部</w:t>
      </w:r>
      <w:r>
        <w:rPr>
          <w:sz w:val="32"/>
          <w:szCs w:val="32"/>
        </w:rPr>
        <w:t>随文下达化肥减量增效“三新”集成推进县数量</w:t>
      </w:r>
      <w:r>
        <w:rPr>
          <w:rFonts w:hint="eastAsia"/>
          <w:sz w:val="32"/>
          <w:szCs w:val="32"/>
        </w:rPr>
        <w:t>指标，指标值为15个，</w:t>
      </w:r>
      <w:r>
        <w:rPr>
          <w:sz w:val="32"/>
          <w:szCs w:val="36"/>
        </w:rPr>
        <w:t>我区</w:t>
      </w:r>
      <w:r>
        <w:rPr>
          <w:sz w:val="32"/>
          <w:szCs w:val="32"/>
        </w:rPr>
        <w:t>三新”集成配套推进县15个，完成率100%</w:t>
      </w:r>
      <w:r>
        <w:rPr>
          <w:rFonts w:hint="eastAsia"/>
          <w:sz w:val="32"/>
          <w:szCs w:val="32"/>
        </w:rPr>
        <w:t>，偏差率0%</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h.</w:t>
      </w:r>
      <w:r>
        <w:rPr>
          <w:rFonts w:hint="eastAsia"/>
          <w:sz w:val="32"/>
          <w:szCs w:val="32"/>
        </w:rPr>
        <w:t>财政部</w:t>
      </w:r>
      <w:r>
        <w:rPr>
          <w:sz w:val="32"/>
          <w:szCs w:val="32"/>
        </w:rPr>
        <w:t>随文下达农户施肥调查数量</w:t>
      </w:r>
      <w:r>
        <w:rPr>
          <w:rFonts w:hint="eastAsia"/>
          <w:sz w:val="32"/>
          <w:szCs w:val="32"/>
        </w:rPr>
        <w:t>指标，指标值为11000（户），</w:t>
      </w:r>
      <w:r>
        <w:rPr>
          <w:sz w:val="32"/>
          <w:szCs w:val="36"/>
        </w:rPr>
        <w:t>我区</w:t>
      </w:r>
      <w:r>
        <w:rPr>
          <w:rFonts w:hint="eastAsia"/>
          <w:sz w:val="32"/>
          <w:szCs w:val="32"/>
        </w:rPr>
        <w:t>开展</w:t>
      </w:r>
      <w:r>
        <w:rPr>
          <w:sz w:val="32"/>
          <w:szCs w:val="32"/>
        </w:rPr>
        <w:t>农户施肥调查数量11021户，完成率100</w:t>
      </w:r>
      <w:r>
        <w:rPr>
          <w:rFonts w:hint="eastAsia"/>
          <w:sz w:val="32"/>
          <w:szCs w:val="32"/>
        </w:rPr>
        <w:t>.2</w:t>
      </w:r>
      <w:r>
        <w:rPr>
          <w:sz w:val="32"/>
          <w:szCs w:val="32"/>
        </w:rPr>
        <w:t>%</w:t>
      </w:r>
      <w:r>
        <w:rPr>
          <w:rFonts w:hint="eastAsia"/>
          <w:sz w:val="32"/>
          <w:szCs w:val="32"/>
        </w:rPr>
        <w:t>，偏差率0.2%</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i.</w:t>
      </w:r>
      <w:r>
        <w:rPr>
          <w:rFonts w:hint="eastAsia"/>
          <w:sz w:val="32"/>
          <w:szCs w:val="32"/>
        </w:rPr>
        <w:t>财政部</w:t>
      </w:r>
      <w:r>
        <w:rPr>
          <w:sz w:val="32"/>
          <w:szCs w:val="32"/>
        </w:rPr>
        <w:t>随文下达田间试验数量</w:t>
      </w:r>
      <w:r>
        <w:rPr>
          <w:rFonts w:hint="eastAsia"/>
          <w:sz w:val="32"/>
          <w:szCs w:val="32"/>
        </w:rPr>
        <w:t>指标，指标值为320（个），</w:t>
      </w:r>
      <w:r>
        <w:rPr>
          <w:sz w:val="32"/>
          <w:szCs w:val="36"/>
        </w:rPr>
        <w:t>我区实际</w:t>
      </w:r>
      <w:r>
        <w:rPr>
          <w:rFonts w:hint="eastAsia"/>
          <w:sz w:val="32"/>
          <w:szCs w:val="32"/>
        </w:rPr>
        <w:t>完成</w:t>
      </w:r>
      <w:r>
        <w:rPr>
          <w:sz w:val="32"/>
          <w:szCs w:val="32"/>
        </w:rPr>
        <w:t>田间试验数量324个，完成率10</w:t>
      </w:r>
      <w:r>
        <w:rPr>
          <w:rFonts w:hint="eastAsia"/>
          <w:sz w:val="32"/>
          <w:szCs w:val="32"/>
        </w:rPr>
        <w:t>1.3</w:t>
      </w:r>
      <w:r>
        <w:rPr>
          <w:sz w:val="32"/>
          <w:szCs w:val="32"/>
        </w:rPr>
        <w:t>%</w:t>
      </w:r>
      <w:r>
        <w:rPr>
          <w:rFonts w:hint="eastAsia"/>
          <w:sz w:val="32"/>
          <w:szCs w:val="32"/>
        </w:rPr>
        <w:t>，偏差率1.3%</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j.</w:t>
      </w:r>
      <w:r>
        <w:rPr>
          <w:rFonts w:hint="eastAsia"/>
          <w:sz w:val="32"/>
          <w:szCs w:val="32"/>
        </w:rPr>
        <w:t>财政部</w:t>
      </w:r>
      <w:r>
        <w:rPr>
          <w:sz w:val="32"/>
          <w:szCs w:val="32"/>
        </w:rPr>
        <w:t>随文下达外业调查采样和内业测试化验点位数</w:t>
      </w:r>
      <w:r>
        <w:rPr>
          <w:rFonts w:hint="eastAsia"/>
          <w:sz w:val="32"/>
          <w:szCs w:val="32"/>
        </w:rPr>
        <w:t>指标，指标值为25350个，</w:t>
      </w:r>
      <w:r>
        <w:rPr>
          <w:sz w:val="32"/>
          <w:szCs w:val="36"/>
        </w:rPr>
        <w:t>我区实际完成</w:t>
      </w:r>
      <w:r>
        <w:rPr>
          <w:rFonts w:hint="eastAsia"/>
          <w:sz w:val="32"/>
          <w:szCs w:val="36"/>
        </w:rPr>
        <w:t>36410</w:t>
      </w:r>
      <w:r>
        <w:rPr>
          <w:sz w:val="32"/>
          <w:szCs w:val="36"/>
        </w:rPr>
        <w:t>个，完成率</w:t>
      </w:r>
      <w:r>
        <w:rPr>
          <w:rFonts w:hint="eastAsia"/>
          <w:sz w:val="32"/>
          <w:szCs w:val="36"/>
        </w:rPr>
        <w:t>143.63</w:t>
      </w:r>
      <w:r>
        <w:rPr>
          <w:sz w:val="32"/>
          <w:szCs w:val="36"/>
        </w:rPr>
        <w:t>%，偏差率</w:t>
      </w:r>
      <w:r>
        <w:rPr>
          <w:rFonts w:hint="eastAsia"/>
          <w:sz w:val="32"/>
          <w:szCs w:val="36"/>
        </w:rPr>
        <w:t>43.63%。偏差原因：</w:t>
      </w:r>
      <w:r>
        <w:rPr>
          <w:rFonts w:hint="eastAsia"/>
          <w:sz w:val="32"/>
          <w:szCs w:val="32"/>
        </w:rPr>
        <w:t>根据国家三普办要求，需于2024年完成剩余全部样点的外业调查采样和内业测试化验任务，自治区三普办根据要求进行任务调整。</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rPr>
        <w:t>（2）</w:t>
      </w:r>
      <w:r>
        <w:rPr>
          <w:rFonts w:hint="eastAsia"/>
          <w:sz w:val="32"/>
        </w:rPr>
        <w:t>质量</w:t>
      </w:r>
      <w:r>
        <w:rPr>
          <w:sz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财政部</w:t>
      </w:r>
      <w:r>
        <w:rPr>
          <w:sz w:val="32"/>
          <w:szCs w:val="32"/>
        </w:rPr>
        <w:t>随文</w:t>
      </w:r>
      <w:r>
        <w:rPr>
          <w:rFonts w:hint="eastAsia"/>
          <w:sz w:val="32"/>
          <w:szCs w:val="32"/>
        </w:rPr>
        <w:t>下达高标准农田建设项目验收合格率指标，指标值为≥95%，</w:t>
      </w:r>
      <w:r>
        <w:rPr>
          <w:sz w:val="32"/>
          <w:szCs w:val="36"/>
        </w:rPr>
        <w:t>我区实际完成</w:t>
      </w:r>
      <w:r>
        <w:rPr>
          <w:rFonts w:hint="eastAsia"/>
          <w:sz w:val="32"/>
          <w:szCs w:val="36"/>
        </w:rPr>
        <w:t>100%</w:t>
      </w:r>
      <w:r>
        <w:rPr>
          <w:sz w:val="32"/>
          <w:szCs w:val="36"/>
        </w:rPr>
        <w:t>，完成率</w:t>
      </w:r>
      <w:r>
        <w:rPr>
          <w:rFonts w:hint="eastAsia"/>
          <w:sz w:val="32"/>
          <w:szCs w:val="36"/>
          <w:lang w:val="en-US" w:eastAsia="zh-CN"/>
        </w:rPr>
        <w:t>105.26</w:t>
      </w:r>
      <w:r>
        <w:rPr>
          <w:sz w:val="32"/>
          <w:szCs w:val="36"/>
        </w:rPr>
        <w:t>%，偏差率</w:t>
      </w:r>
      <w:r>
        <w:rPr>
          <w:rFonts w:hint="eastAsia"/>
          <w:sz w:val="32"/>
          <w:szCs w:val="36"/>
          <w:lang w:val="en-US" w:eastAsia="zh-CN"/>
        </w:rPr>
        <w:t>5.26</w:t>
      </w:r>
      <w:r>
        <w:rPr>
          <w:rFonts w:hint="eastAsia"/>
          <w:sz w:val="32"/>
          <w:szCs w:val="36"/>
        </w:rPr>
        <w:t>%</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rPr>
        <w:t>（3）</w:t>
      </w:r>
      <w:r>
        <w:rPr>
          <w:rFonts w:hint="eastAsia"/>
          <w:sz w:val="32"/>
        </w:rPr>
        <w:t>时效</w:t>
      </w:r>
      <w:r>
        <w:rPr>
          <w:sz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2"/>
          <w:lang w:val="en-US" w:eastAsia="zh-CN"/>
        </w:rPr>
      </w:pPr>
      <w:r>
        <w:rPr>
          <w:sz w:val="32"/>
          <w:szCs w:val="32"/>
        </w:rPr>
        <w:t>a.</w:t>
      </w:r>
      <w:r>
        <w:rPr>
          <w:rFonts w:hint="eastAsia"/>
          <w:sz w:val="32"/>
          <w:szCs w:val="32"/>
        </w:rPr>
        <w:t>财政部</w:t>
      </w:r>
      <w:r>
        <w:rPr>
          <w:sz w:val="32"/>
        </w:rPr>
        <w:t>随文下达</w:t>
      </w:r>
      <w:r>
        <w:rPr>
          <w:rFonts w:hint="eastAsia"/>
          <w:sz w:val="32"/>
        </w:rPr>
        <w:t>耕地地力保护补贴发放时限指标，指标值为2024年</w:t>
      </w:r>
      <w:r>
        <w:rPr>
          <w:rFonts w:hint="eastAsia"/>
          <w:sz w:val="32"/>
          <w:lang w:val="en-US" w:eastAsia="zh-CN"/>
        </w:rPr>
        <w:t>6</w:t>
      </w:r>
      <w:r>
        <w:rPr>
          <w:rFonts w:hint="eastAsia"/>
          <w:sz w:val="32"/>
        </w:rPr>
        <w:t>月30日</w:t>
      </w:r>
      <w:r>
        <w:rPr>
          <w:rFonts w:hint="eastAsia"/>
          <w:sz w:val="32"/>
          <w:lang w:val="en-US" w:eastAsia="zh-CN"/>
        </w:rPr>
        <w:t>前</w:t>
      </w:r>
      <w:r>
        <w:rPr>
          <w:rFonts w:hint="eastAsia"/>
          <w:sz w:val="32"/>
        </w:rPr>
        <w:t>，</w:t>
      </w:r>
      <w:r>
        <w:rPr>
          <w:sz w:val="32"/>
          <w:szCs w:val="36"/>
        </w:rPr>
        <w:t>我区实际完成</w:t>
      </w:r>
      <w:r>
        <w:rPr>
          <w:rFonts w:hint="eastAsia"/>
          <w:sz w:val="32"/>
          <w:szCs w:val="36"/>
        </w:rPr>
        <w:t>7月30日</w:t>
      </w:r>
      <w:r>
        <w:rPr>
          <w:sz w:val="32"/>
          <w:szCs w:val="36"/>
        </w:rPr>
        <w:t>，完成率</w:t>
      </w:r>
      <w:r>
        <w:rPr>
          <w:rFonts w:hint="eastAsia"/>
          <w:sz w:val="32"/>
          <w:szCs w:val="36"/>
          <w:lang w:val="en-US" w:eastAsia="zh-CN"/>
        </w:rPr>
        <w:t>0%</w:t>
      </w:r>
      <w:r>
        <w:rPr>
          <w:sz w:val="32"/>
          <w:szCs w:val="36"/>
        </w:rPr>
        <w:t>，偏差率</w:t>
      </w:r>
      <w:r>
        <w:rPr>
          <w:rFonts w:hint="eastAsia"/>
          <w:sz w:val="32"/>
          <w:szCs w:val="36"/>
          <w:lang w:val="en-US" w:eastAsia="zh-CN"/>
        </w:rPr>
        <w:t>100</w:t>
      </w:r>
      <w:r>
        <w:rPr>
          <w:rFonts w:hint="eastAsia"/>
          <w:sz w:val="32"/>
          <w:szCs w:val="36"/>
        </w:rPr>
        <w:t>%</w:t>
      </w:r>
      <w:r>
        <w:rPr>
          <w:sz w:val="32"/>
          <w:szCs w:val="32"/>
        </w:rPr>
        <w:t>。</w:t>
      </w:r>
      <w:r>
        <w:rPr>
          <w:rFonts w:hint="eastAsia"/>
          <w:sz w:val="32"/>
          <w:szCs w:val="32"/>
          <w:lang w:val="en-US" w:eastAsia="zh-CN"/>
        </w:rPr>
        <w:t>偏差原因：新疆地处西北干旱区，春季回暖较晚，小麦等农作物播种期多在3-5月，部分冷凉区农作物播种时间更晚，因耕地地力保护补贴资金发放需经面积申报、公示、审核等环节，导致补贴发放工作相应延后，未在6月30日前完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b.财政部</w:t>
      </w:r>
      <w:r>
        <w:rPr>
          <w:sz w:val="32"/>
        </w:rPr>
        <w:t>随文下达</w:t>
      </w:r>
      <w:r>
        <w:rPr>
          <w:rFonts w:hint="eastAsia"/>
          <w:sz w:val="32"/>
        </w:rPr>
        <w:t>高标准农田建设任务完成及时性指标，指标值为1-2年，我</w:t>
      </w:r>
      <w:r>
        <w:rPr>
          <w:sz w:val="32"/>
          <w:szCs w:val="36"/>
        </w:rPr>
        <w:t>区实际完成</w:t>
      </w:r>
      <w:r>
        <w:rPr>
          <w:rFonts w:hint="eastAsia"/>
          <w:sz w:val="32"/>
          <w:szCs w:val="36"/>
        </w:rPr>
        <w:t>100%</w:t>
      </w:r>
      <w:r>
        <w:rPr>
          <w:sz w:val="32"/>
          <w:szCs w:val="36"/>
        </w:rPr>
        <w:t>，完成率</w:t>
      </w:r>
      <w:r>
        <w:rPr>
          <w:rFonts w:hint="eastAsia"/>
          <w:sz w:val="32"/>
          <w:szCs w:val="36"/>
        </w:rPr>
        <w:t>100</w:t>
      </w:r>
      <w:r>
        <w:rPr>
          <w:sz w:val="32"/>
          <w:szCs w:val="36"/>
        </w:rPr>
        <w:t>%，偏差率</w:t>
      </w:r>
      <w:r>
        <w:rPr>
          <w:rFonts w:hint="eastAsia"/>
          <w:sz w:val="32"/>
          <w:szCs w:val="36"/>
        </w:rPr>
        <w:t>0%</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rPr>
        <w:t>（</w:t>
      </w:r>
      <w:r>
        <w:rPr>
          <w:rFonts w:hint="eastAsia"/>
          <w:sz w:val="32"/>
        </w:rPr>
        <w:t>4</w:t>
      </w:r>
      <w:r>
        <w:rPr>
          <w:sz w:val="32"/>
        </w:rPr>
        <w:t>）</w:t>
      </w:r>
      <w:r>
        <w:rPr>
          <w:rFonts w:hint="eastAsia"/>
          <w:sz w:val="32"/>
        </w:rPr>
        <w:t>成本</w:t>
      </w:r>
      <w:r>
        <w:rPr>
          <w:sz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szCs w:val="32"/>
        </w:rPr>
        <w:t>财政部随文下达的</w:t>
      </w:r>
      <w:r>
        <w:rPr>
          <w:color w:val="000000"/>
          <w:sz w:val="32"/>
          <w:szCs w:val="32"/>
        </w:rPr>
        <w:t>绩效目标未设定成本指标</w:t>
      </w:r>
      <w:r>
        <w:rPr>
          <w:rFonts w:hint="eastAsia"/>
          <w:color w:val="000000"/>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b/>
          <w:bCs/>
          <w:sz w:val="32"/>
          <w:szCs w:val="32"/>
        </w:rPr>
        <w:t>2.效益指标完成情况分析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w:t>
      </w:r>
      <w:r>
        <w:rPr>
          <w:rFonts w:hint="eastAsia"/>
          <w:sz w:val="32"/>
          <w:szCs w:val="32"/>
        </w:rPr>
        <w:t>1</w:t>
      </w:r>
      <w:r>
        <w:rPr>
          <w:sz w:val="32"/>
          <w:szCs w:val="32"/>
        </w:rPr>
        <w:t>）</w:t>
      </w:r>
      <w:r>
        <w:rPr>
          <w:rFonts w:hint="eastAsia"/>
          <w:sz w:val="32"/>
          <w:szCs w:val="32"/>
        </w:rPr>
        <w:t>经济</w:t>
      </w:r>
      <w:r>
        <w:rPr>
          <w:sz w:val="32"/>
          <w:szCs w:val="32"/>
        </w:rPr>
        <w:t>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财</w:t>
      </w:r>
      <w:r>
        <w:rPr>
          <w:sz w:val="32"/>
          <w:szCs w:val="32"/>
        </w:rPr>
        <w:t>政部随文下达的</w:t>
      </w:r>
      <w:r>
        <w:rPr>
          <w:color w:val="000000"/>
          <w:sz w:val="32"/>
          <w:szCs w:val="32"/>
        </w:rPr>
        <w:t>绩效目标未设定经济效益指标</w:t>
      </w:r>
      <w:r>
        <w:rPr>
          <w:rFonts w:hint="eastAsia"/>
          <w:color w:val="000000"/>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w:t>
      </w:r>
      <w:r>
        <w:rPr>
          <w:rFonts w:hint="eastAsia"/>
          <w:sz w:val="32"/>
          <w:szCs w:val="32"/>
        </w:rPr>
        <w:t>2</w:t>
      </w:r>
      <w:r>
        <w:rPr>
          <w:sz w:val="32"/>
          <w:szCs w:val="32"/>
        </w:rPr>
        <w:t>）社会效益指标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sz w:val="32"/>
          <w:szCs w:val="32"/>
        </w:rPr>
        <w:t>a.</w:t>
      </w:r>
      <w:r>
        <w:rPr>
          <w:rFonts w:hint="eastAsia"/>
          <w:sz w:val="32"/>
          <w:szCs w:val="32"/>
        </w:rPr>
        <w:t>财政部</w:t>
      </w:r>
      <w:r>
        <w:rPr>
          <w:sz w:val="32"/>
        </w:rPr>
        <w:t>随文下达</w:t>
      </w:r>
      <w:r>
        <w:rPr>
          <w:rFonts w:hint="eastAsia"/>
          <w:sz w:val="32"/>
        </w:rPr>
        <w:t>粮食综合生产能力指标，指标值为明显提升，我</w:t>
      </w:r>
      <w:r>
        <w:rPr>
          <w:sz w:val="32"/>
          <w:szCs w:val="36"/>
        </w:rPr>
        <w:t>区实际完成</w:t>
      </w:r>
      <w:r>
        <w:rPr>
          <w:rFonts w:hint="eastAsia"/>
          <w:sz w:val="32"/>
          <w:szCs w:val="36"/>
          <w:lang w:val="en-US" w:eastAsia="zh-CN"/>
        </w:rPr>
        <w:t>100%</w:t>
      </w:r>
      <w:r>
        <w:rPr>
          <w:sz w:val="32"/>
          <w:szCs w:val="36"/>
        </w:rPr>
        <w:t>，完成率</w:t>
      </w:r>
      <w:r>
        <w:rPr>
          <w:rFonts w:hint="eastAsia"/>
          <w:sz w:val="32"/>
          <w:szCs w:val="36"/>
        </w:rPr>
        <w:t>100</w:t>
      </w:r>
      <w:r>
        <w:rPr>
          <w:sz w:val="32"/>
          <w:szCs w:val="36"/>
        </w:rPr>
        <w:t>%，偏差率</w:t>
      </w:r>
      <w:r>
        <w:rPr>
          <w:rFonts w:hint="eastAsia"/>
          <w:sz w:val="32"/>
          <w:szCs w:val="36"/>
        </w:rPr>
        <w:t>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b.</w:t>
      </w:r>
      <w:r>
        <w:rPr>
          <w:rFonts w:hint="eastAsia"/>
          <w:sz w:val="32"/>
          <w:szCs w:val="32"/>
        </w:rPr>
        <w:t>财政部</w:t>
      </w:r>
      <w:r>
        <w:rPr>
          <w:sz w:val="32"/>
        </w:rPr>
        <w:t>随文下达</w:t>
      </w:r>
      <w:r>
        <w:rPr>
          <w:rFonts w:hint="eastAsia"/>
          <w:sz w:val="32"/>
        </w:rPr>
        <w:t>资金使用重大违规违纪问题指标，指标值为无，我</w:t>
      </w:r>
      <w:r>
        <w:rPr>
          <w:sz w:val="32"/>
          <w:szCs w:val="36"/>
        </w:rPr>
        <w:t>区实际完成</w:t>
      </w:r>
      <w:r>
        <w:rPr>
          <w:rFonts w:hint="eastAsia"/>
          <w:sz w:val="32"/>
          <w:szCs w:val="36"/>
          <w:lang w:val="en-US" w:eastAsia="zh-CN"/>
        </w:rPr>
        <w:t>无</w:t>
      </w:r>
      <w:r>
        <w:rPr>
          <w:sz w:val="32"/>
          <w:szCs w:val="36"/>
        </w:rPr>
        <w:t>，完成率</w:t>
      </w:r>
      <w:r>
        <w:rPr>
          <w:rFonts w:hint="eastAsia"/>
          <w:sz w:val="32"/>
          <w:szCs w:val="36"/>
        </w:rPr>
        <w:t>100</w:t>
      </w:r>
      <w:r>
        <w:rPr>
          <w:sz w:val="32"/>
          <w:szCs w:val="36"/>
        </w:rPr>
        <w:t>%，偏差率</w:t>
      </w:r>
      <w:r>
        <w:rPr>
          <w:rFonts w:hint="eastAsia"/>
          <w:sz w:val="32"/>
          <w:szCs w:val="36"/>
        </w:rPr>
        <w:t>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w:t>
      </w:r>
      <w:r>
        <w:rPr>
          <w:rFonts w:hint="eastAsia"/>
          <w:sz w:val="32"/>
          <w:szCs w:val="32"/>
        </w:rPr>
        <w:t>3</w:t>
      </w:r>
      <w:r>
        <w:rPr>
          <w:sz w:val="32"/>
          <w:szCs w:val="32"/>
        </w:rPr>
        <w:t>）生态效益指标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lang w:val="en-US" w:eastAsia="zh-CN"/>
        </w:rPr>
      </w:pPr>
      <w:r>
        <w:rPr>
          <w:rFonts w:hint="eastAsia"/>
          <w:sz w:val="32"/>
          <w:szCs w:val="32"/>
        </w:rPr>
        <w:t>财政部</w:t>
      </w:r>
      <w:r>
        <w:rPr>
          <w:sz w:val="32"/>
        </w:rPr>
        <w:t>随文下达</w:t>
      </w:r>
      <w:r>
        <w:rPr>
          <w:rFonts w:hint="eastAsia"/>
          <w:sz w:val="32"/>
          <w:lang w:val="en-US" w:eastAsia="zh-CN"/>
        </w:rPr>
        <w:t>的绩效目标未设定</w:t>
      </w:r>
      <w:r>
        <w:rPr>
          <w:rFonts w:hint="eastAsia"/>
          <w:sz w:val="32"/>
        </w:rPr>
        <w:t>指标</w:t>
      </w:r>
      <w:r>
        <w:rPr>
          <w:rFonts w:hint="eastAsia"/>
          <w:sz w:val="32"/>
          <w:lang w:val="en-US" w:eastAsia="zh-CN"/>
        </w:rPr>
        <w:t>值</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w:t>
      </w:r>
      <w:r>
        <w:rPr>
          <w:rFonts w:hint="eastAsia"/>
          <w:sz w:val="32"/>
          <w:szCs w:val="32"/>
        </w:rPr>
        <w:t>4</w:t>
      </w:r>
      <w:r>
        <w:rPr>
          <w:sz w:val="32"/>
          <w:szCs w:val="32"/>
        </w:rPr>
        <w:t>）</w:t>
      </w:r>
      <w:r>
        <w:rPr>
          <w:sz w:val="32"/>
          <w:szCs w:val="36"/>
        </w:rPr>
        <w:t>可持续影响</w:t>
      </w:r>
      <w:r>
        <w:rPr>
          <w:sz w:val="32"/>
          <w:szCs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财</w:t>
      </w:r>
      <w:r>
        <w:rPr>
          <w:sz w:val="32"/>
          <w:szCs w:val="32"/>
        </w:rPr>
        <w:t>政部随文下达的</w:t>
      </w:r>
      <w:r>
        <w:rPr>
          <w:color w:val="000000"/>
          <w:sz w:val="32"/>
          <w:szCs w:val="32"/>
        </w:rPr>
        <w:t>绩效目标未设定</w:t>
      </w:r>
      <w:r>
        <w:rPr>
          <w:sz w:val="32"/>
          <w:szCs w:val="36"/>
        </w:rPr>
        <w:t>可持续影响</w:t>
      </w:r>
      <w:r>
        <w:rPr>
          <w:sz w:val="32"/>
          <w:szCs w:val="32"/>
        </w:rPr>
        <w:t>指标</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b/>
          <w:bCs/>
          <w:sz w:val="32"/>
          <w:szCs w:val="32"/>
        </w:rPr>
        <w:t>3.满意度指标完成情况分析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szCs w:val="32"/>
        </w:rPr>
        <w:t>a.</w:t>
      </w:r>
      <w:r>
        <w:rPr>
          <w:rFonts w:hint="eastAsia"/>
          <w:sz w:val="32"/>
          <w:szCs w:val="32"/>
        </w:rPr>
        <w:t>财政部</w:t>
      </w:r>
      <w:r>
        <w:rPr>
          <w:sz w:val="32"/>
        </w:rPr>
        <w:t>随文下达</w:t>
      </w:r>
      <w:r>
        <w:rPr>
          <w:sz w:val="32"/>
          <w:szCs w:val="36"/>
        </w:rPr>
        <w:t>耕地地力保护补贴政策满意度指标</w:t>
      </w:r>
      <w:r>
        <w:rPr>
          <w:rFonts w:hint="eastAsia"/>
          <w:sz w:val="32"/>
          <w:szCs w:val="36"/>
        </w:rPr>
        <w:t>，指标值为≥90%，</w:t>
      </w:r>
      <w:r>
        <w:rPr>
          <w:rFonts w:hint="eastAsia"/>
          <w:sz w:val="32"/>
        </w:rPr>
        <w:t>我</w:t>
      </w:r>
      <w:r>
        <w:rPr>
          <w:sz w:val="32"/>
          <w:szCs w:val="36"/>
        </w:rPr>
        <w:t>区实际完成</w:t>
      </w:r>
      <w:r>
        <w:rPr>
          <w:rFonts w:hint="eastAsia"/>
          <w:sz w:val="32"/>
          <w:szCs w:val="36"/>
        </w:rPr>
        <w:t>90%</w:t>
      </w:r>
      <w:r>
        <w:rPr>
          <w:sz w:val="32"/>
          <w:szCs w:val="36"/>
        </w:rPr>
        <w:t>，完成率</w:t>
      </w:r>
      <w:r>
        <w:rPr>
          <w:rFonts w:hint="eastAsia"/>
          <w:sz w:val="32"/>
          <w:szCs w:val="36"/>
        </w:rPr>
        <w:t>100</w:t>
      </w:r>
      <w:r>
        <w:rPr>
          <w:sz w:val="32"/>
          <w:szCs w:val="36"/>
        </w:rPr>
        <w:t>%，偏差率</w:t>
      </w:r>
      <w:r>
        <w:rPr>
          <w:rFonts w:hint="eastAsia"/>
          <w:sz w:val="32"/>
          <w:szCs w:val="36"/>
        </w:rPr>
        <w:t>0%</w:t>
      </w:r>
      <w:r>
        <w:rPr>
          <w:sz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rFonts w:hint="eastAsia"/>
          <w:sz w:val="32"/>
        </w:rPr>
        <w:t>b.</w:t>
      </w:r>
      <w:r>
        <w:rPr>
          <w:rFonts w:hint="eastAsia"/>
          <w:sz w:val="32"/>
          <w:szCs w:val="32"/>
        </w:rPr>
        <w:t>财政部</w:t>
      </w:r>
      <w:r>
        <w:rPr>
          <w:sz w:val="32"/>
        </w:rPr>
        <w:t>随文下达</w:t>
      </w:r>
      <w:r>
        <w:rPr>
          <w:rFonts w:hint="eastAsia"/>
          <w:sz w:val="32"/>
        </w:rPr>
        <w:t>高标准农田建设受益群众满意度指标，指标值为≥90%，我</w:t>
      </w:r>
      <w:r>
        <w:rPr>
          <w:sz w:val="32"/>
          <w:szCs w:val="36"/>
        </w:rPr>
        <w:t>区实际完成</w:t>
      </w:r>
      <w:r>
        <w:rPr>
          <w:rFonts w:hint="eastAsia"/>
          <w:sz w:val="32"/>
          <w:szCs w:val="36"/>
        </w:rPr>
        <w:t>90%</w:t>
      </w:r>
      <w:r>
        <w:rPr>
          <w:sz w:val="32"/>
          <w:szCs w:val="36"/>
        </w:rPr>
        <w:t>，完成率</w:t>
      </w:r>
      <w:r>
        <w:rPr>
          <w:rFonts w:hint="eastAsia"/>
          <w:sz w:val="32"/>
          <w:szCs w:val="36"/>
        </w:rPr>
        <w:t>100</w:t>
      </w:r>
      <w:r>
        <w:rPr>
          <w:sz w:val="32"/>
          <w:szCs w:val="36"/>
        </w:rPr>
        <w:t>%，偏差率</w:t>
      </w:r>
      <w:r>
        <w:rPr>
          <w:rFonts w:hint="eastAsia"/>
          <w:sz w:val="32"/>
          <w:szCs w:val="36"/>
        </w:rPr>
        <w:t>0%。</w:t>
      </w:r>
    </w:p>
    <w:p>
      <w:pPr>
        <w:numPr>
          <w:ilvl w:val="0"/>
          <w:numId w:val="2"/>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bCs/>
          <w:sz w:val="32"/>
          <w:szCs w:val="32"/>
        </w:rPr>
      </w:pPr>
      <w:r>
        <w:rPr>
          <w:rFonts w:eastAsia="黑体"/>
          <w:bCs/>
          <w:sz w:val="32"/>
          <w:szCs w:val="32"/>
        </w:rPr>
        <w:t>偏离绩效目标的原因和下一步改进措施</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eastAsia="zh-CN"/>
        </w:rPr>
        <w:t>（</w:t>
      </w:r>
      <w:r>
        <w:rPr>
          <w:rFonts w:hint="eastAsia"/>
          <w:b/>
          <w:bCs/>
          <w:sz w:val="32"/>
          <w:szCs w:val="32"/>
          <w:lang w:val="en-US" w:eastAsia="zh-CN"/>
        </w:rPr>
        <w:t>一）</w:t>
      </w:r>
      <w:r>
        <w:rPr>
          <w:b/>
          <w:bCs/>
          <w:sz w:val="32"/>
          <w:szCs w:val="32"/>
        </w:rPr>
        <w:t>偏离的绩效目标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lang w:val="en-US" w:eastAsia="zh-CN"/>
        </w:rPr>
        <w:t>1.</w:t>
      </w:r>
      <w:r>
        <w:rPr>
          <w:rFonts w:hint="eastAsia"/>
          <w:sz w:val="32"/>
          <w:szCs w:val="32"/>
        </w:rPr>
        <w:t>未完成的数量指标</w:t>
      </w:r>
    </w:p>
    <w:p>
      <w:pPr>
        <w:numPr>
          <w:ilvl w:val="0"/>
          <w:numId w:val="0"/>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6"/>
        </w:rPr>
      </w:pPr>
      <w:r>
        <w:rPr>
          <w:rFonts w:hint="eastAsia"/>
          <w:sz w:val="32"/>
          <w:szCs w:val="32"/>
          <w:lang w:val="en-US" w:eastAsia="zh-CN"/>
        </w:rPr>
        <w:t>a.</w:t>
      </w:r>
      <w:r>
        <w:rPr>
          <w:rFonts w:hint="eastAsia"/>
          <w:sz w:val="32"/>
          <w:szCs w:val="32"/>
        </w:rPr>
        <w:t>财政部</w:t>
      </w:r>
      <w:r>
        <w:rPr>
          <w:sz w:val="32"/>
          <w:szCs w:val="32"/>
        </w:rPr>
        <w:t>随文下达耕地轮作试点面积</w:t>
      </w:r>
      <w:r>
        <w:rPr>
          <w:rFonts w:hint="eastAsia"/>
          <w:sz w:val="32"/>
          <w:szCs w:val="32"/>
        </w:rPr>
        <w:t>指标，指标值为251（万亩），</w:t>
      </w:r>
      <w:r>
        <w:rPr>
          <w:rFonts w:hint="eastAsia"/>
          <w:sz w:val="32"/>
          <w:szCs w:val="36"/>
        </w:rPr>
        <w:t>实际完成235.74万亩，完成率94%、偏差率6%。偏差原因：按照</w:t>
      </w:r>
      <w:r>
        <w:rPr>
          <w:rFonts w:hint="eastAsia"/>
          <w:sz w:val="32"/>
          <w:szCs w:val="36"/>
          <w:lang w:val="en-US" w:eastAsia="zh-CN"/>
        </w:rPr>
        <w:t>耕地轮作试点工作要求</w:t>
      </w:r>
      <w:r>
        <w:rPr>
          <w:rFonts w:hint="eastAsia"/>
          <w:sz w:val="32"/>
          <w:szCs w:val="36"/>
        </w:rPr>
        <w:t>，部分</w:t>
      </w:r>
      <w:r>
        <w:rPr>
          <w:rFonts w:hint="eastAsia"/>
          <w:sz w:val="32"/>
          <w:szCs w:val="36"/>
          <w:lang w:val="en-US" w:eastAsia="zh-CN"/>
        </w:rPr>
        <w:t>试点</w:t>
      </w:r>
      <w:r>
        <w:rPr>
          <w:rFonts w:hint="eastAsia"/>
          <w:sz w:val="32"/>
          <w:szCs w:val="36"/>
        </w:rPr>
        <w:t>面积因农户未按要求开展轮作</w:t>
      </w:r>
      <w:r>
        <w:rPr>
          <w:rFonts w:hint="eastAsia"/>
          <w:sz w:val="32"/>
          <w:szCs w:val="36"/>
          <w:lang w:eastAsia="zh-CN"/>
        </w:rPr>
        <w:t>，</w:t>
      </w:r>
      <w:r>
        <w:rPr>
          <w:rFonts w:hint="eastAsia"/>
          <w:sz w:val="32"/>
          <w:szCs w:val="36"/>
        </w:rPr>
        <w:t>未支付轮作补助资金。针对2024年未完成的7万亩轮作任务，督促相关地州、县市抓紧做好任务安排和地块的落实，及时支付补助资金，</w:t>
      </w:r>
      <w:r>
        <w:rPr>
          <w:rFonts w:hint="eastAsia"/>
          <w:sz w:val="32"/>
          <w:szCs w:val="36"/>
          <w:lang w:eastAsia="zh-CN"/>
        </w:rPr>
        <w:t>保障</w:t>
      </w:r>
      <w:r>
        <w:rPr>
          <w:rFonts w:hint="eastAsia"/>
          <w:sz w:val="32"/>
          <w:szCs w:val="36"/>
        </w:rPr>
        <w:t>轮作任务保质保量完成。</w:t>
      </w:r>
    </w:p>
    <w:p>
      <w:pPr>
        <w:numPr>
          <w:ilvl w:val="0"/>
          <w:numId w:val="0"/>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6"/>
        </w:rPr>
      </w:pPr>
      <w:r>
        <w:rPr>
          <w:rFonts w:hint="eastAsia"/>
          <w:sz w:val="32"/>
          <w:szCs w:val="32"/>
          <w:lang w:val="en-US" w:eastAsia="zh-CN"/>
        </w:rPr>
        <w:t>b</w:t>
      </w:r>
      <w:r>
        <w:rPr>
          <w:sz w:val="32"/>
          <w:szCs w:val="32"/>
        </w:rPr>
        <w:t>.</w:t>
      </w:r>
      <w:r>
        <w:rPr>
          <w:rFonts w:hint="eastAsia"/>
          <w:sz w:val="32"/>
          <w:szCs w:val="32"/>
        </w:rPr>
        <w:t>财政部</w:t>
      </w:r>
      <w:r>
        <w:rPr>
          <w:sz w:val="32"/>
        </w:rPr>
        <w:t>随文下达</w:t>
      </w:r>
      <w:r>
        <w:rPr>
          <w:rFonts w:hint="eastAsia"/>
          <w:sz w:val="32"/>
        </w:rPr>
        <w:t>耕地地力保护补贴发放时限指标，指标值为2024年</w:t>
      </w:r>
      <w:r>
        <w:rPr>
          <w:rFonts w:hint="eastAsia"/>
          <w:sz w:val="32"/>
          <w:lang w:val="en-US" w:eastAsia="zh-CN"/>
        </w:rPr>
        <w:t>6</w:t>
      </w:r>
      <w:r>
        <w:rPr>
          <w:rFonts w:hint="eastAsia"/>
          <w:sz w:val="32"/>
        </w:rPr>
        <w:t>月30日</w:t>
      </w:r>
      <w:r>
        <w:rPr>
          <w:rFonts w:hint="eastAsia"/>
          <w:sz w:val="32"/>
          <w:lang w:val="en-US" w:eastAsia="zh-CN"/>
        </w:rPr>
        <w:t>前</w:t>
      </w:r>
      <w:r>
        <w:rPr>
          <w:rFonts w:hint="eastAsia"/>
          <w:sz w:val="32"/>
        </w:rPr>
        <w:t>，</w:t>
      </w:r>
      <w:r>
        <w:rPr>
          <w:sz w:val="32"/>
          <w:szCs w:val="36"/>
        </w:rPr>
        <w:t>我区实际完成</w:t>
      </w:r>
      <w:r>
        <w:rPr>
          <w:rFonts w:hint="eastAsia"/>
          <w:sz w:val="32"/>
          <w:szCs w:val="36"/>
        </w:rPr>
        <w:t>7月30日</w:t>
      </w:r>
      <w:r>
        <w:rPr>
          <w:sz w:val="32"/>
          <w:szCs w:val="36"/>
        </w:rPr>
        <w:t>，完成率</w:t>
      </w:r>
      <w:r>
        <w:rPr>
          <w:rFonts w:hint="eastAsia"/>
          <w:sz w:val="32"/>
          <w:szCs w:val="36"/>
          <w:lang w:val="en-US" w:eastAsia="zh-CN"/>
        </w:rPr>
        <w:t>0%</w:t>
      </w:r>
      <w:r>
        <w:rPr>
          <w:sz w:val="32"/>
          <w:szCs w:val="36"/>
        </w:rPr>
        <w:t>，偏差率</w:t>
      </w:r>
      <w:r>
        <w:rPr>
          <w:rFonts w:hint="eastAsia"/>
          <w:sz w:val="32"/>
          <w:szCs w:val="36"/>
          <w:lang w:val="en-US" w:eastAsia="zh-CN"/>
        </w:rPr>
        <w:t>100</w:t>
      </w:r>
      <w:r>
        <w:rPr>
          <w:rFonts w:hint="eastAsia"/>
          <w:sz w:val="32"/>
          <w:szCs w:val="36"/>
        </w:rPr>
        <w:t>%</w:t>
      </w:r>
      <w:r>
        <w:rPr>
          <w:sz w:val="32"/>
          <w:szCs w:val="32"/>
        </w:rPr>
        <w:t>。</w:t>
      </w:r>
      <w:r>
        <w:rPr>
          <w:rFonts w:hint="eastAsia"/>
          <w:sz w:val="32"/>
          <w:szCs w:val="32"/>
          <w:lang w:val="en-US" w:eastAsia="zh-CN"/>
        </w:rPr>
        <w:t>偏差原因：新疆地处西北干旱区，春季回暖较晚，小麦等农作物播种期多在3-5月，部分冷凉区农作物播种时间更晚，因耕地地力保护补贴资金发放需经面积申报、公示、审核等环节，导致补贴发放工作相应延后，未在6月30日前完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lang w:val="en-US" w:eastAsia="zh-CN"/>
        </w:rPr>
        <w:t>2.</w:t>
      </w:r>
      <w:r>
        <w:rPr>
          <w:sz w:val="32"/>
          <w:szCs w:val="32"/>
        </w:rPr>
        <w:t>完成率超出30%及以上指标</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a.数量指标。外业调查采样和内业测试化验点位数(个)指标，指标值为25350个，我区实际完成36410个，完成率</w:t>
      </w:r>
      <w:r>
        <w:rPr>
          <w:rFonts w:hint="eastAsia"/>
          <w:sz w:val="32"/>
          <w:szCs w:val="36"/>
        </w:rPr>
        <w:t>143.63</w:t>
      </w:r>
      <w:r>
        <w:rPr>
          <w:sz w:val="32"/>
          <w:szCs w:val="36"/>
        </w:rPr>
        <w:t>%，偏差率</w:t>
      </w:r>
      <w:r>
        <w:rPr>
          <w:rFonts w:hint="eastAsia"/>
          <w:sz w:val="32"/>
          <w:szCs w:val="36"/>
        </w:rPr>
        <w:t>43.63%。偏差原因：</w:t>
      </w:r>
      <w:r>
        <w:rPr>
          <w:rFonts w:hint="eastAsia"/>
          <w:sz w:val="32"/>
          <w:szCs w:val="32"/>
        </w:rPr>
        <w:t>根据国家三普办要求，需于2024年完成剩余全部样点的外业调查采样和内业测试化验任务，自治区三普办根据要求进行任务调整。</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b.财政部随文下达耕地休耕试点面积指标，指标值为16万亩，实际完成21.74万亩，完成率135.8%、偏差率35.8%。超出原因为昌吉州休耕需求较大，安排任务8万亩，实际实施14.19万亩，按照国家实施方案，采取了扩大实施面积，降低补助标准的办法给与补贴</w:t>
      </w:r>
      <w:r>
        <w:rPr>
          <w:rFonts w:hint="eastAsia" w:ascii="仿宋_GB2312" w:hAnsi="仿宋_GB2312" w:cs="仿宋_GB2312"/>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val="en-US" w:eastAsia="zh-CN"/>
        </w:rPr>
        <w:t>（二）</w:t>
      </w:r>
      <w:r>
        <w:rPr>
          <w:b/>
          <w:bCs/>
          <w:sz w:val="32"/>
          <w:szCs w:val="32"/>
        </w:rPr>
        <w:t>下一步改进措施</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val="en-US" w:eastAsia="zh-CN"/>
        </w:rPr>
        <w:t>1.项目实施过程中存在不足。</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eastAsia="zh-CN"/>
        </w:rPr>
      </w:pPr>
      <w:r>
        <w:rPr>
          <w:rFonts w:hint="eastAsia"/>
          <w:sz w:val="32"/>
          <w:szCs w:val="32"/>
        </w:rPr>
        <w:t>新疆耕地建设与资金利用项目的实施过程中，尽管取得了一定成效，但仍存在一些不足，影响项目目标的实现和资金使用效率</w:t>
      </w:r>
      <w:r>
        <w:rPr>
          <w:rFonts w:hint="eastAsia"/>
          <w:sz w:val="32"/>
          <w:szCs w:val="32"/>
          <w:lang w:eastAsia="zh-CN"/>
        </w:rPr>
        <w:t>。</w:t>
      </w:r>
      <w:r>
        <w:rPr>
          <w:rFonts w:hint="eastAsia"/>
          <w:sz w:val="32"/>
          <w:szCs w:val="32"/>
          <w:lang w:val="en-US" w:eastAsia="zh-CN"/>
        </w:rPr>
        <w:t>因为</w:t>
      </w:r>
      <w:r>
        <w:rPr>
          <w:rFonts w:hint="eastAsia"/>
          <w:sz w:val="32"/>
          <w:szCs w:val="32"/>
          <w:lang w:eastAsia="zh-CN"/>
        </w:rPr>
        <w:t>项目规划不科学，缺乏前期调研和可行性分析。前期工作时间长，项目前期的立项审批、规划选址、投标等工作时间较长导致项目启动晚，影响了资金的使用效率。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eastAsia="zh-CN"/>
        </w:rPr>
      </w:pPr>
      <w:r>
        <w:rPr>
          <w:rFonts w:hint="eastAsia"/>
          <w:sz w:val="32"/>
          <w:szCs w:val="32"/>
          <w:lang w:val="en-US" w:eastAsia="zh-CN"/>
        </w:rPr>
        <w:t>耕地建设与高标准农田建设</w:t>
      </w:r>
      <w:r>
        <w:rPr>
          <w:rFonts w:hint="eastAsia"/>
          <w:sz w:val="32"/>
          <w:szCs w:val="32"/>
          <w:lang w:eastAsia="zh-CN"/>
        </w:rPr>
        <w:t>项目</w:t>
      </w:r>
      <w:r>
        <w:rPr>
          <w:rFonts w:hint="eastAsia"/>
          <w:sz w:val="32"/>
          <w:szCs w:val="32"/>
          <w:lang w:val="en-US" w:eastAsia="zh-CN"/>
        </w:rPr>
        <w:t>占总资金比重较大，项目虽较好完成，但</w:t>
      </w:r>
      <w:r>
        <w:rPr>
          <w:rFonts w:hint="eastAsia"/>
          <w:sz w:val="32"/>
          <w:szCs w:val="32"/>
          <w:lang w:eastAsia="zh-CN"/>
        </w:rPr>
        <w:t>重建设、轻管理，缺乏长效管理机制</w:t>
      </w:r>
      <w:r>
        <w:rPr>
          <w:rFonts w:hint="eastAsia"/>
          <w:sz w:val="32"/>
          <w:szCs w:val="32"/>
          <w:lang w:val="en-US" w:eastAsia="zh-CN"/>
        </w:rPr>
        <w:t>的情况未得到改善，导致</w:t>
      </w:r>
      <w:r>
        <w:rPr>
          <w:rFonts w:hint="eastAsia"/>
          <w:sz w:val="32"/>
          <w:szCs w:val="32"/>
          <w:lang w:eastAsia="zh-CN"/>
        </w:rPr>
        <w:t>后续管理薄弱，项目完成后，缺乏后续管理和维护，导致项目效益难以持续。</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sz w:val="32"/>
          <w:szCs w:val="32"/>
        </w:rPr>
      </w:pPr>
      <w:r>
        <w:rPr>
          <w:rFonts w:hint="eastAsia"/>
          <w:b/>
          <w:bCs/>
          <w:sz w:val="32"/>
          <w:szCs w:val="32"/>
          <w:lang w:val="en-US" w:eastAsia="zh-CN"/>
        </w:rPr>
        <w:t>2.下一步工作实施改进措施。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2"/>
          <w:lang w:eastAsia="zh-CN"/>
        </w:rPr>
      </w:pPr>
      <w:r>
        <w:rPr>
          <w:rFonts w:hint="eastAsia"/>
          <w:sz w:val="32"/>
          <w:szCs w:val="32"/>
          <w:lang w:val="en-US" w:eastAsia="zh-CN"/>
        </w:rPr>
        <w:t>本项目下一步工作可</w:t>
      </w:r>
      <w:r>
        <w:rPr>
          <w:rFonts w:hint="eastAsia"/>
          <w:sz w:val="32"/>
          <w:szCs w:val="32"/>
        </w:rPr>
        <w:t>提高资金使用效率加强项目前期调研和可行性分析，</w:t>
      </w:r>
      <w:r>
        <w:rPr>
          <w:rFonts w:hint="eastAsia"/>
          <w:sz w:val="32"/>
          <w:szCs w:val="32"/>
          <w:lang w:eastAsia="zh-CN"/>
        </w:rPr>
        <w:t>保障</w:t>
      </w:r>
      <w:r>
        <w:rPr>
          <w:rFonts w:hint="eastAsia"/>
          <w:sz w:val="32"/>
          <w:szCs w:val="32"/>
        </w:rPr>
        <w:t>项目规划科学合理。推行绩效管理，将资金使用效率与项目目标挂钩，定期评估项目进展。加强项目后续管理</w:t>
      </w:r>
      <w:r>
        <w:rPr>
          <w:rFonts w:hint="eastAsia"/>
          <w:sz w:val="32"/>
          <w:szCs w:val="32"/>
          <w:lang w:eastAsia="zh-CN"/>
        </w:rPr>
        <w:t>，</w:t>
      </w:r>
      <w:r>
        <w:rPr>
          <w:rFonts w:hint="eastAsia"/>
          <w:sz w:val="32"/>
          <w:szCs w:val="32"/>
        </w:rPr>
        <w:t>建立项目长效管理机制，明确后续管理责任主体和资金来源。定期对项目效益进行评估，</w:t>
      </w:r>
      <w:r>
        <w:rPr>
          <w:rFonts w:hint="eastAsia"/>
          <w:sz w:val="32"/>
          <w:szCs w:val="32"/>
          <w:lang w:eastAsia="zh-CN"/>
        </w:rPr>
        <w:t>保障</w:t>
      </w:r>
      <w:r>
        <w:rPr>
          <w:rFonts w:hint="eastAsia"/>
          <w:sz w:val="32"/>
          <w:szCs w:val="32"/>
        </w:rPr>
        <w:t>项目持续发挥效益</w:t>
      </w:r>
      <w:r>
        <w:rPr>
          <w:rFonts w:hint="eastAsia"/>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pPr>
      <w:r>
        <w:rPr>
          <w:sz w:val="32"/>
          <w:szCs w:val="32"/>
        </w:rPr>
        <w:t>自治区农业农村厅将</w:t>
      </w:r>
      <w:r>
        <w:rPr>
          <w:rFonts w:hint="eastAsia"/>
          <w:sz w:val="32"/>
          <w:szCs w:val="32"/>
        </w:rPr>
        <w:t>进一步</w:t>
      </w:r>
      <w:r>
        <w:rPr>
          <w:sz w:val="32"/>
          <w:szCs w:val="32"/>
        </w:rPr>
        <w:t>加强资金使用的督导、推动专项任务按时完成</w:t>
      </w:r>
      <w:bookmarkStart w:id="2" w:name="_Hlk36400345"/>
      <w:r>
        <w:rPr>
          <w:sz w:val="32"/>
          <w:szCs w:val="32"/>
        </w:rPr>
        <w:t>、强化绩效目标管理</w:t>
      </w:r>
      <w:bookmarkEnd w:id="2"/>
      <w:r>
        <w:rPr>
          <w:sz w:val="32"/>
          <w:szCs w:val="32"/>
        </w:rPr>
        <w:t>、提升沟通协调能力等方面有序开展工作，根据实际情况，</w:t>
      </w:r>
      <w:r>
        <w:rPr>
          <w:rFonts w:hint="eastAsia"/>
          <w:sz w:val="32"/>
          <w:szCs w:val="32"/>
          <w:lang w:eastAsia="zh-CN"/>
        </w:rPr>
        <w:t>保障</w:t>
      </w:r>
      <w:r>
        <w:rPr>
          <w:sz w:val="32"/>
          <w:szCs w:val="32"/>
        </w:rPr>
        <w:t>专项补助资金按相关要求执行，进一步提高中央财政相关农业转移支付资金的使用效益。</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四、绩效自评结果拟应用和公开情况</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1.按照财政部《项目支出绩效评价管理办法》（财预〔2020〕10号）规定，单位自评标准是：预算执行10分，产出指标50分，效益指标30分，服务对象满意度指标10分。经自评，202</w:t>
      </w:r>
      <w:r>
        <w:rPr>
          <w:rFonts w:hint="eastAsia"/>
          <w:sz w:val="32"/>
          <w:szCs w:val="32"/>
        </w:rPr>
        <w:t>4</w:t>
      </w:r>
      <w:r>
        <w:rPr>
          <w:sz w:val="32"/>
          <w:szCs w:val="32"/>
        </w:rPr>
        <w:t>年度</w:t>
      </w:r>
      <w:r>
        <w:rPr>
          <w:rFonts w:hint="eastAsia"/>
          <w:sz w:val="32"/>
          <w:szCs w:val="32"/>
        </w:rPr>
        <w:t>中央耕地建设与利用资金</w:t>
      </w:r>
      <w:r>
        <w:rPr>
          <w:sz w:val="32"/>
          <w:szCs w:val="32"/>
        </w:rPr>
        <w:t>项目综合评价自评得分为</w:t>
      </w:r>
      <w:r>
        <w:rPr>
          <w:rFonts w:hint="eastAsia"/>
          <w:sz w:val="32"/>
          <w:szCs w:val="32"/>
        </w:rPr>
        <w:t>9</w:t>
      </w:r>
      <w:r>
        <w:rPr>
          <w:rFonts w:hint="eastAsia"/>
          <w:sz w:val="32"/>
          <w:szCs w:val="32"/>
          <w:lang w:val="en-US" w:eastAsia="zh-CN"/>
        </w:rPr>
        <w:t>4.78</w:t>
      </w:r>
      <w:r>
        <w:rPr>
          <w:sz w:val="32"/>
          <w:szCs w:val="32"/>
        </w:rPr>
        <w:t>分，其中：预算执行</w:t>
      </w:r>
      <w:r>
        <w:rPr>
          <w:rFonts w:hint="eastAsia"/>
          <w:sz w:val="32"/>
          <w:szCs w:val="32"/>
        </w:rPr>
        <w:t>7.9</w:t>
      </w:r>
      <w:r>
        <w:rPr>
          <w:rFonts w:hint="eastAsia"/>
          <w:sz w:val="32"/>
          <w:szCs w:val="32"/>
          <w:lang w:val="en-US" w:eastAsia="zh-CN"/>
        </w:rPr>
        <w:t>6</w:t>
      </w:r>
      <w:r>
        <w:rPr>
          <w:sz w:val="32"/>
          <w:szCs w:val="32"/>
        </w:rPr>
        <w:t>分、产出指标</w:t>
      </w:r>
      <w:r>
        <w:rPr>
          <w:rFonts w:hint="eastAsia"/>
          <w:sz w:val="32"/>
          <w:szCs w:val="32"/>
          <w:lang w:val="en-US" w:eastAsia="zh-CN"/>
        </w:rPr>
        <w:t>46.82</w:t>
      </w:r>
      <w:r>
        <w:rPr>
          <w:sz w:val="32"/>
          <w:szCs w:val="32"/>
        </w:rPr>
        <w:t>分、效益指标</w:t>
      </w:r>
      <w:r>
        <w:rPr>
          <w:rFonts w:hint="eastAsia"/>
          <w:sz w:val="32"/>
          <w:szCs w:val="32"/>
        </w:rPr>
        <w:t>30</w:t>
      </w:r>
      <w:r>
        <w:rPr>
          <w:sz w:val="32"/>
          <w:szCs w:val="32"/>
        </w:rPr>
        <w:t>分、服务对象满意度指标</w:t>
      </w:r>
      <w:r>
        <w:rPr>
          <w:rFonts w:hint="eastAsia"/>
          <w:sz w:val="32"/>
          <w:szCs w:val="32"/>
        </w:rPr>
        <w:t>10</w:t>
      </w:r>
      <w:r>
        <w:rPr>
          <w:sz w:val="32"/>
          <w:szCs w:val="32"/>
        </w:rPr>
        <w:t>分，自评结果为“</w:t>
      </w:r>
      <w:r>
        <w:rPr>
          <w:rFonts w:hint="eastAsia"/>
          <w:sz w:val="32"/>
          <w:szCs w:val="32"/>
        </w:rPr>
        <w:t>优</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自治区农业农村厅高度重视绩效评价结果的应用工作，积极探索建立与预算管理相结合的有效机制，着力提高绩效意识和财政资金使用效益。农业产业发展转移支付资金的绩效自评价结果、执行情况等将作为下一年度安排项目资金的依据，对于绩效自评差的、执行进度慢的地</w:t>
      </w:r>
      <w:r>
        <w:rPr>
          <w:rFonts w:hint="eastAsia"/>
          <w:sz w:val="32"/>
          <w:szCs w:val="32"/>
        </w:rPr>
        <w:t>（</w:t>
      </w:r>
      <w:r>
        <w:rPr>
          <w:sz w:val="32"/>
          <w:szCs w:val="32"/>
        </w:rPr>
        <w:t>州</w:t>
      </w:r>
      <w:r>
        <w:rPr>
          <w:rFonts w:hint="eastAsia"/>
          <w:sz w:val="32"/>
          <w:szCs w:val="32"/>
        </w:rPr>
        <w:t>、市）</w:t>
      </w:r>
      <w:r>
        <w:rPr>
          <w:sz w:val="32"/>
          <w:szCs w:val="32"/>
        </w:rPr>
        <w:t>，将在分配下一年度资金时酌情扣减。同时将不断提升预算管理水平，进一步夯实业务基础，提高我单位绩效人员水平。专门设定对绩效工作人员定职、定岗、定责等相关制度措施，进一步提升我单位绩效管理工作业务水平，扎实做好绩效管理工作。</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3.评价结果将在</w:t>
      </w:r>
      <w:r>
        <w:rPr>
          <w:rFonts w:hint="eastAsia"/>
          <w:sz w:val="32"/>
          <w:szCs w:val="32"/>
        </w:rPr>
        <w:t>自治区农业农村厅、自治区财政厅</w:t>
      </w:r>
      <w:r>
        <w:rPr>
          <w:sz w:val="32"/>
          <w:szCs w:val="32"/>
        </w:rPr>
        <w:t>门户网站进行公示公开，广泛接受社会监督。</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sz w:val="32"/>
          <w:szCs w:val="32"/>
        </w:rPr>
      </w:pPr>
      <w:r>
        <w:rPr>
          <w:rFonts w:eastAsia="黑体"/>
          <w:sz w:val="32"/>
          <w:szCs w:val="32"/>
        </w:rPr>
        <w:t>五、其他需要说明的问题</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中央巡视、各级审计和财政监督中未发现问题。</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附件</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202</w:t>
      </w:r>
      <w:r>
        <w:rPr>
          <w:rFonts w:hint="eastAsia"/>
          <w:sz w:val="32"/>
          <w:szCs w:val="32"/>
        </w:rPr>
        <w:t>4</w:t>
      </w:r>
      <w:r>
        <w:rPr>
          <w:sz w:val="32"/>
          <w:szCs w:val="32"/>
        </w:rPr>
        <w:t>年中央对地方专项转移支付绩效目标自评表（</w:t>
      </w:r>
      <w:r>
        <w:rPr>
          <w:rFonts w:hint="eastAsia"/>
          <w:sz w:val="32"/>
          <w:szCs w:val="32"/>
        </w:rPr>
        <w:t>耕地建设与资金利用含自治区耕地地力补贴配套</w:t>
      </w:r>
      <w:r>
        <w:rPr>
          <w:rFonts w:hint="eastAsia"/>
          <w:sz w:val="32"/>
          <w:szCs w:val="32"/>
          <w:lang w:eastAsia="zh-CN"/>
        </w:rPr>
        <w:t>、自治区农田建设补助</w:t>
      </w:r>
      <w:r>
        <w:rPr>
          <w:rFonts w:hint="eastAsia"/>
          <w:sz w:val="32"/>
          <w:szCs w:val="32"/>
          <w:lang w:val="en-US" w:eastAsia="zh-CN"/>
        </w:rPr>
        <w:t>配套</w:t>
      </w:r>
      <w:r>
        <w:rPr>
          <w:rFonts w:hint="eastAsia"/>
          <w:sz w:val="32"/>
          <w:szCs w:val="32"/>
        </w:rPr>
        <w:t>资金</w:t>
      </w:r>
      <w:r>
        <w:rPr>
          <w:sz w:val="32"/>
          <w:szCs w:val="32"/>
        </w:rPr>
        <w:t>）</w:t>
      </w:r>
    </w:p>
    <w:p>
      <w:pPr>
        <w:pStyle w:val="11"/>
        <w:ind w:left="600" w:firstLine="600"/>
        <w:rPr>
          <w:rFonts w:ascii="Times New Roman" w:hAnsi="Times New Roman"/>
        </w:rPr>
        <w:sectPr>
          <w:pgSz w:w="11906" w:h="16838"/>
          <w:pgMar w:top="1440" w:right="1800" w:bottom="1440" w:left="1800" w:header="851" w:footer="992" w:gutter="0"/>
          <w:cols w:space="425" w:num="1"/>
          <w:docGrid w:type="lines" w:linePitch="312" w:charSpace="0"/>
        </w:sectPr>
      </w:pPr>
    </w:p>
    <w:p>
      <w:pPr>
        <w:spacing w:line="219" w:lineRule="auto"/>
        <w:rPr>
          <w:rFonts w:hint="eastAsia" w:ascii="方正黑体_GBK" w:hAnsi="方正黑体_GBK" w:eastAsia="方正黑体_GBK" w:cs="方正黑体_GBK"/>
          <w:spacing w:val="-5"/>
          <w:sz w:val="32"/>
          <w:szCs w:val="32"/>
        </w:rPr>
      </w:pPr>
      <w:r>
        <w:rPr>
          <w:rFonts w:hint="eastAsia" w:ascii="方正黑体_GBK" w:hAnsi="方正黑体_GBK" w:eastAsia="方正黑体_GBK" w:cs="方正黑体_GBK"/>
          <w:spacing w:val="-5"/>
          <w:sz w:val="32"/>
          <w:szCs w:val="32"/>
        </w:rPr>
        <w:t>附件：</w:t>
      </w:r>
    </w:p>
    <w:p>
      <w:pPr>
        <w:spacing w:line="219" w:lineRule="auto"/>
        <w:rPr>
          <w:rFonts w:hint="eastAsia"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spacing w:val="-5"/>
          <w:sz w:val="36"/>
          <w:szCs w:val="36"/>
        </w:rPr>
        <w:t>2024年中央对地方专项转移支付绩效目标自评表（耕地建设与资金利用含自治区耕地地力补贴配套</w:t>
      </w:r>
      <w:r>
        <w:rPr>
          <w:rFonts w:hint="eastAsia" w:asciiTheme="minorEastAsia" w:hAnsiTheme="minorEastAsia" w:eastAsiaTheme="minorEastAsia" w:cstheme="minorEastAsia"/>
          <w:b/>
          <w:bCs/>
          <w:spacing w:val="-5"/>
          <w:sz w:val="36"/>
          <w:szCs w:val="36"/>
          <w:lang w:eastAsia="zh-CN"/>
        </w:rPr>
        <w:t>、自治区农田建设补助</w:t>
      </w:r>
      <w:r>
        <w:rPr>
          <w:rFonts w:hint="eastAsia" w:asciiTheme="minorEastAsia" w:hAnsiTheme="minorEastAsia" w:eastAsiaTheme="minorEastAsia" w:cstheme="minorEastAsia"/>
          <w:b/>
          <w:bCs/>
          <w:spacing w:val="-5"/>
          <w:sz w:val="36"/>
          <w:szCs w:val="36"/>
          <w:lang w:val="en-US" w:eastAsia="zh-CN"/>
        </w:rPr>
        <w:t>配套</w:t>
      </w:r>
      <w:r>
        <w:rPr>
          <w:rFonts w:hint="eastAsia" w:asciiTheme="minorEastAsia" w:hAnsiTheme="minorEastAsia" w:eastAsiaTheme="minorEastAsia" w:cstheme="minorEastAsia"/>
          <w:b/>
          <w:bCs/>
          <w:spacing w:val="-5"/>
          <w:sz w:val="36"/>
          <w:szCs w:val="36"/>
        </w:rPr>
        <w:t>资金）</w:t>
      </w:r>
    </w:p>
    <w:tbl>
      <w:tblPr>
        <w:tblStyle w:val="12"/>
        <w:tblW w:w="5257" w:type="pct"/>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042"/>
        <w:gridCol w:w="1700"/>
        <w:gridCol w:w="1373"/>
        <w:gridCol w:w="1371"/>
        <w:gridCol w:w="1308"/>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000" w:type="pct"/>
            <w:gridSpan w:val="2"/>
            <w:vMerge w:val="restar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转移支付（项目）名称</w:t>
            </w:r>
          </w:p>
        </w:tc>
        <w:tc>
          <w:tcPr>
            <w:tcW w:w="3999" w:type="pct"/>
            <w:gridSpan w:val="5"/>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耕地建设与利用资金（含自治区耕地地力补贴配套</w:t>
            </w:r>
            <w:r>
              <w:rPr>
                <w:rFonts w:hint="eastAsia" w:ascii="宋体" w:hAnsi="宋体" w:eastAsia="宋体" w:cs="宋体"/>
                <w:color w:val="000000"/>
                <w:kern w:val="0"/>
                <w:sz w:val="16"/>
                <w:szCs w:val="16"/>
                <w:lang w:eastAsia="zh-CN" w:bidi="ar"/>
              </w:rPr>
              <w:t>、自治区农田建设补助</w:t>
            </w:r>
            <w:r>
              <w:rPr>
                <w:rFonts w:hint="eastAsia" w:ascii="宋体" w:hAnsi="宋体" w:eastAsia="宋体" w:cs="宋体"/>
                <w:color w:val="000000"/>
                <w:kern w:val="0"/>
                <w:sz w:val="16"/>
                <w:szCs w:val="16"/>
                <w:lang w:val="en-US" w:eastAsia="zh-CN" w:bidi="ar"/>
              </w:rPr>
              <w:t>配套</w:t>
            </w:r>
            <w:r>
              <w:rPr>
                <w:rFonts w:hint="eastAsia" w:ascii="宋体" w:hAnsi="宋体" w:eastAsia="宋体" w:cs="宋体"/>
                <w:color w:val="000000"/>
                <w:kern w:val="0"/>
                <w:sz w:val="16"/>
                <w:szCs w:val="16"/>
                <w:lang w:bidi="ar"/>
              </w:rPr>
              <w:t>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000" w:type="pct"/>
            <w:gridSpan w:val="2"/>
            <w:vMerge w:val="continue"/>
            <w:shd w:val="clear" w:color="auto" w:fill="auto"/>
            <w:vAlign w:val="center"/>
          </w:tcPr>
          <w:p>
            <w:pPr>
              <w:jc w:val="center"/>
              <w:rPr>
                <w:rFonts w:hint="eastAsia" w:ascii="宋体" w:hAnsi="宋体" w:eastAsia="宋体" w:cs="宋体"/>
                <w:color w:val="000000"/>
                <w:sz w:val="16"/>
                <w:szCs w:val="16"/>
              </w:rPr>
            </w:pPr>
          </w:p>
        </w:tc>
        <w:tc>
          <w:tcPr>
            <w:tcW w:w="3999" w:type="pct"/>
            <w:gridSpan w:val="5"/>
            <w:vMerge w:val="continue"/>
            <w:shd w:val="clear" w:color="auto" w:fill="auto"/>
            <w:noWrap/>
            <w:vAlign w:val="center"/>
          </w:tcPr>
          <w:p>
            <w:pPr>
              <w:jc w:val="cente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00"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中央主管部门</w:t>
            </w:r>
          </w:p>
        </w:tc>
        <w:tc>
          <w:tcPr>
            <w:tcW w:w="3999" w:type="pct"/>
            <w:gridSpan w:val="5"/>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财政部、农业农村部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1000"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地方主管部门</w:t>
            </w:r>
          </w:p>
        </w:tc>
        <w:tc>
          <w:tcPr>
            <w:tcW w:w="1713"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自治区财政厅、农业农村厅</w:t>
            </w:r>
          </w:p>
        </w:tc>
        <w:tc>
          <w:tcPr>
            <w:tcW w:w="764" w:type="pct"/>
            <w:shd w:val="clear" w:color="auto" w:fill="auto"/>
            <w:noWrap/>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资金使用单位</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县市农业农村局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 w:type="pct"/>
            <w:gridSpan w:val="2"/>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资金投入情况</w:t>
            </w:r>
          </w:p>
        </w:tc>
        <w:tc>
          <w:tcPr>
            <w:tcW w:w="947" w:type="pct"/>
            <w:vMerge w:val="restart"/>
            <w:shd w:val="clear" w:color="auto" w:fill="auto"/>
            <w:noWrap/>
            <w:vAlign w:val="center"/>
          </w:tcPr>
          <w:p>
            <w:pPr>
              <w:rPr>
                <w:rFonts w:hint="eastAsia" w:ascii="宋体" w:hAnsi="宋体" w:eastAsia="宋体" w:cs="宋体"/>
                <w:color w:val="000000"/>
                <w:sz w:val="16"/>
                <w:szCs w:val="16"/>
              </w:rPr>
            </w:pPr>
          </w:p>
        </w:tc>
        <w:tc>
          <w:tcPr>
            <w:tcW w:w="765" w:type="pct"/>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全年预算数（A)</w:t>
            </w:r>
          </w:p>
        </w:tc>
        <w:tc>
          <w:tcPr>
            <w:tcW w:w="764" w:type="pct"/>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全年执行数（B)</w:t>
            </w:r>
          </w:p>
        </w:tc>
        <w:tc>
          <w:tcPr>
            <w:tcW w:w="1522" w:type="pct"/>
            <w:gridSpan w:val="2"/>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00" w:type="pct"/>
            <w:gridSpan w:val="2"/>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（万元）</w:t>
            </w:r>
          </w:p>
        </w:tc>
        <w:tc>
          <w:tcPr>
            <w:tcW w:w="947" w:type="pct"/>
            <w:vMerge w:val="continue"/>
            <w:shd w:val="clear" w:color="auto" w:fill="auto"/>
            <w:noWrap/>
            <w:vAlign w:val="center"/>
          </w:tcPr>
          <w:p>
            <w:pPr>
              <w:rPr>
                <w:rFonts w:hint="eastAsia" w:ascii="宋体" w:hAnsi="宋体" w:eastAsia="宋体" w:cs="宋体"/>
                <w:color w:val="000000"/>
                <w:sz w:val="16"/>
                <w:szCs w:val="16"/>
              </w:rPr>
            </w:pPr>
          </w:p>
        </w:tc>
        <w:tc>
          <w:tcPr>
            <w:tcW w:w="765"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4" w:type="pct"/>
            <w:vMerge w:val="continue"/>
            <w:shd w:val="clear" w:color="auto" w:fill="auto"/>
            <w:noWrap/>
            <w:vAlign w:val="center"/>
          </w:tcPr>
          <w:p>
            <w:pPr>
              <w:jc w:val="center"/>
              <w:rPr>
                <w:rFonts w:hint="eastAsia" w:ascii="宋体" w:hAnsi="宋体" w:eastAsia="宋体" w:cs="宋体"/>
                <w:color w:val="000000"/>
                <w:sz w:val="16"/>
                <w:szCs w:val="16"/>
              </w:rPr>
            </w:pPr>
          </w:p>
        </w:tc>
        <w:tc>
          <w:tcPr>
            <w:tcW w:w="1522" w:type="pct"/>
            <w:gridSpan w:val="2"/>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（B/A×100%）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00" w:type="pct"/>
            <w:gridSpan w:val="2"/>
            <w:shd w:val="clear" w:color="auto" w:fill="auto"/>
            <w:noWrap/>
            <w:vAlign w:val="center"/>
          </w:tcPr>
          <w:p>
            <w:pPr>
              <w:rPr>
                <w:rFonts w:hint="eastAsia" w:ascii="宋体" w:hAnsi="宋体" w:eastAsia="宋体" w:cs="宋体"/>
                <w:color w:val="000000"/>
                <w:sz w:val="16"/>
                <w:szCs w:val="16"/>
              </w:rPr>
            </w:pPr>
          </w:p>
        </w:tc>
        <w:tc>
          <w:tcPr>
            <w:tcW w:w="947" w:type="pct"/>
            <w:shd w:val="clear" w:color="auto" w:fill="auto"/>
            <w:noWrap/>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年度资金总额：</w:t>
            </w:r>
          </w:p>
        </w:tc>
        <w:tc>
          <w:tcPr>
            <w:tcW w:w="765"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825308.37</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657500.09</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79.</w:t>
            </w:r>
            <w:r>
              <w:rPr>
                <w:rFonts w:hint="eastAsia" w:ascii="宋体" w:hAnsi="宋体" w:eastAsia="宋体" w:cs="宋体"/>
                <w:color w:val="000000"/>
                <w:kern w:val="0"/>
                <w:sz w:val="16"/>
                <w:szCs w:val="16"/>
                <w:lang w:val="en-US" w:eastAsia="zh-CN" w:bidi="ar"/>
              </w:rPr>
              <w:t>6</w:t>
            </w:r>
            <w:r>
              <w:rPr>
                <w:rFonts w:hint="eastAsia" w:ascii="宋体" w:hAnsi="宋体" w:eastAsia="宋体" w:cs="宋体"/>
                <w:color w:val="000000"/>
                <w:kern w:val="0"/>
                <w:sz w:val="16"/>
                <w:szCs w:val="16"/>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00" w:type="pct"/>
            <w:gridSpan w:val="2"/>
            <w:shd w:val="clear" w:color="auto" w:fill="auto"/>
            <w:noWrap/>
            <w:vAlign w:val="center"/>
          </w:tcPr>
          <w:p>
            <w:pPr>
              <w:rPr>
                <w:rFonts w:hint="eastAsia" w:ascii="宋体" w:hAnsi="宋体" w:eastAsia="宋体" w:cs="宋体"/>
                <w:color w:val="000000"/>
                <w:sz w:val="16"/>
                <w:szCs w:val="16"/>
              </w:rPr>
            </w:pPr>
          </w:p>
        </w:tc>
        <w:tc>
          <w:tcPr>
            <w:tcW w:w="947" w:type="pct"/>
            <w:shd w:val="clear" w:color="auto" w:fill="auto"/>
            <w:noWrap/>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其中：中央财政资金</w:t>
            </w:r>
          </w:p>
        </w:tc>
        <w:tc>
          <w:tcPr>
            <w:tcW w:w="765"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710646</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563592.85</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79.31%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00" w:type="pct"/>
            <w:gridSpan w:val="2"/>
            <w:shd w:val="clear" w:color="auto" w:fill="auto"/>
            <w:noWrap/>
            <w:vAlign w:val="center"/>
          </w:tcPr>
          <w:p>
            <w:pPr>
              <w:rPr>
                <w:rFonts w:hint="eastAsia" w:ascii="宋体" w:hAnsi="宋体" w:eastAsia="宋体" w:cs="宋体"/>
                <w:color w:val="000000"/>
                <w:sz w:val="16"/>
                <w:szCs w:val="16"/>
              </w:rPr>
            </w:pPr>
          </w:p>
        </w:tc>
        <w:tc>
          <w:tcPr>
            <w:tcW w:w="947" w:type="pct"/>
            <w:shd w:val="clear" w:color="auto" w:fill="auto"/>
            <w:noWrap/>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地方资金</w:t>
            </w:r>
          </w:p>
        </w:tc>
        <w:tc>
          <w:tcPr>
            <w:tcW w:w="765"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val="en-US" w:eastAsia="zh-CN" w:bidi="ar"/>
              </w:rPr>
              <w:t>114662</w:t>
            </w:r>
            <w:r>
              <w:rPr>
                <w:rFonts w:hint="eastAsia" w:ascii="宋体" w:hAnsi="宋体" w:eastAsia="宋体" w:cs="宋体"/>
                <w:color w:val="000000"/>
                <w:kern w:val="0"/>
                <w:sz w:val="16"/>
                <w:szCs w:val="16"/>
                <w:lang w:bidi="ar"/>
              </w:rPr>
              <w:t>.38</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lang w:val="en-US" w:eastAsia="zh-CN"/>
              </w:rPr>
            </w:pPr>
            <w:r>
              <w:rPr>
                <w:rFonts w:hint="eastAsia" w:ascii="宋体" w:hAnsi="宋体" w:eastAsia="宋体" w:cs="宋体"/>
                <w:color w:val="000000"/>
                <w:kern w:val="0"/>
                <w:sz w:val="16"/>
                <w:szCs w:val="16"/>
                <w:lang w:val="en-US" w:eastAsia="zh-CN" w:bidi="ar"/>
              </w:rPr>
              <w:t>93907</w:t>
            </w:r>
            <w:r>
              <w:rPr>
                <w:rFonts w:hint="eastAsia" w:ascii="宋体" w:hAnsi="宋体" w:eastAsia="宋体" w:cs="宋体"/>
                <w:color w:val="000000"/>
                <w:kern w:val="0"/>
                <w:sz w:val="16"/>
                <w:szCs w:val="16"/>
                <w:lang w:bidi="ar"/>
              </w:rPr>
              <w:t>.</w:t>
            </w:r>
            <w:r>
              <w:rPr>
                <w:rFonts w:hint="eastAsia" w:ascii="宋体" w:hAnsi="宋体" w:eastAsia="宋体" w:cs="宋体"/>
                <w:color w:val="000000"/>
                <w:kern w:val="0"/>
                <w:sz w:val="16"/>
                <w:szCs w:val="16"/>
                <w:lang w:val="en-US" w:eastAsia="zh-CN" w:bidi="ar"/>
              </w:rPr>
              <w:t>24</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val="en-US" w:eastAsia="zh-CN" w:bidi="ar"/>
              </w:rPr>
              <w:t>81.90</w:t>
            </w:r>
            <w:r>
              <w:rPr>
                <w:rFonts w:hint="eastAsia" w:ascii="宋体" w:hAnsi="宋体" w:eastAsia="宋体" w:cs="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00" w:type="pct"/>
            <w:gridSpan w:val="2"/>
            <w:shd w:val="clear" w:color="auto" w:fill="auto"/>
            <w:noWrap/>
            <w:vAlign w:val="center"/>
          </w:tcPr>
          <w:p>
            <w:pPr>
              <w:rPr>
                <w:rFonts w:hint="eastAsia" w:ascii="宋体" w:hAnsi="宋体" w:eastAsia="宋体" w:cs="宋体"/>
                <w:color w:val="000000"/>
                <w:sz w:val="16"/>
                <w:szCs w:val="16"/>
              </w:rPr>
            </w:pPr>
          </w:p>
        </w:tc>
        <w:tc>
          <w:tcPr>
            <w:tcW w:w="947" w:type="pct"/>
            <w:shd w:val="clear" w:color="auto" w:fill="auto"/>
            <w:noWrap/>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其他资金</w:t>
            </w:r>
          </w:p>
        </w:tc>
        <w:tc>
          <w:tcPr>
            <w:tcW w:w="765" w:type="pct"/>
            <w:shd w:val="clear" w:color="auto" w:fill="auto"/>
            <w:noWrap/>
            <w:vAlign w:val="center"/>
          </w:tcPr>
          <w:p>
            <w:pPr>
              <w:jc w:val="center"/>
              <w:rPr>
                <w:rFonts w:hint="eastAsia" w:ascii="宋体" w:hAnsi="宋体" w:eastAsia="宋体" w:cs="宋体"/>
                <w:color w:val="000000"/>
                <w:sz w:val="16"/>
                <w:szCs w:val="16"/>
              </w:rPr>
            </w:pPr>
          </w:p>
        </w:tc>
        <w:tc>
          <w:tcPr>
            <w:tcW w:w="764" w:type="pct"/>
            <w:shd w:val="clear" w:color="auto" w:fill="auto"/>
            <w:noWrap/>
            <w:vAlign w:val="center"/>
          </w:tcPr>
          <w:p>
            <w:pPr>
              <w:jc w:val="center"/>
              <w:rPr>
                <w:rFonts w:hint="eastAsia" w:ascii="宋体" w:hAnsi="宋体" w:eastAsia="宋体" w:cs="宋体"/>
                <w:color w:val="000000"/>
                <w:sz w:val="16"/>
                <w:szCs w:val="16"/>
              </w:rPr>
            </w:pPr>
          </w:p>
        </w:tc>
        <w:tc>
          <w:tcPr>
            <w:tcW w:w="1522" w:type="pct"/>
            <w:gridSpan w:val="2"/>
            <w:shd w:val="clear" w:color="auto" w:fill="auto"/>
            <w:noWrap/>
            <w:vAlign w:val="center"/>
          </w:tcPr>
          <w:p>
            <w:pPr>
              <w:jc w:val="cente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1000" w:type="pct"/>
            <w:gridSpan w:val="2"/>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资金管理情况</w:t>
            </w:r>
          </w:p>
        </w:tc>
        <w:tc>
          <w:tcPr>
            <w:tcW w:w="947" w:type="pct"/>
            <w:shd w:val="clear" w:color="auto" w:fill="auto"/>
            <w:noWrap/>
            <w:vAlign w:val="center"/>
          </w:tcPr>
          <w:p>
            <w:pPr>
              <w:rPr>
                <w:rFonts w:hint="eastAsia" w:ascii="宋体" w:hAnsi="宋体" w:eastAsia="宋体" w:cs="宋体"/>
                <w:color w:val="000000"/>
                <w:sz w:val="16"/>
                <w:szCs w:val="16"/>
              </w:rPr>
            </w:pPr>
          </w:p>
        </w:tc>
        <w:tc>
          <w:tcPr>
            <w:tcW w:w="1529"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情况说明</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存在问题和改进措施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trPr>
        <w:tc>
          <w:tcPr>
            <w:tcW w:w="1000"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分配科学性</w:t>
            </w:r>
          </w:p>
        </w:tc>
        <w:tc>
          <w:tcPr>
            <w:tcW w:w="1529" w:type="pct"/>
            <w:gridSpan w:val="2"/>
            <w:vMerge w:val="restart"/>
            <w:shd w:val="clear" w:color="auto" w:fill="auto"/>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一要突出重点。二要强化对比分析。三是要提出约束性要求。对照资金分配使用需要达到的目标、任务、效果等，明确实施主体必须完成哪些绩效指标、约束指标、硬性指标。综上，新疆耕地建设与利用资金分配额度合理，资金分配依据充分。</w:t>
            </w:r>
          </w:p>
        </w:tc>
        <w:tc>
          <w:tcPr>
            <w:tcW w:w="1522" w:type="pct"/>
            <w:gridSpan w:val="2"/>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0"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1529" w:type="pct"/>
            <w:gridSpan w:val="2"/>
            <w:vMerge w:val="continue"/>
            <w:shd w:val="clear" w:color="auto" w:fill="auto"/>
            <w:vAlign w:val="center"/>
          </w:tcPr>
          <w:p>
            <w:pPr>
              <w:jc w:val="left"/>
              <w:rPr>
                <w:rFonts w:hint="eastAsia" w:ascii="宋体" w:hAnsi="宋体" w:eastAsia="宋体" w:cs="宋体"/>
                <w:color w:val="000000"/>
                <w:sz w:val="16"/>
                <w:szCs w:val="16"/>
              </w:rPr>
            </w:pPr>
          </w:p>
        </w:tc>
        <w:tc>
          <w:tcPr>
            <w:tcW w:w="1522" w:type="pct"/>
            <w:gridSpan w:val="2"/>
            <w:vMerge w:val="continue"/>
            <w:shd w:val="clear" w:color="auto" w:fill="auto"/>
            <w:noWrap/>
            <w:vAlign w:val="center"/>
          </w:tcPr>
          <w:p>
            <w:pPr>
              <w:jc w:val="cente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4" w:hRule="atLeast"/>
        </w:trPr>
        <w:tc>
          <w:tcPr>
            <w:tcW w:w="1000"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下达及时性</w:t>
            </w:r>
          </w:p>
        </w:tc>
        <w:tc>
          <w:tcPr>
            <w:tcW w:w="1529" w:type="pct"/>
            <w:gridSpan w:val="2"/>
            <w:shd w:val="clear" w:color="auto" w:fill="auto"/>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2022年11月3日《财政部关于提前下达2023年农业相关转移支付资金预算的通知》（财农〔2022〕82号），2022年11月3日《财政部关于提前下达2023年农田建设补助资金预算的通知》（财农〔2022〕89号），2023年4月7日《财政部关于下达2023年耕地建设与利用资金预算的通知》（财农〔2023〕19号）。2022年11月23日《关于提前下达2023年中央农业生产发展资金（耕地地力保护补贴)预算的通知》（新财农〔2022〕78号），将资金分解下达相关地州，资金分解下达及时。</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trPr>
        <w:tc>
          <w:tcPr>
            <w:tcW w:w="1000"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拨付合规性</w:t>
            </w:r>
          </w:p>
        </w:tc>
        <w:tc>
          <w:tcPr>
            <w:tcW w:w="1529" w:type="pct"/>
            <w:gridSpan w:val="2"/>
            <w:shd w:val="clear" w:color="auto" w:fill="auto"/>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根据财政部、农业农村部《耕地建设与利用资金管理办法》（财农〔2023〕12号）相关规定文件拨付资金，资金拨付合规。</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0" w:hRule="atLeast"/>
        </w:trPr>
        <w:tc>
          <w:tcPr>
            <w:tcW w:w="1000"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使用规范性</w:t>
            </w:r>
          </w:p>
        </w:tc>
        <w:tc>
          <w:tcPr>
            <w:tcW w:w="1529" w:type="pct"/>
            <w:gridSpan w:val="2"/>
            <w:shd w:val="clear" w:color="auto" w:fill="auto"/>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坚持实事求是的原则，严格执行财务制度，做到原始凭证齐全，财务手续健全，账目核算规范。着重做好项目资金专款专储专用，杜绝任何形式的资金占用。</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5" w:hRule="atLeast"/>
        </w:trPr>
        <w:tc>
          <w:tcPr>
            <w:tcW w:w="1000"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执行准确性</w:t>
            </w:r>
          </w:p>
        </w:tc>
        <w:tc>
          <w:tcPr>
            <w:tcW w:w="1529" w:type="pct"/>
            <w:gridSpan w:val="2"/>
            <w:shd w:val="clear" w:color="auto" w:fill="auto"/>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严格按照财政部、农业农村部《耕地建设与利用资金管理办法》（财农〔2023〕12号）规定，国库集中支付制度有关规定执行，涉及政府采购的，按照政府采购法律法规和有关制度执行执行；项目资金采用自治区分解到地州，地州根据建设任务分配拨付到项目县市。县市财政、农业农村部门按项目合同约定、工程进度等按程序支付项目资金。</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5" w:hRule="atLeast"/>
        </w:trPr>
        <w:tc>
          <w:tcPr>
            <w:tcW w:w="1000"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预算绩效管理情况</w:t>
            </w:r>
          </w:p>
        </w:tc>
        <w:tc>
          <w:tcPr>
            <w:tcW w:w="1529" w:type="pct"/>
            <w:gridSpan w:val="2"/>
            <w:shd w:val="clear" w:color="auto" w:fill="auto"/>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严格按照财政部、农业农村部《耕地建设与利用资金管理办法》（财农〔2023〕12号）规定，加强绩效目标管理，督促资金使用单位对照绩效目标做好绩效监控，按照规范要求开展绩效自评，并对自评中发现的问题及时组织整改执行；组织核实项目资金支出内容，督促检查建设任务完成情况，为财政部门按规定分配、审核拨付资金提供依据。</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9" w:hRule="atLeast"/>
        </w:trPr>
        <w:tc>
          <w:tcPr>
            <w:tcW w:w="1000" w:type="pct"/>
            <w:gridSpan w:val="2"/>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支出责任履行情况</w:t>
            </w:r>
          </w:p>
        </w:tc>
        <w:tc>
          <w:tcPr>
            <w:tcW w:w="1529" w:type="pct"/>
            <w:gridSpan w:val="2"/>
            <w:shd w:val="clear" w:color="auto" w:fill="auto"/>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对共同财政事权转移支付，按照财政事权和支出责任划分有关规定，足额安排资金履行本级支出责任，支出责任履行情况良好。</w:t>
            </w:r>
          </w:p>
        </w:tc>
        <w:tc>
          <w:tcPr>
            <w:tcW w:w="1522" w:type="pct"/>
            <w:gridSpan w:val="2"/>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19" w:type="pct"/>
            <w:vMerge w:val="restar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总体目标完成情况</w:t>
            </w:r>
          </w:p>
        </w:tc>
        <w:tc>
          <w:tcPr>
            <w:tcW w:w="2294" w:type="pct"/>
            <w:gridSpan w:val="3"/>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总体目标</w:t>
            </w:r>
          </w:p>
        </w:tc>
        <w:tc>
          <w:tcPr>
            <w:tcW w:w="2286" w:type="pct"/>
            <w:gridSpan w:val="3"/>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8" w:hRule="atLeast"/>
        </w:trPr>
        <w:tc>
          <w:tcPr>
            <w:tcW w:w="419" w:type="pct"/>
            <w:vMerge w:val="continue"/>
            <w:shd w:val="clear" w:color="auto" w:fill="auto"/>
            <w:vAlign w:val="center"/>
          </w:tcPr>
          <w:p>
            <w:pPr>
              <w:jc w:val="center"/>
              <w:rPr>
                <w:rFonts w:hint="eastAsia" w:ascii="宋体" w:hAnsi="宋体" w:eastAsia="宋体" w:cs="宋体"/>
                <w:color w:val="000000"/>
                <w:sz w:val="16"/>
                <w:szCs w:val="16"/>
              </w:rPr>
            </w:pPr>
          </w:p>
        </w:tc>
        <w:tc>
          <w:tcPr>
            <w:tcW w:w="2294" w:type="pct"/>
            <w:gridSpan w:val="3"/>
            <w:shd w:val="clear" w:color="auto" w:fill="auto"/>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按照相关规划或实施方案，结合地方实际开展耕地建设与利用。</w:t>
            </w:r>
          </w:p>
        </w:tc>
        <w:tc>
          <w:tcPr>
            <w:tcW w:w="2286" w:type="pct"/>
            <w:gridSpan w:val="3"/>
            <w:shd w:val="clear" w:color="auto" w:fill="auto"/>
            <w:vAlign w:val="center"/>
          </w:tcPr>
          <w:p>
            <w:pPr>
              <w:widowControl/>
              <w:jc w:val="left"/>
              <w:textAlignment w:val="center"/>
              <w:rPr>
                <w:rFonts w:hint="eastAsia"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2024年农田建设项目实施后，有效改善了项目区农田基础设施条件，实现了规模化、集约化生产，项目区主要粮棉作物耕种收综合机械化率提高至98%以上。通过田水路林电综合配套、带动良种良机良法集成推广，田间耕作成本降低5%～15%，土地流转费用亩均提高了300元，农田综合效益和竞争力得到有效释放，粮食综合生产能力得到大幅提升。截至2024年12月31日，国家下达我区的145万亩中央财政转移支付高标准农田建设项目（含34万亩高效节水任务）任务完成率100%。</w:t>
            </w:r>
          </w:p>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全区各地按照标准和时限要求，全面完成中央财政耕地地力保护补贴资金，用于补贴小麦种植户，每亩230元，有力缓解了粮食价格下行对种粮农户收益影响，达到了保护种粮农民收益的总体目标。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19" w:type="pct"/>
            <w:shd w:val="clear" w:color="auto" w:fill="auto"/>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一级指标</w:t>
            </w:r>
          </w:p>
        </w:tc>
        <w:tc>
          <w:tcPr>
            <w:tcW w:w="947"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二级指标</w:t>
            </w:r>
          </w:p>
        </w:tc>
        <w:tc>
          <w:tcPr>
            <w:tcW w:w="765"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三级指标</w:t>
            </w:r>
          </w:p>
        </w:tc>
        <w:tc>
          <w:tcPr>
            <w:tcW w:w="764"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指标值</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全年实际完成值</w:t>
            </w:r>
          </w:p>
        </w:tc>
        <w:tc>
          <w:tcPr>
            <w:tcW w:w="792"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1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绩</w:t>
            </w:r>
          </w:p>
        </w:tc>
        <w:tc>
          <w:tcPr>
            <w:tcW w:w="580" w:type="pct"/>
            <w:shd w:val="clear" w:color="auto" w:fill="auto"/>
            <w:noWrap/>
            <w:vAlign w:val="center"/>
          </w:tcPr>
          <w:p>
            <w:pPr>
              <w:jc w:val="center"/>
              <w:rPr>
                <w:rFonts w:hint="eastAsia" w:ascii="宋体" w:hAnsi="宋体" w:eastAsia="宋体" w:cs="宋体"/>
                <w:color w:val="000000"/>
                <w:sz w:val="16"/>
                <w:szCs w:val="16"/>
              </w:rPr>
            </w:pPr>
          </w:p>
        </w:tc>
        <w:tc>
          <w:tcPr>
            <w:tcW w:w="947" w:type="pct"/>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数量指标</w:t>
            </w: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新增高效节水海灌面积(万亩)</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34</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34</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效</w:t>
            </w:r>
          </w:p>
        </w:tc>
        <w:tc>
          <w:tcPr>
            <w:tcW w:w="580" w:type="pct"/>
            <w:shd w:val="clear" w:color="auto" w:fill="auto"/>
            <w:noWrap/>
            <w:vAlign w:val="center"/>
          </w:tcPr>
          <w:p>
            <w:pPr>
              <w:jc w:val="cente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改造提升高标准农田西积(万亩)</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21</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21</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1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指</w:t>
            </w:r>
          </w:p>
        </w:tc>
        <w:tc>
          <w:tcPr>
            <w:tcW w:w="580"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产出指标</w:t>
            </w: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建设高标准农田面积(万亩)</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124</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124</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标</w:t>
            </w: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开展盐时地综合利用试点县数量(个)</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耕地轮作试点面积(万亩)</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251</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235.74</w:t>
            </w:r>
          </w:p>
        </w:tc>
        <w:tc>
          <w:tcPr>
            <w:tcW w:w="792" w:type="pct"/>
            <w:shd w:val="clear" w:color="auto" w:fill="auto"/>
            <w:noWrap/>
            <w:vAlign w:val="center"/>
          </w:tcPr>
          <w:p>
            <w:pPr>
              <w:rPr>
                <w:rFonts w:hint="eastAsia" w:ascii="宋体" w:hAnsi="宋体" w:eastAsia="宋体" w:cs="宋体"/>
                <w:color w:val="000000"/>
                <w:sz w:val="16"/>
                <w:szCs w:val="16"/>
                <w:lang w:eastAsia="zh-CN"/>
              </w:rPr>
            </w:pPr>
            <w:r>
              <w:rPr>
                <w:rFonts w:hint="eastAsia" w:ascii="宋体" w:hAnsi="宋体" w:eastAsia="宋体" w:cs="宋体"/>
                <w:color w:val="000000"/>
                <w:sz w:val="16"/>
                <w:szCs w:val="16"/>
              </w:rPr>
              <w:t>按照耕地轮作试点工作要求，部分试点面积因农户未按要求开展轮作，未支付轮作补助资金。针对2024年未完成的7万亩轮作任务，督促相关地州、县市抓紧做好任务安排和地块的落实，及时支付补助资金，</w:t>
            </w:r>
            <w:r>
              <w:rPr>
                <w:rFonts w:hint="eastAsia" w:ascii="宋体" w:hAnsi="宋体" w:eastAsia="宋体" w:cs="宋体"/>
                <w:color w:val="000000"/>
                <w:sz w:val="16"/>
                <w:szCs w:val="16"/>
                <w:lang w:eastAsia="zh-CN"/>
              </w:rPr>
              <w:t>保障</w:t>
            </w:r>
            <w:r>
              <w:rPr>
                <w:rFonts w:hint="eastAsia" w:ascii="宋体" w:hAnsi="宋体" w:eastAsia="宋体" w:cs="宋体"/>
                <w:color w:val="000000"/>
                <w:sz w:val="16"/>
                <w:szCs w:val="16"/>
              </w:rPr>
              <w:t>轮作任务保质保量完成</w:t>
            </w:r>
            <w:r>
              <w:rPr>
                <w:rFonts w:hint="eastAsia" w:ascii="宋体" w:hAnsi="宋体" w:eastAsia="宋体" w:cs="宋体"/>
                <w:color w:val="000000"/>
                <w:sz w:val="16"/>
                <w:szCs w:val="16"/>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群地休耕试点图积(万亩)</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16</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21.74</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化配减量增效“三所”嘉成推进县数量(个)</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15</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15</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农户格配调查数量(户)</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11000</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11021</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田闻试验数量(个)</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320</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324</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外业调查采样和内业测试化验点位数(个)</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25350</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36410</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质量指标</w:t>
            </w: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高标准农田建设项目验收合格率(%)</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≥95%</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时效指标</w:t>
            </w:r>
          </w:p>
        </w:tc>
        <w:tc>
          <w:tcPr>
            <w:tcW w:w="765" w:type="pct"/>
            <w:shd w:val="clear" w:color="auto" w:fill="auto"/>
            <w:vAlign w:val="center"/>
          </w:tcPr>
          <w:p>
            <w:pPr>
              <w:widowControl/>
              <w:jc w:val="center"/>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耕地地力保护补贴发放时限</w:t>
            </w:r>
          </w:p>
        </w:tc>
        <w:tc>
          <w:tcPr>
            <w:tcW w:w="764" w:type="pct"/>
            <w:shd w:val="clear" w:color="auto" w:fill="auto"/>
            <w:vAlign w:val="center"/>
          </w:tcPr>
          <w:p>
            <w:pPr>
              <w:widowControl/>
              <w:jc w:val="center"/>
              <w:textAlignment w:val="center"/>
              <w:rPr>
                <w:rFonts w:hint="default" w:ascii="宋体" w:hAnsi="宋体" w:eastAsia="宋体" w:cs="宋体"/>
                <w:color w:val="000000"/>
                <w:sz w:val="16"/>
                <w:szCs w:val="16"/>
                <w:lang w:val="en-US" w:eastAsia="zh-CN"/>
              </w:rPr>
            </w:pPr>
            <w:r>
              <w:rPr>
                <w:rFonts w:hint="eastAsia" w:ascii="宋体" w:hAnsi="宋体" w:eastAsia="宋体" w:cs="宋体"/>
                <w:color w:val="000000"/>
                <w:kern w:val="0"/>
                <w:sz w:val="16"/>
                <w:szCs w:val="16"/>
                <w:lang w:val="en-US" w:eastAsia="zh-CN" w:bidi="ar"/>
              </w:rPr>
              <w:t>6月30日前</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7月30日</w:t>
            </w:r>
          </w:p>
        </w:tc>
        <w:tc>
          <w:tcPr>
            <w:tcW w:w="792" w:type="pct"/>
            <w:shd w:val="clear" w:color="auto" w:fill="auto"/>
            <w:noWrap/>
            <w:vAlign w:val="center"/>
          </w:tcPr>
          <w:p>
            <w:pPr>
              <w:rPr>
                <w:rFonts w:hint="eastAsia" w:ascii="宋体" w:hAnsi="宋体" w:eastAsia="宋体" w:cs="宋体"/>
                <w:color w:val="000000"/>
                <w:sz w:val="16"/>
                <w:szCs w:val="16"/>
              </w:rPr>
            </w:pPr>
            <w:r>
              <w:rPr>
                <w:rFonts w:hint="eastAsia" w:ascii="宋体" w:hAnsi="宋体" w:eastAsia="宋体" w:cs="宋体"/>
                <w:color w:val="000000"/>
                <w:sz w:val="16"/>
                <w:szCs w:val="16"/>
              </w:rPr>
              <w:t>新疆地处西北干旱区，春季回暖较晚，小麦等农作物播种期多在3-5月，部分冷凉区农作物播种时间更晚，因耕地地力保护补贴资金发放需经面积申报、公示、审核等环节，导致补贴发放工作相应延后，未在6月30日前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shd w:val="clear" w:color="auto" w:fill="auto"/>
            <w:noWrap/>
            <w:vAlign w:val="center"/>
          </w:tcPr>
          <w:p>
            <w:pP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高标准农田建设任务充成及时性</w:t>
            </w:r>
          </w:p>
        </w:tc>
        <w:tc>
          <w:tcPr>
            <w:tcW w:w="764" w:type="pct"/>
            <w:shd w:val="clear" w:color="auto" w:fill="auto"/>
            <w:vAlign w:val="center"/>
          </w:tcPr>
          <w:p>
            <w:pPr>
              <w:widowControl/>
              <w:ind w:firstLine="160" w:firstLineChars="100"/>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1-2年</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效益指标</w:t>
            </w:r>
          </w:p>
        </w:tc>
        <w:tc>
          <w:tcPr>
            <w:tcW w:w="947" w:type="pct"/>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社会效益指标</w:t>
            </w: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粮食(五米)综合生产能力</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明显提升</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lang w:val="en-US" w:eastAsia="zh-CN"/>
              </w:rPr>
            </w:pPr>
            <w:r>
              <w:rPr>
                <w:rFonts w:hint="eastAsia" w:ascii="宋体" w:hAnsi="宋体" w:eastAsia="宋体" w:cs="宋体"/>
                <w:color w:val="000000"/>
                <w:kern w:val="0"/>
                <w:sz w:val="16"/>
                <w:szCs w:val="16"/>
                <w:lang w:val="en-US" w:eastAsia="zh-CN" w:bidi="ar"/>
              </w:rPr>
              <w:t>100%</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资金使用重大违规违纪问题(有/无)</w:t>
            </w:r>
          </w:p>
        </w:tc>
        <w:tc>
          <w:tcPr>
            <w:tcW w:w="764" w:type="pct"/>
            <w:shd w:val="clear" w:color="auto" w:fill="auto"/>
            <w:vAlign w:val="center"/>
          </w:tcPr>
          <w:p>
            <w:pPr>
              <w:widowControl/>
              <w:ind w:firstLine="160" w:firstLineChars="100"/>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无</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419" w:type="pct"/>
            <w:shd w:val="clear" w:color="auto" w:fill="auto"/>
            <w:noWrap/>
            <w:vAlign w:val="center"/>
          </w:tcPr>
          <w:p>
            <w:pPr>
              <w:rPr>
                <w:rFonts w:hint="eastAsia" w:ascii="宋体" w:hAnsi="宋体" w:eastAsia="宋体" w:cs="宋体"/>
                <w:color w:val="000000"/>
                <w:sz w:val="16"/>
                <w:szCs w:val="16"/>
              </w:rPr>
            </w:pPr>
          </w:p>
        </w:tc>
        <w:tc>
          <w:tcPr>
            <w:tcW w:w="580" w:type="pct"/>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满意度指标</w:t>
            </w:r>
          </w:p>
        </w:tc>
        <w:tc>
          <w:tcPr>
            <w:tcW w:w="947" w:type="pct"/>
            <w:vMerge w:val="restart"/>
            <w:shd w:val="clear" w:color="auto" w:fill="auto"/>
            <w:noWrap/>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服务对象满意度指标</w:t>
            </w: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耕地地力保护补贴政策满意度受益群众满意度</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419" w:type="pct"/>
            <w:shd w:val="clear" w:color="auto" w:fill="auto"/>
            <w:vAlign w:val="center"/>
          </w:tcPr>
          <w:p>
            <w:pPr>
              <w:jc w:val="center"/>
              <w:rPr>
                <w:rFonts w:hint="eastAsia" w:ascii="宋体" w:hAnsi="宋体" w:eastAsia="宋体" w:cs="宋体"/>
                <w:color w:val="000000"/>
                <w:sz w:val="16"/>
                <w:szCs w:val="16"/>
              </w:rPr>
            </w:pPr>
          </w:p>
        </w:tc>
        <w:tc>
          <w:tcPr>
            <w:tcW w:w="580" w:type="pct"/>
            <w:vMerge w:val="continue"/>
            <w:shd w:val="clear" w:color="auto" w:fill="auto"/>
            <w:noWrap/>
            <w:vAlign w:val="center"/>
          </w:tcPr>
          <w:p>
            <w:pPr>
              <w:jc w:val="center"/>
              <w:rPr>
                <w:rFonts w:hint="eastAsia" w:ascii="宋体" w:hAnsi="宋体" w:eastAsia="宋体" w:cs="宋体"/>
                <w:color w:val="000000"/>
                <w:sz w:val="16"/>
                <w:szCs w:val="16"/>
              </w:rPr>
            </w:pPr>
          </w:p>
        </w:tc>
        <w:tc>
          <w:tcPr>
            <w:tcW w:w="947" w:type="pct"/>
            <w:vMerge w:val="continue"/>
            <w:shd w:val="clear" w:color="auto" w:fill="auto"/>
            <w:noWrap/>
            <w:vAlign w:val="center"/>
          </w:tcPr>
          <w:p>
            <w:pPr>
              <w:jc w:val="center"/>
              <w:rPr>
                <w:rFonts w:hint="eastAsia" w:ascii="宋体" w:hAnsi="宋体" w:eastAsia="宋体" w:cs="宋体"/>
                <w:color w:val="000000"/>
                <w:sz w:val="16"/>
                <w:szCs w:val="16"/>
              </w:rPr>
            </w:pPr>
          </w:p>
        </w:tc>
        <w:tc>
          <w:tcPr>
            <w:tcW w:w="765" w:type="pct"/>
            <w:shd w:val="clear" w:color="auto" w:fill="auto"/>
          </w:tcPr>
          <w:p>
            <w:pPr>
              <w:widowControl/>
              <w:textAlignment w:val="top"/>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高标准农田建设受益群众满意度</w:t>
            </w:r>
          </w:p>
        </w:tc>
        <w:tc>
          <w:tcPr>
            <w:tcW w:w="764"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729" w:type="pct"/>
            <w:shd w:val="clear" w:color="auto" w:fill="auto"/>
            <w:vAlign w:val="center"/>
          </w:tcPr>
          <w:p>
            <w:pPr>
              <w:widowControl/>
              <w:jc w:val="center"/>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90%</w:t>
            </w:r>
          </w:p>
        </w:tc>
        <w:tc>
          <w:tcPr>
            <w:tcW w:w="792" w:type="pct"/>
            <w:shd w:val="clear" w:color="auto" w:fill="auto"/>
            <w:noWrap/>
            <w:vAlign w:val="center"/>
          </w:tcPr>
          <w:p>
            <w:pPr>
              <w:rPr>
                <w:rFonts w:hint="eastAsia" w:ascii="宋体" w:hAnsi="宋体" w:eastAsia="宋体" w:cs="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9" w:type="pct"/>
            <w:shd w:val="clear" w:color="auto" w:fill="auto"/>
            <w:noWrap/>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color w:val="000000"/>
                <w:kern w:val="0"/>
                <w:sz w:val="16"/>
                <w:szCs w:val="16"/>
                <w:lang w:bidi="ar"/>
              </w:rPr>
              <w:t>说明</w:t>
            </w:r>
          </w:p>
        </w:tc>
        <w:tc>
          <w:tcPr>
            <w:tcW w:w="4580" w:type="pct"/>
            <w:gridSpan w:val="6"/>
            <w:shd w:val="clear" w:color="auto" w:fill="auto"/>
            <w:noWrap/>
            <w:vAlign w:val="center"/>
          </w:tcPr>
          <w:p>
            <w:pPr>
              <w:widowControl/>
              <w:jc w:val="center"/>
              <w:textAlignment w:val="center"/>
              <w:rPr>
                <w:rFonts w:hint="eastAsia" w:ascii="宋体" w:hAnsi="宋体" w:eastAsia="宋体" w:cs="宋体"/>
                <w:color w:val="000000"/>
                <w:sz w:val="16"/>
                <w:szCs w:val="16"/>
              </w:rPr>
            </w:pPr>
          </w:p>
        </w:tc>
      </w:tr>
    </w:tbl>
    <w:p>
      <w:pPr>
        <w:pBdr>
          <w:top w:val="none" w:color="000000" w:sz="0" w:space="0"/>
          <w:left w:val="none" w:color="000000" w:sz="0" w:space="0"/>
          <w:bottom w:val="none" w:color="000000" w:sz="0" w:space="21"/>
          <w:right w:val="none" w:color="000000" w:sz="0" w:space="0"/>
        </w:pBdr>
        <w:overflowPunct w:val="0"/>
        <w:spacing w:line="560" w:lineRule="exact"/>
        <w:rPr>
          <w:sz w:val="32"/>
          <w:szCs w:val="32"/>
        </w:rPr>
      </w:pPr>
    </w:p>
    <w:sectPr>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FangSong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12B72"/>
    <w:multiLevelType w:val="singleLevel"/>
    <w:tmpl w:val="0B112B72"/>
    <w:lvl w:ilvl="0" w:tentative="0">
      <w:start w:val="2"/>
      <w:numFmt w:val="decimal"/>
      <w:lvlText w:val="%1."/>
      <w:lvlJc w:val="left"/>
      <w:pPr>
        <w:tabs>
          <w:tab w:val="left" w:pos="312"/>
        </w:tabs>
      </w:pPr>
    </w:lvl>
  </w:abstractNum>
  <w:abstractNum w:abstractNumId="1">
    <w:nsid w:val="4F8A60BA"/>
    <w:multiLevelType w:val="singleLevel"/>
    <w:tmpl w:val="4F8A60BA"/>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xY2FlYmQ5ZDk2ODhhNjA1MDNkMTg2OGE1NTVkYmYifQ=="/>
  </w:docVars>
  <w:rsids>
    <w:rsidRoot w:val="00172A27"/>
    <w:rsid w:val="003566A6"/>
    <w:rsid w:val="00574029"/>
    <w:rsid w:val="0068174C"/>
    <w:rsid w:val="00693FD7"/>
    <w:rsid w:val="007347EA"/>
    <w:rsid w:val="00983218"/>
    <w:rsid w:val="00A4395C"/>
    <w:rsid w:val="00AA5D7A"/>
    <w:rsid w:val="00C85CF9"/>
    <w:rsid w:val="00D359A1"/>
    <w:rsid w:val="00D74BD4"/>
    <w:rsid w:val="00F44B4F"/>
    <w:rsid w:val="00F54754"/>
    <w:rsid w:val="00F63309"/>
    <w:rsid w:val="00FD4F36"/>
    <w:rsid w:val="00FE7973"/>
    <w:rsid w:val="00FF5C1C"/>
    <w:rsid w:val="02F2197A"/>
    <w:rsid w:val="03377CC6"/>
    <w:rsid w:val="0442662A"/>
    <w:rsid w:val="06D344B0"/>
    <w:rsid w:val="07434552"/>
    <w:rsid w:val="07B94814"/>
    <w:rsid w:val="080B17EA"/>
    <w:rsid w:val="0902043D"/>
    <w:rsid w:val="093F0D49"/>
    <w:rsid w:val="0A02759D"/>
    <w:rsid w:val="0B1464A6"/>
    <w:rsid w:val="0BFC73C5"/>
    <w:rsid w:val="0CA21D12"/>
    <w:rsid w:val="0D5C5C58"/>
    <w:rsid w:val="0DDE3CE7"/>
    <w:rsid w:val="0E145289"/>
    <w:rsid w:val="0EC3241C"/>
    <w:rsid w:val="0F39623B"/>
    <w:rsid w:val="0FAB74B5"/>
    <w:rsid w:val="0FCD53EB"/>
    <w:rsid w:val="103510F8"/>
    <w:rsid w:val="123D14BA"/>
    <w:rsid w:val="132C67E2"/>
    <w:rsid w:val="140040F4"/>
    <w:rsid w:val="141D7B92"/>
    <w:rsid w:val="15C076B6"/>
    <w:rsid w:val="169920BE"/>
    <w:rsid w:val="169C4ED1"/>
    <w:rsid w:val="16D87619"/>
    <w:rsid w:val="17FF1E48"/>
    <w:rsid w:val="18F629B6"/>
    <w:rsid w:val="1AC53428"/>
    <w:rsid w:val="1B304996"/>
    <w:rsid w:val="1C9A4858"/>
    <w:rsid w:val="1FD564D5"/>
    <w:rsid w:val="206A5657"/>
    <w:rsid w:val="214B412D"/>
    <w:rsid w:val="22A13307"/>
    <w:rsid w:val="22D64075"/>
    <w:rsid w:val="24422247"/>
    <w:rsid w:val="24F22F11"/>
    <w:rsid w:val="262F241A"/>
    <w:rsid w:val="26B72A44"/>
    <w:rsid w:val="2A5F3DA7"/>
    <w:rsid w:val="2AB27225"/>
    <w:rsid w:val="2B5621F6"/>
    <w:rsid w:val="2BAC0068"/>
    <w:rsid w:val="2CE33F5E"/>
    <w:rsid w:val="2DB208C5"/>
    <w:rsid w:val="2E790C29"/>
    <w:rsid w:val="2F1A395F"/>
    <w:rsid w:val="2FFB738B"/>
    <w:rsid w:val="31A71BB0"/>
    <w:rsid w:val="328947D0"/>
    <w:rsid w:val="34C45AD4"/>
    <w:rsid w:val="3552517B"/>
    <w:rsid w:val="35960D13"/>
    <w:rsid w:val="374C09A7"/>
    <w:rsid w:val="388D46D6"/>
    <w:rsid w:val="39C430D1"/>
    <w:rsid w:val="3B976475"/>
    <w:rsid w:val="3CFC3141"/>
    <w:rsid w:val="3E060C40"/>
    <w:rsid w:val="3E932215"/>
    <w:rsid w:val="3EA846BF"/>
    <w:rsid w:val="3ECA05D1"/>
    <w:rsid w:val="3F684020"/>
    <w:rsid w:val="3FB35DA1"/>
    <w:rsid w:val="417E7959"/>
    <w:rsid w:val="42007392"/>
    <w:rsid w:val="428471F1"/>
    <w:rsid w:val="42E27550"/>
    <w:rsid w:val="439D2307"/>
    <w:rsid w:val="4DD94895"/>
    <w:rsid w:val="4DED25B9"/>
    <w:rsid w:val="4DEF484E"/>
    <w:rsid w:val="4E9BA08C"/>
    <w:rsid w:val="4F7911BC"/>
    <w:rsid w:val="4FC96B8B"/>
    <w:rsid w:val="514B16BF"/>
    <w:rsid w:val="52061896"/>
    <w:rsid w:val="52D62C91"/>
    <w:rsid w:val="52E71802"/>
    <w:rsid w:val="574D1E50"/>
    <w:rsid w:val="57D91936"/>
    <w:rsid w:val="58EB1921"/>
    <w:rsid w:val="59E43CD1"/>
    <w:rsid w:val="5A957D96"/>
    <w:rsid w:val="5C2E0A2B"/>
    <w:rsid w:val="5E430E97"/>
    <w:rsid w:val="5FBB029F"/>
    <w:rsid w:val="60015C3D"/>
    <w:rsid w:val="6065020A"/>
    <w:rsid w:val="61B1029C"/>
    <w:rsid w:val="66AF3F8D"/>
    <w:rsid w:val="68E25D18"/>
    <w:rsid w:val="690A7624"/>
    <w:rsid w:val="694C1306"/>
    <w:rsid w:val="6A1707C7"/>
    <w:rsid w:val="6A2B0883"/>
    <w:rsid w:val="6C054650"/>
    <w:rsid w:val="6C1D408F"/>
    <w:rsid w:val="6CB26586"/>
    <w:rsid w:val="6CE23A73"/>
    <w:rsid w:val="6E1FF1AF"/>
    <w:rsid w:val="6E62032D"/>
    <w:rsid w:val="6E7A67F7"/>
    <w:rsid w:val="6EE91E80"/>
    <w:rsid w:val="723937BF"/>
    <w:rsid w:val="7720419D"/>
    <w:rsid w:val="777FCB48"/>
    <w:rsid w:val="77FECBAD"/>
    <w:rsid w:val="78372035"/>
    <w:rsid w:val="78F84E6D"/>
    <w:rsid w:val="796450AB"/>
    <w:rsid w:val="7A61783D"/>
    <w:rsid w:val="7AFE47B7"/>
    <w:rsid w:val="7BDB9EE5"/>
    <w:rsid w:val="7BDFF3D9"/>
    <w:rsid w:val="7C607F1C"/>
    <w:rsid w:val="7DD8701C"/>
    <w:rsid w:val="7E1846B6"/>
    <w:rsid w:val="7F803FA7"/>
    <w:rsid w:val="AAFF885F"/>
    <w:rsid w:val="BEFDEE2B"/>
    <w:rsid w:val="BFAF83AA"/>
    <w:rsid w:val="DA9F6A26"/>
    <w:rsid w:val="DBFDFCE4"/>
    <w:rsid w:val="DEF917E1"/>
    <w:rsid w:val="DFE74AFB"/>
    <w:rsid w:val="F6559969"/>
    <w:rsid w:val="F7FFD01B"/>
    <w:rsid w:val="FBED3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unhideWhenUsed/>
    <w:qFormat/>
    <w:uiPriority w:val="0"/>
    <w:pPr>
      <w:keepNext/>
      <w:keepLines/>
      <w:outlineLvl w:val="1"/>
    </w:pPr>
    <w:rPr>
      <w:rFonts w:ascii="仿宋_GB2312" w:hAnsi="仿宋_GB2312"/>
    </w:rPr>
  </w:style>
  <w:style w:type="character" w:default="1" w:styleId="13">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eastAsia="仿宋"/>
      <w:sz w:val="32"/>
    </w:rPr>
  </w:style>
  <w:style w:type="paragraph" w:styleId="4">
    <w:name w:val="annotation text"/>
    <w:basedOn w:val="1"/>
    <w:qFormat/>
    <w:uiPriority w:val="0"/>
    <w:pPr>
      <w:jc w:val="left"/>
    </w:pPr>
  </w:style>
  <w:style w:type="paragraph" w:styleId="5">
    <w:name w:val="Body Text"/>
    <w:basedOn w:val="1"/>
    <w:qFormat/>
    <w:uiPriority w:val="0"/>
    <w:rPr>
      <w:rFonts w:ascii="宋体" w:hAnsi="宋体" w:eastAsia="宋体" w:cs="宋体"/>
      <w:szCs w:val="32"/>
      <w:lang w:val="zh-CN" w:bidi="zh-CN"/>
    </w:rPr>
  </w:style>
  <w:style w:type="paragraph" w:styleId="6">
    <w:name w:val="Body Text Indent"/>
    <w:basedOn w:val="1"/>
    <w:next w:val="3"/>
    <w:semiHidden/>
    <w:qFormat/>
    <w:uiPriority w:val="99"/>
    <w:pPr>
      <w:spacing w:after="120"/>
      <w:ind w:left="420" w:leftChars="200"/>
    </w:pPr>
  </w:style>
  <w:style w:type="paragraph" w:styleId="7">
    <w:name w:val="Plain Text"/>
    <w:basedOn w:val="1"/>
    <w:qFormat/>
    <w:uiPriority w:val="0"/>
    <w:rPr>
      <w:rFonts w:ascii="宋体" w:hAnsi="Courier New" w:eastAsia="宋体"/>
      <w:kern w:val="0"/>
      <w:sz w:val="20"/>
      <w:szCs w:val="21"/>
    </w:rPr>
  </w:style>
  <w:style w:type="paragraph" w:styleId="8">
    <w:name w:val="footer"/>
    <w:basedOn w:val="1"/>
    <w:next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5"/>
    <w:qFormat/>
    <w:uiPriority w:val="0"/>
    <w:pPr>
      <w:ind w:firstLine="420" w:firstLineChars="100"/>
    </w:pPr>
  </w:style>
  <w:style w:type="paragraph" w:styleId="11">
    <w:name w:val="Body Text First Indent 2"/>
    <w:basedOn w:val="6"/>
    <w:next w:val="10"/>
    <w:qFormat/>
    <w:uiPriority w:val="99"/>
    <w:pPr>
      <w:ind w:firstLine="420" w:firstLineChars="200"/>
    </w:pPr>
    <w:rPr>
      <w:rFonts w:ascii="Calibri" w:hAnsi="Calibri"/>
    </w:rPr>
  </w:style>
  <w:style w:type="paragraph" w:customStyle="1" w:styleId="14">
    <w:name w:val="Table Text"/>
    <w:basedOn w:val="1"/>
    <w:semiHidden/>
    <w:qFormat/>
    <w:uiPriority w:val="0"/>
    <w:rPr>
      <w:rFonts w:ascii="宋体" w:hAnsi="宋体" w:eastAsia="宋体" w:cs="宋体"/>
      <w:sz w:val="19"/>
      <w:szCs w:val="19"/>
      <w:lang w:eastAsia="en-US"/>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_Style 1"/>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customStyle="1" w:styleId="17">
    <w:name w:val="font11"/>
    <w:basedOn w:val="13"/>
    <w:qFormat/>
    <w:uiPriority w:val="0"/>
    <w:rPr>
      <w:rFonts w:hint="eastAsia" w:ascii="黑体" w:hAnsi="宋体" w:eastAsia="黑体" w:cs="黑体"/>
      <w:b/>
      <w:bCs/>
      <w:color w:val="000000"/>
      <w:sz w:val="20"/>
      <w:szCs w:val="20"/>
      <w:u w:val="none"/>
    </w:rPr>
  </w:style>
  <w:style w:type="character" w:customStyle="1" w:styleId="18">
    <w:name w:val="font41"/>
    <w:basedOn w:val="13"/>
    <w:qFormat/>
    <w:uiPriority w:val="0"/>
    <w:rPr>
      <w:rFonts w:ascii="楷体_GB2312" w:eastAsia="楷体_GB2312" w:cs="楷体_GB2312"/>
      <w:b/>
      <w:bCs/>
      <w:color w:val="000000"/>
      <w:sz w:val="20"/>
      <w:szCs w:val="20"/>
      <w:u w:val="none"/>
    </w:rPr>
  </w:style>
  <w:style w:type="character" w:customStyle="1" w:styleId="19">
    <w:name w:val="font21"/>
    <w:basedOn w:val="13"/>
    <w:qFormat/>
    <w:uiPriority w:val="0"/>
    <w:rPr>
      <w:rFonts w:hint="eastAsia" w:ascii="宋体" w:hAnsi="宋体" w:eastAsia="宋体" w:cs="宋体"/>
      <w:color w:val="000000"/>
      <w:sz w:val="18"/>
      <w:szCs w:val="18"/>
      <w:u w:val="none"/>
    </w:rPr>
  </w:style>
  <w:style w:type="character" w:customStyle="1" w:styleId="20">
    <w:name w:val="font91"/>
    <w:basedOn w:val="13"/>
    <w:qFormat/>
    <w:uiPriority w:val="0"/>
    <w:rPr>
      <w:rFonts w:hint="eastAsia" w:ascii="仿宋_GB2312" w:eastAsia="仿宋_GB2312" w:cs="仿宋_GB2312"/>
      <w:color w:val="000000"/>
      <w:sz w:val="16"/>
      <w:szCs w:val="16"/>
      <w:u w:val="none"/>
    </w:rPr>
  </w:style>
  <w:style w:type="character" w:customStyle="1" w:styleId="21">
    <w:name w:val="font121"/>
    <w:basedOn w:val="13"/>
    <w:qFormat/>
    <w:uiPriority w:val="0"/>
    <w:rPr>
      <w:rFonts w:hint="default" w:ascii="Times New Roman" w:hAnsi="Times New Roman" w:cs="Times New Roman"/>
      <w:color w:val="000000"/>
      <w:sz w:val="16"/>
      <w:szCs w:val="16"/>
      <w:u w:val="none"/>
    </w:rPr>
  </w:style>
  <w:style w:type="character" w:customStyle="1" w:styleId="22">
    <w:name w:val="NormalCharacter"/>
    <w:basedOn w:val="13"/>
    <w:semiHidden/>
    <w:qFormat/>
    <w:uiPriority w:val="0"/>
    <w:rPr>
      <w:rFonts w:ascii="Calibri" w:hAnsi="Calibri"/>
      <w:kern w:val="2"/>
      <w:sz w:val="21"/>
      <w:szCs w:val="24"/>
      <w:lang w:val="en-US" w:eastAsia="zh-CN" w:bidi="ar-SA"/>
    </w:rPr>
  </w:style>
  <w:style w:type="character" w:customStyle="1" w:styleId="23">
    <w:name w:val="font31"/>
    <w:basedOn w:val="13"/>
    <w:qFormat/>
    <w:uiPriority w:val="0"/>
    <w:rPr>
      <w:rFonts w:hint="eastAsia" w:ascii="宋体" w:hAnsi="宋体" w:eastAsia="宋体" w:cs="宋体"/>
      <w:color w:val="000000"/>
      <w:sz w:val="18"/>
      <w:szCs w:val="18"/>
      <w:u w:val="none"/>
    </w:rPr>
  </w:style>
  <w:style w:type="character" w:customStyle="1" w:styleId="24">
    <w:name w:val="font51"/>
    <w:basedOn w:val="13"/>
    <w:qFormat/>
    <w:uiPriority w:val="0"/>
    <w:rPr>
      <w:rFonts w:hint="eastAsia" w:ascii="宋体" w:hAnsi="宋体" w:eastAsia="宋体" w:cs="宋体"/>
      <w:b/>
      <w:bCs/>
      <w:color w:val="000000"/>
      <w:sz w:val="18"/>
      <w:szCs w:val="18"/>
      <w:u w:val="none"/>
    </w:rPr>
  </w:style>
  <w:style w:type="character" w:customStyle="1" w:styleId="25">
    <w:name w:val="font61"/>
    <w:basedOn w:val="13"/>
    <w:qFormat/>
    <w:uiPriority w:val="0"/>
    <w:rPr>
      <w:rFonts w:hint="eastAsia" w:ascii="宋体" w:hAnsi="宋体" w:eastAsia="宋体" w:cs="宋体"/>
      <w:color w:val="000000"/>
      <w:sz w:val="18"/>
      <w:szCs w:val="18"/>
      <w:u w:val="none"/>
    </w:rPr>
  </w:style>
  <w:style w:type="character" w:customStyle="1" w:styleId="26">
    <w:name w:val="font122"/>
    <w:basedOn w:val="13"/>
    <w:qFormat/>
    <w:uiPriority w:val="0"/>
    <w:rPr>
      <w:rFonts w:hint="default" w:ascii="Times New Roman" w:hAnsi="Times New Roman" w:cs="Times New Roman"/>
      <w:color w:val="000000"/>
      <w:sz w:val="16"/>
      <w:szCs w:val="16"/>
      <w:u w:val="none"/>
    </w:rPr>
  </w:style>
  <w:style w:type="character" w:customStyle="1" w:styleId="27">
    <w:name w:val="font141"/>
    <w:basedOn w:val="13"/>
    <w:qFormat/>
    <w:uiPriority w:val="0"/>
    <w:rPr>
      <w:rFonts w:ascii="方正小标宋_GBK" w:hAnsi="方正小标宋_GBK" w:eastAsia="方正小标宋_GBK" w:cs="方正小标宋_GBK"/>
      <w:color w:val="000000"/>
      <w:sz w:val="20"/>
      <w:szCs w:val="20"/>
      <w:u w:val="none"/>
    </w:rPr>
  </w:style>
  <w:style w:type="character" w:customStyle="1" w:styleId="28">
    <w:name w:val="font81"/>
    <w:basedOn w:val="13"/>
    <w:qFormat/>
    <w:uiPriority w:val="0"/>
    <w:rPr>
      <w:rFonts w:hint="default" w:ascii="Times New Roman" w:hAnsi="Times New Roman" w:cs="Times New Roman"/>
      <w:color w:val="000000"/>
      <w:sz w:val="8"/>
      <w:szCs w:val="8"/>
      <w:u w:val="none"/>
    </w:rPr>
  </w:style>
  <w:style w:type="character" w:customStyle="1" w:styleId="29">
    <w:name w:val="font71"/>
    <w:basedOn w:val="13"/>
    <w:qFormat/>
    <w:uiPriority w:val="0"/>
    <w:rPr>
      <w:rFonts w:hint="eastAsia" w:ascii="楷体_GB2312" w:eastAsia="楷体_GB2312" w:cs="楷体_GB2312"/>
      <w:color w:val="000000"/>
      <w:sz w:val="8"/>
      <w:szCs w:val="8"/>
      <w:u w:val="none"/>
    </w:rPr>
  </w:style>
  <w:style w:type="character" w:customStyle="1" w:styleId="30">
    <w:name w:val="font101"/>
    <w:basedOn w:val="13"/>
    <w:qFormat/>
    <w:uiPriority w:val="0"/>
    <w:rPr>
      <w:rFonts w:hint="default" w:ascii="Times New Roman" w:hAnsi="Times New Roman" w:cs="Times New Roman"/>
      <w:b/>
      <w:bCs/>
      <w:color w:val="000000"/>
      <w:sz w:val="8"/>
      <w:szCs w:val="8"/>
      <w:u w:val="none"/>
    </w:rPr>
  </w:style>
  <w:style w:type="character" w:customStyle="1" w:styleId="31">
    <w:name w:val="font112"/>
    <w:basedOn w:val="13"/>
    <w:qFormat/>
    <w:uiPriority w:val="0"/>
    <w:rPr>
      <w:rFonts w:hint="eastAsia" w:ascii="仿宋_GB2312" w:eastAsia="仿宋_GB2312" w:cs="仿宋_GB2312"/>
      <w:color w:val="000000"/>
      <w:sz w:val="8"/>
      <w:szCs w:val="8"/>
      <w:u w:val="none"/>
    </w:rPr>
  </w:style>
  <w:style w:type="character" w:customStyle="1" w:styleId="32">
    <w:name w:val="font131"/>
    <w:basedOn w:val="13"/>
    <w:qFormat/>
    <w:uiPriority w:val="0"/>
    <w:rPr>
      <w:rFonts w:hint="eastAsia" w:ascii="宋体" w:hAnsi="宋体" w:eastAsia="宋体" w:cs="宋体"/>
      <w:color w:val="000000"/>
      <w:sz w:val="8"/>
      <w:szCs w:val="8"/>
      <w:u w:val="none"/>
    </w:rPr>
  </w:style>
  <w:style w:type="character" w:customStyle="1" w:styleId="33">
    <w:name w:val="font151"/>
    <w:basedOn w:val="13"/>
    <w:qFormat/>
    <w:uiPriority w:val="0"/>
    <w:rPr>
      <w:rFonts w:ascii="仿宋" w:hAnsi="仿宋" w:eastAsia="仿宋" w:cs="仿宋"/>
      <w:color w:val="000000"/>
      <w:sz w:val="20"/>
      <w:szCs w:val="20"/>
      <w:u w:val="none"/>
    </w:rPr>
  </w:style>
  <w:style w:type="character" w:customStyle="1" w:styleId="34">
    <w:name w:val="font01"/>
    <w:basedOn w:val="13"/>
    <w:qFormat/>
    <w:uiPriority w:val="0"/>
    <w:rPr>
      <w:rFonts w:ascii="仿宋" w:hAnsi="仿宋" w:eastAsia="仿宋" w:cs="仿宋"/>
      <w:color w:val="000000"/>
      <w:sz w:val="20"/>
      <w:szCs w:val="20"/>
      <w:u w:val="none"/>
    </w:rPr>
  </w:style>
  <w:style w:type="character" w:customStyle="1" w:styleId="35">
    <w:name w:val="font13"/>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725</Words>
  <Characters>808</Characters>
  <Lines>111</Lines>
  <Paragraphs>31</Paragraphs>
  <TotalTime>1</TotalTime>
  <ScaleCrop>false</ScaleCrop>
  <LinksUpToDate>false</LinksUpToDate>
  <CharactersWithSpaces>808</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2024-03-10T19:04:00Z</dcterms:created>
  <dc:creator>Qin</dc:creator>
  <cp:lastModifiedBy>刘水清</cp:lastModifiedBy>
  <cp:lastPrinted>2025-03-26T06:04:00Z</cp:lastPrinted>
  <dcterms:modified xsi:type="dcterms:W3CDTF">2025-03-27T18:51:47Z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AAF0AB47B55049328FE324117C5D2886</vt:lpwstr>
  </property>
  <property fmtid="{D5CDD505-2E9C-101B-9397-08002B2CF9AE}" pid="4" name="KSOTemplateDocerSaveRecord">
    <vt:lpwstr>eyJoZGlkIjoiZWVkNzFmYmU3ZmFiNTI4YTExMTUxMzU0YWNhNmVlYWQiLCJ1c2VySWQiOiIxNTU4MDYwODYxIn0=</vt:lpwstr>
  </property>
</Properties>
</file>