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both"/>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方正小标宋_GBK" w:cs="Times New Roman"/>
          <w:kern w:val="0"/>
          <w:sz w:val="48"/>
          <w:szCs w:val="48"/>
          <w:highlight w:val="none"/>
        </w:rPr>
      </w:pPr>
      <w:r>
        <w:rPr>
          <w:rFonts w:hint="default" w:ascii="Times New Roman" w:hAnsi="Times New Roman" w:eastAsia="方正小标宋_GBK" w:cs="Times New Roman"/>
          <w:kern w:val="0"/>
          <w:sz w:val="48"/>
          <w:szCs w:val="48"/>
          <w:highlight w:val="none"/>
          <w:lang w:val="en-US" w:eastAsia="zh-CN"/>
        </w:rPr>
        <w:t>自治区农业生产发展资金</w:t>
      </w:r>
      <w:r>
        <w:rPr>
          <w:rFonts w:hint="default" w:ascii="Times New Roman" w:hAnsi="Times New Roman" w:eastAsia="方正小标宋_GBK" w:cs="Times New Roman"/>
          <w:kern w:val="0"/>
          <w:sz w:val="48"/>
          <w:szCs w:val="48"/>
          <w:highlight w:val="none"/>
        </w:rPr>
        <w:t>资金项目支出绩效评价报告</w:t>
      </w: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（20</w:t>
      </w:r>
      <w:r>
        <w:rPr>
          <w:rFonts w:hint="default" w:ascii="Times New Roman" w:hAnsi="Times New Roman" w:eastAsia="仿宋_GB2312" w:cs="Times New Roman"/>
          <w:kern w:val="0"/>
          <w:sz w:val="36"/>
          <w:szCs w:val="36"/>
          <w:highlight w:val="none"/>
          <w:lang w:val="en-US" w:eastAsia="zh-CN"/>
        </w:rPr>
        <w:t>2</w:t>
      </w:r>
      <w:r>
        <w:rPr>
          <w:rFonts w:hint="eastAsia" w:eastAsia="仿宋_GB2312" w:cs="Times New Roman"/>
          <w:kern w:val="0"/>
          <w:sz w:val="36"/>
          <w:szCs w:val="36"/>
          <w:highlight w:val="none"/>
          <w:lang w:val="en-US" w:eastAsia="zh-CN"/>
        </w:rPr>
        <w:t>4</w:t>
      </w:r>
      <w:r>
        <w:rPr>
          <w:rFonts w:hint="default" w:ascii="Times New Roman" w:hAnsi="Times New Roman" w:eastAsia="仿宋_GB2312" w:cs="Times New Roman"/>
          <w:kern w:val="0"/>
          <w:sz w:val="36"/>
          <w:szCs w:val="36"/>
          <w:highlight w:val="none"/>
        </w:rPr>
        <w:t>年度）</w:t>
      </w: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rPr>
          <w:rFonts w:hint="default" w:ascii="Times New Roman" w:hAnsi="Times New Roman" w:eastAsia="仿宋_GB2312" w:cs="Times New Roman"/>
          <w:kern w:val="0"/>
          <w:sz w:val="30"/>
          <w:szCs w:val="30"/>
          <w:highlight w:val="none"/>
        </w:rPr>
      </w:pPr>
    </w:p>
    <w:p>
      <w:pPr>
        <w:spacing w:line="700" w:lineRule="exact"/>
        <w:ind w:left="3236" w:leftChars="684" w:hanging="1800" w:hangingChars="500"/>
        <w:jc w:val="left"/>
        <w:rPr>
          <w:rFonts w:hint="default"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项目名称：</w:t>
      </w:r>
      <w:r>
        <w:rPr>
          <w:rFonts w:hint="default" w:ascii="Times New Roman" w:hAnsi="Times New Roman" w:eastAsia="仿宋_GB2312" w:cs="Times New Roman"/>
          <w:kern w:val="0"/>
          <w:sz w:val="36"/>
          <w:szCs w:val="36"/>
          <w:highlight w:val="none"/>
          <w:lang w:val="en-US" w:eastAsia="zh-CN"/>
        </w:rPr>
        <w:t>自治区农业生产发展资金</w:t>
      </w:r>
      <w:r>
        <w:rPr>
          <w:rFonts w:hint="eastAsia" w:eastAsia="仿宋_GB2312" w:cs="Times New Roman"/>
          <w:kern w:val="0"/>
          <w:sz w:val="36"/>
          <w:szCs w:val="36"/>
          <w:highlight w:val="none"/>
          <w:lang w:val="en-US" w:eastAsia="zh-CN"/>
        </w:rPr>
        <w:t>（农业信息服务）</w:t>
      </w:r>
    </w:p>
    <w:p>
      <w:pPr>
        <w:spacing w:line="700" w:lineRule="exact"/>
        <w:ind w:left="4316" w:leftChars="684" w:hanging="2880" w:hangingChars="800"/>
        <w:jc w:val="left"/>
        <w:rPr>
          <w:rFonts w:hint="eastAsia"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实施单位（公章）：</w:t>
      </w:r>
      <w:r>
        <w:rPr>
          <w:rFonts w:hint="eastAsia" w:eastAsia="仿宋_GB2312" w:cs="Times New Roman"/>
          <w:kern w:val="0"/>
          <w:sz w:val="36"/>
          <w:szCs w:val="36"/>
          <w:highlight w:val="none"/>
          <w:lang w:eastAsia="zh-CN"/>
        </w:rPr>
        <w:t>新疆维吾尔自治区农业农村厅信息中心</w:t>
      </w:r>
    </w:p>
    <w:p>
      <w:pPr>
        <w:spacing w:line="700" w:lineRule="exact"/>
        <w:ind w:firstLine="1440" w:firstLineChars="400"/>
        <w:jc w:val="left"/>
        <w:rPr>
          <w:rFonts w:hint="default"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主管部门（公章）：</w:t>
      </w:r>
      <w:r>
        <w:rPr>
          <w:rFonts w:hint="eastAsia" w:eastAsia="仿宋_GB2312" w:cs="Times New Roman"/>
          <w:kern w:val="0"/>
          <w:sz w:val="36"/>
          <w:szCs w:val="36"/>
          <w:highlight w:val="none"/>
          <w:lang w:val="en-US" w:eastAsia="zh-CN"/>
        </w:rPr>
        <w:t>自治区农业农村厅</w:t>
      </w:r>
    </w:p>
    <w:p>
      <w:pPr>
        <w:spacing w:line="700" w:lineRule="exact"/>
        <w:ind w:firstLine="1440" w:firstLineChars="400"/>
        <w:jc w:val="left"/>
        <w:rPr>
          <w:rFonts w:hint="eastAsia"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项目负责人（签章）：</w:t>
      </w:r>
      <w:r>
        <w:rPr>
          <w:rFonts w:hint="eastAsia" w:eastAsia="仿宋_GB2312" w:cs="Times New Roman"/>
          <w:kern w:val="0"/>
          <w:sz w:val="36"/>
          <w:szCs w:val="36"/>
          <w:highlight w:val="none"/>
          <w:lang w:eastAsia="zh-CN"/>
        </w:rPr>
        <w:t>周小疆</w:t>
      </w:r>
    </w:p>
    <w:p>
      <w:pPr>
        <w:spacing w:line="700" w:lineRule="exact"/>
        <w:ind w:firstLine="1440" w:firstLineChars="400"/>
        <w:jc w:val="left"/>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填报时间：</w:t>
      </w:r>
      <w:r>
        <w:rPr>
          <w:rFonts w:hint="eastAsia" w:eastAsia="仿宋_GB2312" w:cs="Times New Roman"/>
          <w:kern w:val="0"/>
          <w:sz w:val="36"/>
          <w:szCs w:val="36"/>
          <w:highlight w:val="none"/>
          <w:lang w:val="en-US" w:eastAsia="zh-CN"/>
        </w:rPr>
        <w:t>2024</w:t>
      </w:r>
      <w:r>
        <w:rPr>
          <w:rFonts w:hint="default" w:ascii="Times New Roman" w:hAnsi="Times New Roman" w:eastAsia="仿宋_GB2312" w:cs="Times New Roman"/>
          <w:kern w:val="0"/>
          <w:sz w:val="36"/>
          <w:szCs w:val="36"/>
          <w:highlight w:val="none"/>
        </w:rPr>
        <w:t>年</w:t>
      </w:r>
      <w:r>
        <w:rPr>
          <w:rFonts w:hint="eastAsia" w:eastAsia="仿宋_GB2312" w:cs="Times New Roman"/>
          <w:kern w:val="0"/>
          <w:sz w:val="36"/>
          <w:szCs w:val="36"/>
          <w:highlight w:val="none"/>
          <w:lang w:val="en-US" w:eastAsia="zh-CN"/>
        </w:rPr>
        <w:t>2</w:t>
      </w:r>
      <w:r>
        <w:rPr>
          <w:rFonts w:hint="default" w:ascii="Times New Roman" w:hAnsi="Times New Roman" w:eastAsia="仿宋_GB2312" w:cs="Times New Roman"/>
          <w:kern w:val="0"/>
          <w:sz w:val="36"/>
          <w:szCs w:val="36"/>
          <w:highlight w:val="none"/>
        </w:rPr>
        <w:t>月</w:t>
      </w:r>
      <w:r>
        <w:rPr>
          <w:rFonts w:hint="eastAsia" w:eastAsia="仿宋_GB2312" w:cs="Times New Roman"/>
          <w:kern w:val="0"/>
          <w:sz w:val="36"/>
          <w:szCs w:val="36"/>
          <w:highlight w:val="none"/>
          <w:lang w:val="en-US" w:eastAsia="zh-CN"/>
        </w:rPr>
        <w:t>17</w:t>
      </w:r>
      <w:r>
        <w:rPr>
          <w:rFonts w:hint="default" w:ascii="Times New Roman" w:hAnsi="Times New Roman" w:eastAsia="仿宋_GB2312" w:cs="Times New Roman"/>
          <w:kern w:val="0"/>
          <w:sz w:val="36"/>
          <w:szCs w:val="36"/>
          <w:highlight w:val="none"/>
        </w:rPr>
        <w:t>日</w:t>
      </w:r>
    </w:p>
    <w:p>
      <w:pPr>
        <w:spacing w:line="540" w:lineRule="exact"/>
        <w:jc w:val="center"/>
        <w:rPr>
          <w:rFonts w:hint="default" w:ascii="Times New Roman" w:hAnsi="Times New Roman" w:eastAsia="仿宋_GB2312" w:cs="Times New Roman"/>
          <w:kern w:val="0"/>
          <w:sz w:val="30"/>
          <w:szCs w:val="30"/>
          <w:highlight w:val="none"/>
        </w:rPr>
      </w:pPr>
    </w:p>
    <w:p>
      <w:pPr>
        <w:rPr>
          <w:rFonts w:hint="default"/>
        </w:rPr>
      </w:pPr>
      <w:r>
        <w:rPr>
          <w:rFonts w:hint="default" w:ascii="Times New Roman" w:hAnsi="Times New Roman" w:eastAsia="黑体" w:cs="Times New Roman"/>
          <w:bCs/>
          <w:sz w:val="32"/>
          <w:szCs w:val="32"/>
          <w:highlight w:val="none"/>
        </w:rPr>
        <w:br w:type="page"/>
      </w:r>
    </w:p>
    <w:p>
      <w:pPr>
        <w:spacing w:line="600" w:lineRule="exac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pPr>
        <w:spacing w:line="600" w:lineRule="exact"/>
        <w:ind w:firstLine="641"/>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pPr>
        <w:spacing w:line="600" w:lineRule="exact"/>
        <w:ind w:firstLine="641"/>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1、项目背景</w:t>
      </w:r>
    </w:p>
    <w:p>
      <w:pPr>
        <w:pStyle w:val="2"/>
        <w:keepNext w:val="0"/>
        <w:keepLines w:val="0"/>
        <w:pageBreakBefore w:val="0"/>
        <w:numPr>
          <w:ilvl w:val="0"/>
          <w:numId w:val="0"/>
        </w:numPr>
        <w:kinsoku/>
        <w:wordWrap/>
        <w:overflowPunct/>
        <w:topLinePunct w:val="0"/>
        <w:autoSpaceDE/>
        <w:autoSpaceDN/>
        <w:bidi w:val="0"/>
        <w:adjustRightInd/>
        <w:snapToGrid/>
        <w:spacing w:before="0" w:after="0" w:line="600" w:lineRule="exact"/>
        <w:ind w:firstLine="640" w:firstLineChars="200"/>
        <w:jc w:val="both"/>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 xml:space="preserve">《中华人民共和国数据安全法》明确“数据安全主管机构的监管职责，建立健全数据安全协同治理体系，提高数据安全保障能力，促进数据出境安全和自由流动，促进数据开发利用，保护个人、组织的合法权益，维护国家主权、安全和发展利益，让数据安全有法可依、有章可循，为数字化经济的安全健康发展提供有力支撑”、《关键信息基础设施安全保护条例》，建立专门保护制度，明确各方责任，提出保障促进措施，有利于进一步健全关键信息基础设施安全保护法律制度体系；《国务院办公厅关于印发政府网站发展指引的通知》、《关于深化政务公开加强政务服务的意见》、《国务院办公厅关于进一步加强政府网站管理工作的通知》、《新疆维吾尔自治区政府门户网站建设与管理规范》《新疆维吾尔自治区政府网站管理办法》、《新疆维吾尔自治区政府网站绩效评估指标体系》等国家、自治区有关文件精神。  </w:t>
      </w:r>
    </w:p>
    <w:p>
      <w:pPr>
        <w:pStyle w:val="2"/>
        <w:keepNext w:val="0"/>
        <w:keepLines w:val="0"/>
        <w:pageBreakBefore w:val="0"/>
        <w:numPr>
          <w:ilvl w:val="0"/>
          <w:numId w:val="0"/>
        </w:numPr>
        <w:kinsoku/>
        <w:wordWrap/>
        <w:overflowPunct/>
        <w:topLinePunct w:val="0"/>
        <w:autoSpaceDE/>
        <w:autoSpaceDN/>
        <w:bidi w:val="0"/>
        <w:adjustRightInd/>
        <w:snapToGrid/>
        <w:spacing w:before="0" w:after="0" w:line="600" w:lineRule="exact"/>
        <w:ind w:firstLine="627" w:firstLineChars="200"/>
        <w:jc w:val="both"/>
        <w:textAlignment w:val="auto"/>
        <w:rPr>
          <w:rFonts w:hint="default" w:ascii="Times New Roman" w:hAnsi="Times New Roman" w:eastAsia="仿宋_GB2312" w:cs="Times New Roman"/>
          <w:b/>
          <w:bCs/>
          <w:kern w:val="2"/>
          <w:highlight w:val="none"/>
        </w:rPr>
      </w:pPr>
      <w:r>
        <w:rPr>
          <w:rStyle w:val="9"/>
          <w:rFonts w:hint="eastAsia" w:ascii="Times New Roman" w:hAnsi="Times New Roman" w:eastAsia="黑体" w:cs="Times New Roman"/>
          <w:b/>
          <w:bCs w:val="0"/>
          <w:spacing w:val="-4"/>
          <w:sz w:val="32"/>
          <w:szCs w:val="32"/>
          <w:highlight w:val="none"/>
          <w:lang w:val="en-US" w:eastAsia="zh-CN"/>
        </w:rPr>
        <w:t>2、</w:t>
      </w:r>
      <w:r>
        <w:rPr>
          <w:rFonts w:hint="default" w:ascii="Times New Roman" w:hAnsi="Times New Roman" w:eastAsia="仿宋_GB2312" w:cs="Times New Roman"/>
          <w:b/>
          <w:bCs/>
          <w:kern w:val="2"/>
          <w:highlight w:val="none"/>
        </w:rPr>
        <w:t>项目主要内容：</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bookmarkStart w:id="0" w:name="OLE_LINK1"/>
      <w:r>
        <w:rPr>
          <w:rFonts w:hint="eastAsia" w:ascii="Times New Roman" w:hAnsi="Times New Roman" w:eastAsia="仿宋_GB2312" w:cs="Times New Roman"/>
          <w:b w:val="0"/>
          <w:bCs w:val="0"/>
          <w:kern w:val="2"/>
          <w:sz w:val="32"/>
          <w:szCs w:val="32"/>
          <w:highlight w:val="none"/>
          <w:lang w:val="en-US" w:eastAsia="zh-CN" w:bidi="ar-SA"/>
        </w:rPr>
        <w:t>(1)对厅中心机房网络安全进行实时监测维护。</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(2)加大对全区农业应急指挥调度视频会议系统保障力度，确保及时调度视频会议。</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(3)加大农业信息宣传的力度，完善健全农业信息宣传制度，加强农业信息宣传工作队伍建设，提高农业信息影响力度。</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(4)提高对农业农村大数据治理、挖掘、分析能力。</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(5)出版发行《新疆农业科技》（汉文版），加大农业专业性宣传力度，做好意识形态前沿宣传。</w:t>
      </w:r>
    </w:p>
    <w:bookmarkEnd w:id="0"/>
    <w:p>
      <w:pPr>
        <w:pStyle w:val="2"/>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pStyle w:val="2"/>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本项目总投资</w:t>
      </w:r>
      <w:r>
        <w:rPr>
          <w:rFonts w:hint="eastAsia" w:ascii="Times New Roman" w:hAnsi="Times New Roman" w:eastAsia="仿宋_GB2312" w:cs="Times New Roman"/>
          <w:b w:val="0"/>
          <w:bCs w:val="0"/>
          <w:kern w:val="2"/>
          <w:sz w:val="32"/>
          <w:szCs w:val="32"/>
          <w:highlight w:val="none"/>
          <w:lang w:val="en-US" w:eastAsia="zh-CN" w:bidi="ar-SA"/>
        </w:rPr>
        <w:t>115</w:t>
      </w:r>
      <w:r>
        <w:rPr>
          <w:rFonts w:hint="default" w:ascii="Times New Roman" w:hAnsi="Times New Roman" w:eastAsia="仿宋_GB2312" w:cs="Times New Roman"/>
          <w:b w:val="0"/>
          <w:bCs w:val="0"/>
          <w:kern w:val="2"/>
          <w:sz w:val="32"/>
          <w:szCs w:val="32"/>
          <w:highlight w:val="none"/>
          <w:lang w:val="en-US" w:eastAsia="zh-CN" w:bidi="ar-SA"/>
        </w:rPr>
        <w:t>万元，其中：财政本级资金</w:t>
      </w:r>
      <w:r>
        <w:rPr>
          <w:rFonts w:hint="eastAsia" w:ascii="Times New Roman" w:hAnsi="Times New Roman" w:eastAsia="仿宋_GB2312" w:cs="Times New Roman"/>
          <w:b w:val="0"/>
          <w:bCs w:val="0"/>
          <w:kern w:val="2"/>
          <w:sz w:val="32"/>
          <w:szCs w:val="32"/>
          <w:highlight w:val="none"/>
          <w:lang w:val="en-US" w:eastAsia="zh-CN" w:bidi="ar-SA"/>
        </w:rPr>
        <w:t>110</w:t>
      </w:r>
      <w:r>
        <w:rPr>
          <w:rFonts w:hint="default" w:ascii="Times New Roman" w:hAnsi="Times New Roman" w:eastAsia="仿宋_GB2312" w:cs="Times New Roman"/>
          <w:b w:val="0"/>
          <w:bCs w:val="0"/>
          <w:kern w:val="2"/>
          <w:sz w:val="32"/>
          <w:szCs w:val="32"/>
          <w:highlight w:val="none"/>
          <w:lang w:val="en-US" w:eastAsia="zh-CN" w:bidi="ar-SA"/>
        </w:rPr>
        <w:t>万元</w:t>
      </w:r>
      <w:r>
        <w:rPr>
          <w:rFonts w:hint="eastAsia" w:ascii="Times New Roman" w:hAnsi="Times New Roman" w:eastAsia="仿宋_GB2312" w:cs="Times New Roman"/>
          <w:b w:val="0"/>
          <w:bCs w:val="0"/>
          <w:kern w:val="2"/>
          <w:sz w:val="32"/>
          <w:szCs w:val="32"/>
          <w:highlight w:val="none"/>
          <w:lang w:val="en-US" w:eastAsia="zh-CN" w:bidi="ar-SA"/>
        </w:rPr>
        <w:t>，其他资金5万元</w:t>
      </w:r>
      <w:r>
        <w:rPr>
          <w:rFonts w:hint="default" w:ascii="Times New Roman" w:hAnsi="Times New Roman" w:eastAsia="仿宋_GB2312" w:cs="Times New Roman"/>
          <w:b w:val="0"/>
          <w:bCs w:val="0"/>
          <w:kern w:val="2"/>
          <w:sz w:val="32"/>
          <w:szCs w:val="32"/>
          <w:highlight w:val="none"/>
          <w:lang w:val="en-US" w:eastAsia="zh-CN" w:bidi="ar-SA"/>
        </w:rPr>
        <w:t>。项目实际支出</w:t>
      </w:r>
      <w:r>
        <w:rPr>
          <w:rFonts w:hint="eastAsia" w:ascii="Times New Roman" w:hAnsi="Times New Roman" w:eastAsia="仿宋_GB2312" w:cs="Times New Roman"/>
          <w:b w:val="0"/>
          <w:bCs w:val="0"/>
          <w:kern w:val="2"/>
          <w:sz w:val="32"/>
          <w:szCs w:val="32"/>
          <w:highlight w:val="none"/>
          <w:lang w:val="en-US" w:eastAsia="zh-CN" w:bidi="ar-SA"/>
        </w:rPr>
        <w:t>115</w:t>
      </w:r>
      <w:r>
        <w:rPr>
          <w:rFonts w:hint="default" w:ascii="Times New Roman" w:hAnsi="Times New Roman" w:eastAsia="仿宋_GB2312" w:cs="Times New Roman"/>
          <w:b w:val="0"/>
          <w:bCs w:val="0"/>
          <w:kern w:val="2"/>
          <w:sz w:val="32"/>
          <w:szCs w:val="32"/>
          <w:highlight w:val="none"/>
          <w:lang w:val="en-US" w:eastAsia="zh-CN" w:bidi="ar-SA"/>
        </w:rPr>
        <w:t>万元，支出率为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3、资金投入和使用情况</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32"/>
          <w:szCs w:val="32"/>
          <w:highlight w:val="none"/>
        </w:rPr>
        <w:t>（1）资金安排</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项目总投资</w:t>
      </w:r>
      <w:r>
        <w:rPr>
          <w:rFonts w:hint="eastAsia" w:eastAsia="仿宋_GB2312" w:cs="Times New Roman"/>
          <w:b w:val="0"/>
          <w:bCs w:val="0"/>
          <w:kern w:val="2"/>
          <w:sz w:val="32"/>
          <w:szCs w:val="32"/>
          <w:highlight w:val="none"/>
          <w:lang w:val="en-US" w:eastAsia="zh-CN" w:bidi="ar-SA"/>
        </w:rPr>
        <w:t>115</w:t>
      </w:r>
      <w:r>
        <w:rPr>
          <w:rFonts w:hint="default" w:ascii="Times New Roman" w:hAnsi="Times New Roman" w:eastAsia="仿宋_GB2312" w:cs="Times New Roman"/>
          <w:b w:val="0"/>
          <w:bCs w:val="0"/>
          <w:kern w:val="2"/>
          <w:sz w:val="32"/>
          <w:szCs w:val="32"/>
          <w:highlight w:val="none"/>
          <w:lang w:val="en-US" w:eastAsia="zh-CN" w:bidi="ar-SA"/>
        </w:rPr>
        <w:t>万元，按照单位财务制度等相关规定，资金支出符合</w:t>
      </w:r>
      <w:r>
        <w:rPr>
          <w:rFonts w:hint="eastAsia" w:eastAsia="仿宋_GB2312" w:cs="Times New Roman"/>
          <w:b w:val="0"/>
          <w:bCs w:val="0"/>
          <w:kern w:val="2"/>
          <w:sz w:val="32"/>
          <w:szCs w:val="32"/>
          <w:highlight w:val="none"/>
          <w:lang w:val="en-US" w:eastAsia="zh-CN" w:bidi="ar-SA"/>
        </w:rPr>
        <w:t>124万</w:t>
      </w:r>
      <w:r>
        <w:rPr>
          <w:rFonts w:hint="default" w:ascii="Times New Roman" w:hAnsi="Times New Roman" w:eastAsia="仿宋_GB2312" w:cs="Times New Roman"/>
          <w:b w:val="0"/>
          <w:bCs w:val="0"/>
          <w:kern w:val="2"/>
          <w:sz w:val="32"/>
          <w:szCs w:val="32"/>
          <w:highlight w:val="none"/>
          <w:lang w:val="en-US" w:eastAsia="zh-CN" w:bidi="ar-SA"/>
        </w:rPr>
        <w:t>专项资金费用范围，做到了专款专用。在项目资金拨付和使用过程中，为确保项目资金的安全性，提高项目资金使用效率，严格遵循</w:t>
      </w:r>
      <w:r>
        <w:rPr>
          <w:rFonts w:hint="eastAsia" w:ascii="Times New Roman" w:hAnsi="Times New Roman" w:eastAsia="仿宋_GB2312" w:cs="Times New Roman"/>
          <w:b w:val="0"/>
          <w:bCs w:val="0"/>
          <w:kern w:val="2"/>
          <w:sz w:val="32"/>
          <w:szCs w:val="32"/>
          <w:highlight w:val="none"/>
          <w:lang w:val="en-US" w:eastAsia="zh-CN" w:bidi="ar-SA"/>
        </w:rPr>
        <w:t>专项</w:t>
      </w:r>
      <w:r>
        <w:rPr>
          <w:rFonts w:hint="default" w:ascii="Times New Roman" w:hAnsi="Times New Roman" w:eastAsia="仿宋_GB2312" w:cs="Times New Roman"/>
          <w:b w:val="0"/>
          <w:bCs w:val="0"/>
          <w:kern w:val="2"/>
          <w:sz w:val="32"/>
          <w:szCs w:val="32"/>
          <w:highlight w:val="none"/>
          <w:lang w:val="en-US" w:eastAsia="zh-CN" w:bidi="ar-SA"/>
        </w:rPr>
        <w:t>资金的拨付程序，认真审核项目实施各阶段的相关材料和手续，根据项目实施进展情况拨付资金。</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（2）预算资金来源及使用情况</w:t>
      </w:r>
      <w:bookmarkStart w:id="1" w:name="page10"/>
      <w:bookmarkEnd w:id="1"/>
    </w:p>
    <w:p>
      <w:pPr>
        <w:pStyle w:val="2"/>
        <w:keepNext w:val="0"/>
        <w:keepLines w:val="0"/>
        <w:pageBreakBefore w:val="0"/>
        <w:kinsoku/>
        <w:wordWrap/>
        <w:overflowPunct/>
        <w:topLinePunct w:val="0"/>
        <w:autoSpaceDE/>
        <w:autoSpaceDN/>
        <w:bidi w:val="0"/>
        <w:adjustRightInd/>
        <w:snapToGrid/>
        <w:spacing w:before="0" w:after="0" w:line="600" w:lineRule="exact"/>
        <w:ind w:left="0" w:firstLine="640" w:firstLineChars="200"/>
        <w:jc w:val="both"/>
        <w:textAlignment w:val="auto"/>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sz w:val="32"/>
          <w:szCs w:val="32"/>
          <w:highlight w:val="none"/>
          <w:lang w:val="en-US" w:eastAsia="zh-CN" w:bidi="ar-SA"/>
        </w:rPr>
        <w:t>项目预算资金来源于</w:t>
      </w:r>
      <w:r>
        <w:rPr>
          <w:rFonts w:hint="eastAsia" w:ascii="Times New Roman" w:hAnsi="Times New Roman" w:eastAsia="仿宋_GB2312" w:cs="Times New Roman"/>
          <w:b w:val="0"/>
          <w:bCs w:val="0"/>
          <w:kern w:val="2"/>
          <w:sz w:val="32"/>
          <w:szCs w:val="32"/>
          <w:highlight w:val="none"/>
          <w:lang w:val="en-US" w:eastAsia="zh-CN" w:bidi="ar-SA"/>
        </w:rPr>
        <w:t>自治区财政本级预算115万元</w:t>
      </w:r>
      <w:r>
        <w:rPr>
          <w:rFonts w:hint="default" w:ascii="Times New Roman" w:hAnsi="Times New Roman" w:eastAsia="仿宋_GB2312" w:cs="Times New Roman"/>
          <w:b w:val="0"/>
          <w:bCs w:val="0"/>
          <w:kern w:val="2"/>
          <w:sz w:val="32"/>
          <w:szCs w:val="32"/>
          <w:highlight w:val="none"/>
          <w:lang w:val="en-US" w:eastAsia="zh-CN" w:bidi="ar-SA"/>
        </w:rPr>
        <w:t>，项目资金到位</w:t>
      </w:r>
      <w:r>
        <w:rPr>
          <w:rFonts w:hint="eastAsia" w:ascii="Times New Roman" w:hAnsi="Times New Roman" w:eastAsia="仿宋_GB2312" w:cs="Times New Roman"/>
          <w:b w:val="0"/>
          <w:bCs w:val="0"/>
          <w:kern w:val="2"/>
          <w:sz w:val="32"/>
          <w:szCs w:val="32"/>
          <w:highlight w:val="none"/>
          <w:lang w:val="en-US" w:eastAsia="zh-CN" w:bidi="ar-SA"/>
        </w:rPr>
        <w:t>115</w:t>
      </w:r>
      <w:r>
        <w:rPr>
          <w:rFonts w:hint="default" w:ascii="Times New Roman" w:hAnsi="Times New Roman" w:eastAsia="仿宋_GB2312" w:cs="Times New Roman"/>
          <w:b w:val="0"/>
          <w:bCs w:val="0"/>
          <w:kern w:val="2"/>
          <w:sz w:val="32"/>
          <w:szCs w:val="32"/>
          <w:highlight w:val="none"/>
          <w:lang w:val="en-US" w:eastAsia="zh-CN" w:bidi="ar-SA"/>
        </w:rPr>
        <w:t>万元，用于支付项目实施进程中的各项费用。</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1、总体目标</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(1)对厅中心机房网络安全进行实时监测维护。</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(2)加大对全区农业应急指挥调度视频会议系统保障力度，确保及时调度视频会议。</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(3)加大农业信息宣传的力度，完善健全农业信息宣传制度，加强农业信息宣传工作队伍建设，提高农业信息影响力度。</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(4)提高对农业农村大数据治理、挖掘、分析能力。</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(5)出版发行《新疆农业科技》（汉文版），加大农业专业性宣传力度，做好意识形态前沿宣传。</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2、阶段性目标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（1）前期准备：通过制定项目实施方案，经项目负责人审核通过后，有序开展后续工作。</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（2）组织实施：资金一到位，立即根据项目要求实施项目。项目责任人按照项目实施方案要求逐一进行项目部署安排，提高项目质量及效率性。</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1、绩效评价的目的</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（2）项目绩效管理财政支出运行提供及时、有效的信息。</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综合来看，通过开展有效的财政支出绩效评价管理，达到改进预算管理、控制节约成本，提高预算资金使用效益的目的。</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2、绩效评价的对象</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自治区农业生产发展资金（农业信息服务）项目所包含的全部项目建设内容。</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3、绩效评价的范围</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自治区农业生产发展资金（农业信息服务）项目的决策、过程、产出、效益等。</w:t>
      </w:r>
    </w:p>
    <w:p>
      <w:pPr>
        <w:keepNext w:val="0"/>
        <w:keepLines w:val="0"/>
        <w:pageBreakBefore w:val="0"/>
        <w:kinsoku/>
        <w:wordWrap/>
        <w:overflowPunct/>
        <w:topLinePunct w:val="0"/>
        <w:autoSpaceDE/>
        <w:autoSpaceDN/>
        <w:bidi w:val="0"/>
        <w:adjustRightInd/>
        <w:snapToGrid/>
        <w:spacing w:line="600" w:lineRule="exact"/>
        <w:ind w:left="0" w:firstLine="643" w:firstLineChars="200"/>
        <w:textAlignment w:val="auto"/>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确定各个指标相对于项目总体绩效的权重分值。在绩效评价指标体系中，项目决策权重为5分，项目过程权重为5分，项目产出权重为50分，项目效益权重为40分。</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（1）比较法</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（2）因素分析法</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绩效评价标准通常包括计划标准、行业标准、历史标准等，用于对绩效指标完成情况进行比较。本次评价主要采用了计划标准和行业标准。</w:t>
      </w:r>
    </w:p>
    <w:p>
      <w:pPr>
        <w:pStyle w:val="2"/>
        <w:ind w:firstLine="643" w:firstLineChars="200"/>
        <w:jc w:val="both"/>
        <w:rPr>
          <w:rFonts w:hint="eastAsia" w:ascii="Times New Roman" w:hAnsi="Times New Roman" w:eastAsia="楷体_GB2312" w:cs="Times New Roman"/>
          <w:highlight w:val="none"/>
          <w:lang w:val="en-US" w:eastAsia="zh-CN"/>
        </w:rPr>
      </w:pPr>
      <w:r>
        <w:rPr>
          <w:rFonts w:hint="eastAsia" w:ascii="Times New Roman" w:hAnsi="Times New Roman" w:eastAsia="楷体_GB2312" w:cs="Times New Roman"/>
          <w:highlight w:val="none"/>
          <w:lang w:val="en-US" w:eastAsia="zh-CN"/>
        </w:rPr>
        <w:t>(三)绩效评价工作过程</w:t>
      </w:r>
    </w:p>
    <w:p>
      <w:pPr>
        <w:keepNext w:val="0"/>
        <w:keepLines w:val="0"/>
        <w:pageBreakBefore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_GB2312"/>
          <w:bCs/>
          <w:color w:val="auto"/>
          <w:sz w:val="32"/>
          <w:szCs w:val="32"/>
          <w:highlight w:val="none"/>
        </w:rPr>
      </w:pPr>
      <w:r>
        <w:rPr>
          <w:rFonts w:hint="eastAsia" w:ascii="Times New Roman" w:hAnsi="Times New Roman"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_GB2312"/>
          <w:bCs/>
          <w:color w:val="auto"/>
          <w:sz w:val="32"/>
          <w:szCs w:val="32"/>
          <w:highlight w:val="none"/>
        </w:rPr>
      </w:pPr>
      <w:r>
        <w:rPr>
          <w:rFonts w:hint="eastAsia" w:ascii="Times New Roman" w:hAnsi="Times New Roman"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color w:val="auto"/>
          <w:sz w:val="32"/>
          <w:szCs w:val="32"/>
          <w:highlight w:val="none"/>
          <w:lang w:val="en-US" w:eastAsia="zh-CN"/>
        </w:rPr>
      </w:pPr>
      <w:r>
        <w:rPr>
          <w:rFonts w:hint="eastAsia" w:ascii="Times New Roman" w:hAnsi="Times New Roman"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640" w:firstLineChars="200"/>
        <w:jc w:val="both"/>
        <w:textAlignment w:val="auto"/>
        <w:outlineLvl w:val="9"/>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b w:val="0"/>
          <w:bCs w:val="0"/>
          <w:highlight w:val="none"/>
        </w:rPr>
        <w:t>对</w:t>
      </w:r>
      <w:r>
        <w:rPr>
          <w:rFonts w:hint="default" w:ascii="Times New Roman" w:hAnsi="Times New Roman" w:eastAsia="仿宋_GB2312" w:cs="Times New Roman"/>
          <w:b w:val="0"/>
          <w:bCs w:val="0"/>
          <w:highlight w:val="none"/>
          <w:lang w:val="en-US" w:eastAsia="zh-CN"/>
        </w:rPr>
        <w:t>自治区农业生产发展资金</w:t>
      </w:r>
      <w:r>
        <w:rPr>
          <w:rFonts w:hint="default" w:ascii="Times New Roman" w:hAnsi="Times New Roman" w:eastAsia="仿宋_GB2312" w:cs="Times New Roman"/>
          <w:b w:val="0"/>
          <w:bCs w:val="0"/>
          <w:highlight w:val="none"/>
        </w:rPr>
        <w:t xml:space="preserve">项目进行客观评价，最终评分结果：总得分为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分，属于“优”。其中，项目决策类指标权重为5分，得分为 </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%。项目过程类指标权重为5分，得分为</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%。项目产出类指标权重为50分，得分为</w:t>
      </w:r>
      <w:r>
        <w:rPr>
          <w:rFonts w:hint="eastAsia" w:ascii="Times New Roman" w:hAnsi="Times New Roman" w:eastAsia="仿宋_GB2312" w:cs="Times New Roman"/>
          <w:b w:val="0"/>
          <w:bCs w:val="0"/>
          <w:highlight w:val="none"/>
          <w:lang w:val="en-US" w:eastAsia="zh-CN"/>
        </w:rPr>
        <w:t>50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pPr>
        <w:pStyle w:val="2"/>
        <w:rPr>
          <w:rFonts w:hint="default" w:ascii="Times New Roman" w:hAnsi="Times New Roman" w:eastAsia="仿宋_GB2312" w:cs="Times New Roman"/>
          <w:sz w:val="30"/>
          <w:szCs w:val="30"/>
          <w:highlight w:val="none"/>
        </w:rPr>
      </w:pPr>
    </w:p>
    <w:p>
      <w:pPr>
        <w:pStyle w:val="2"/>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sz w:val="30"/>
          <w:szCs w:val="30"/>
          <w:highlight w:val="none"/>
        </w:rPr>
        <w:t>表</w:t>
      </w:r>
      <w:r>
        <w:rPr>
          <w:rFonts w:hint="default" w:ascii="Times New Roman" w:hAnsi="Times New Roman" w:eastAsia="仿宋_GB2312" w:cs="Times New Roman"/>
          <w:sz w:val="30"/>
          <w:szCs w:val="30"/>
          <w:highlight w:val="none"/>
          <w:lang w:val="en-US" w:eastAsia="zh-CN"/>
        </w:rPr>
        <w:t>1</w:t>
      </w:r>
      <w:r>
        <w:rPr>
          <w:rFonts w:hint="default" w:ascii="Times New Roman" w:hAnsi="Times New Roman" w:eastAsia="仿宋_GB2312" w:cs="Times New Roman"/>
          <w:sz w:val="30"/>
          <w:szCs w:val="30"/>
          <w:highlight w:val="none"/>
        </w:rPr>
        <w:t>综合评分表</w:t>
      </w:r>
    </w:p>
    <w:p>
      <w:pPr>
        <w:rPr>
          <w:rFonts w:hint="default" w:ascii="Times New Roman" w:hAnsi="Times New Roman" w:cs="Times New Roman"/>
          <w:highlight w:val="none"/>
        </w:rPr>
      </w:pPr>
    </w:p>
    <w:p>
      <w:pPr>
        <w:rPr>
          <w:rFonts w:hint="default" w:ascii="Times New Roman" w:hAnsi="Times New Roman" w:cs="Times New Roman"/>
          <w:highlight w:val="none"/>
        </w:rPr>
      </w:pPr>
    </w:p>
    <w:tbl>
      <w:tblPr>
        <w:tblStyle w:val="10"/>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一级指标</w:t>
            </w:r>
          </w:p>
        </w:tc>
        <w:tc>
          <w:tcPr>
            <w:tcW w:w="990"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分值</w:t>
            </w:r>
          </w:p>
        </w:tc>
        <w:tc>
          <w:tcPr>
            <w:tcW w:w="1283"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二级指标</w:t>
            </w:r>
          </w:p>
        </w:tc>
        <w:tc>
          <w:tcPr>
            <w:tcW w:w="170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三级指标</w:t>
            </w:r>
          </w:p>
        </w:tc>
        <w:tc>
          <w:tcPr>
            <w:tcW w:w="72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决策　</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项目立项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立项依据</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充分性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0.5</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充分</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充分</w:t>
            </w:r>
          </w:p>
        </w:tc>
        <w:tc>
          <w:tcPr>
            <w:tcW w:w="1215"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立项程序</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规范性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0.5</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规范</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规范</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lang w:val="en-US"/>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合理</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合理</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绩效指标</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明确性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明确</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明确</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资金投入</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预算编制</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科学</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科学</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资金分配</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合理</w:t>
            </w:r>
          </w:p>
        </w:tc>
        <w:tc>
          <w:tcPr>
            <w:tcW w:w="92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合理</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过程</w:t>
            </w:r>
          </w:p>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kern w:val="0"/>
                <w:sz w:val="22"/>
                <w:szCs w:val="22"/>
                <w:highlight w:val="none"/>
              </w:rPr>
              <w:t>5分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资金使用</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合规性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合格</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合格</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组织实施</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管理制度</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健全</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健全</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制度执行</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有效</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cs="Times New Roman"/>
                <w:color w:val="000000"/>
                <w:kern w:val="0"/>
                <w:sz w:val="22"/>
                <w:szCs w:val="22"/>
                <w:highlight w:val="none"/>
                <w:lang w:val="en-US" w:eastAsia="zh-CN"/>
              </w:rPr>
              <w:t>有效</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kern w:val="0"/>
                <w:sz w:val="22"/>
                <w:szCs w:val="22"/>
                <w:highlight w:val="none"/>
              </w:rPr>
              <w:t>50分</w:t>
            </w: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产出数量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产出质量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产出时效</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15</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及时</w:t>
            </w:r>
          </w:p>
        </w:tc>
        <w:tc>
          <w:tcPr>
            <w:tcW w:w="92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及时</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产出成本</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eastAsia"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40分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项目效益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实施效益</w:t>
            </w:r>
          </w:p>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30</w:t>
            </w:r>
          </w:p>
        </w:tc>
        <w:tc>
          <w:tcPr>
            <w:tcW w:w="1044"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有效</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有效</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满意度</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c>
          <w:tcPr>
            <w:tcW w:w="1044"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w:t>
            </w:r>
            <w:r>
              <w:rPr>
                <w:rFonts w:hint="eastAsia" w:cs="Times New Roman"/>
                <w:color w:val="000000"/>
                <w:kern w:val="0"/>
                <w:sz w:val="22"/>
                <w:szCs w:val="22"/>
                <w:highlight w:val="none"/>
                <w:lang w:val="en-US" w:eastAsia="zh-CN"/>
              </w:rPr>
              <w:t>95</w:t>
            </w:r>
            <w:r>
              <w:rPr>
                <w:rFonts w:hint="default" w:ascii="Times New Roman" w:hAnsi="Times New Roman" w:cs="Times New Roman"/>
                <w:color w:val="000000"/>
                <w:kern w:val="0"/>
                <w:sz w:val="22"/>
                <w:szCs w:val="22"/>
                <w:highlight w:val="none"/>
                <w:lang w:val="en-US" w:eastAsia="zh-CN"/>
              </w:rPr>
              <w:t>%</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95</w:t>
            </w:r>
            <w:r>
              <w:rPr>
                <w:rFonts w:hint="default" w:ascii="Times New Roman" w:hAnsi="Times New Roman" w:cs="Times New Roman"/>
                <w:color w:val="000000"/>
                <w:kern w:val="0"/>
                <w:sz w:val="22"/>
                <w:szCs w:val="22"/>
                <w:highlight w:val="none"/>
                <w:lang w:val="en-US" w:eastAsia="zh-CN"/>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eastAsia"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w:t>
            </w:r>
          </w:p>
        </w:tc>
      </w:tr>
    </w:tbl>
    <w:p>
      <w:pPr>
        <w:spacing w:line="600" w:lineRule="exact"/>
        <w:ind w:firstLine="320" w:firstLineChars="1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2"/>
        <w:ind w:firstLine="321" w:firstLineChars="1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spacing w:line="600" w:lineRule="exact"/>
        <w:ind w:firstLine="640" w:firstLineChars="200"/>
        <w:outlineLvl w:val="0"/>
        <w:rPr>
          <w:rFonts w:hint="default" w:ascii="Times New Roman" w:hAnsi="Times New Roman" w:cs="Times New Roman"/>
          <w:highlight w:val="none"/>
        </w:rPr>
      </w:pPr>
      <w:r>
        <w:rPr>
          <w:rFonts w:hint="eastAsia" w:ascii="仿宋_GB2312" w:hAnsi="仿宋_GB2312" w:eastAsia="仿宋_GB2312" w:cs="仿宋_GB2312"/>
          <w:sz w:val="32"/>
          <w:szCs w:val="32"/>
          <w:highlight w:val="none"/>
        </w:rPr>
        <w:t>项目立项符合法律法规、相关政策及部门职责，能反映和考核项目立项依据情况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项目申请、设立过程符合相关要求，能反映和考核项目立项的规范情况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所设定的绩效目标依据充分，符合客观实际，能反映和考核项目绩效目标与项目实施的相符情况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依据绩效目标设定的绩效指标清晰、细化、可衡量，能反映和考核项目绩效目标的明细化情况</w:t>
      </w:r>
      <w:r>
        <w:rPr>
          <w:rFonts w:hint="eastAsia" w:ascii="仿宋_GB2312" w:hAnsi="仿宋_GB2312" w:eastAsia="仿宋_GB2312" w:cs="仿宋_GB2312"/>
          <w:sz w:val="32"/>
          <w:szCs w:val="32"/>
          <w:highlight w:val="none"/>
          <w:lang w:eastAsia="zh-CN"/>
        </w:rPr>
        <w:t>。</w:t>
      </w:r>
    </w:p>
    <w:p>
      <w:pPr>
        <w:pStyle w:val="2"/>
        <w:numPr>
          <w:ilvl w:val="0"/>
          <w:numId w:val="3"/>
        </w:numPr>
        <w:ind w:firstLine="321" w:firstLineChars="100"/>
        <w:jc w:val="both"/>
        <w:rPr>
          <w:rFonts w:hint="default" w:ascii="Times New Roman" w:hAnsi="Times New Roman" w:cs="Times New Roman"/>
          <w:highlight w:val="none"/>
        </w:rPr>
      </w:pPr>
      <w:r>
        <w:rPr>
          <w:rFonts w:hint="default" w:ascii="Times New Roman" w:hAnsi="Times New Roman" w:eastAsia="楷体_GB2312" w:cs="Times New Roman"/>
          <w:highlight w:val="none"/>
        </w:rPr>
        <w:t>项目过程情况</w:t>
      </w:r>
    </w:p>
    <w:p>
      <w:pPr>
        <w:numPr>
          <w:ilvl w:val="0"/>
          <w:numId w:val="0"/>
        </w:num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rPr>
          <w:rFonts w:hint="default" w:ascii="Times New Roman" w:hAnsi="Times New Roman" w:cs="Times New Roman"/>
          <w:highlight w:val="none"/>
        </w:rPr>
      </w:pPr>
    </w:p>
    <w:p>
      <w:pPr>
        <w:pStyle w:val="3"/>
        <w:numPr>
          <w:ilvl w:val="0"/>
          <w:numId w:val="3"/>
        </w:numPr>
        <w:ind w:firstLine="321" w:firstLineChars="1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default" w:ascii="Times New Roman" w:hAnsi="Times New Roman" w:eastAsia="仿宋" w:cs="Times New Roman"/>
          <w:b w:val="0"/>
          <w:bCs/>
          <w:spacing w:val="-4"/>
          <w:sz w:val="32"/>
          <w:szCs w:val="32"/>
          <w:highlight w:val="none"/>
        </w:rPr>
      </w:pPr>
      <w:r>
        <w:rPr>
          <w:rStyle w:val="9"/>
          <w:rFonts w:hint="default" w:ascii="Times New Roman" w:hAnsi="Times New Roman" w:eastAsia="仿宋" w:cs="Times New Roman"/>
          <w:b w:val="0"/>
          <w:bCs/>
          <w:spacing w:val="-4"/>
          <w:sz w:val="32"/>
          <w:szCs w:val="32"/>
          <w:highlight w:val="none"/>
        </w:rPr>
        <w:t>数量指标方面：</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a:全年出版发行《新疆农业科技》杂志数量指标，指标值为6期，实际完成6期，完成率100%；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 xml:space="preserve"> b：保障全厅各类视频次数指标，指标值为&gt;=200次，实际完成200次，完成率100%；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c:攻防演练次数数量指标，指标值为&gt;=1个，实际完成1个，完成率100%；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d:负责农业信息宣传工作，并发布信息数量指标，指标值为&gt;=1500条，实际完成1500条，完成率100%；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1"/>
          <w:rFonts w:hint="default" w:ascii="Times New Roman" w:hAnsi="Times New Roman" w:cs="Times New Roman"/>
          <w:color w:val="auto"/>
          <w:highlight w:val="none"/>
        </w:rPr>
      </w:pPr>
      <w:r>
        <w:rPr>
          <w:rStyle w:val="11"/>
          <w:rFonts w:hint="default" w:ascii="Times New Roman" w:hAnsi="Times New Roman" w:cs="Times New Roman"/>
          <w:color w:val="auto"/>
          <w:highlight w:val="none"/>
        </w:rPr>
        <w:t>质量指标方面：</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a:攻防演练合格率质量指标，指标值为合格率达100%，实际完成100%，完成率100%；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b:厅中心机房设备故障率质量指标，指标值为&lt;=5%，实际完成＜5%，完成率100%；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c:各类视频会议保障事故率质量指标，指标值为&lt;=5%，实际完成＜5%，完成率100%；</w:t>
      </w:r>
    </w:p>
    <w:p>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Style w:val="11"/>
          <w:rFonts w:hint="default" w:ascii="Times New Roman" w:hAnsi="Times New Roman" w:cs="Times New Roman"/>
          <w:b w:val="0"/>
          <w:bCs w:val="0"/>
          <w:color w:val="auto"/>
          <w:highlight w:val="none"/>
          <w:lang w:val="en-US" w:eastAsia="zh-CN"/>
        </w:rPr>
      </w:pPr>
      <w:r>
        <w:rPr>
          <w:rStyle w:val="11"/>
          <w:rFonts w:hint="default" w:ascii="Times New Roman" w:hAnsi="Times New Roman" w:cs="Times New Roman"/>
          <w:b w:val="0"/>
          <w:bCs w:val="0"/>
          <w:color w:val="auto"/>
          <w:highlight w:val="none"/>
          <w:lang w:val="en-US" w:eastAsia="zh-CN"/>
        </w:rPr>
        <w:t>成本指标方面：</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a:厅中心机房运行维护和网络安全攻防演练应急处置服务，指标值为&lt;=40万元，实际完成40万元，完成率100%；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b:视频会议保障服务费，指标值为&lt;=50万元，实际完成50万元，完成率100%；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c:厅门户网站运维、适老化改造及网站日常检测技术服务费，指标值为&lt;=21万元，实际完成21万元，完成率100%；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b w:val="0"/>
          <w:bCs w:val="0"/>
          <w:kern w:val="2"/>
          <w:sz w:val="32"/>
          <w:szCs w:val="32"/>
          <w:highlight w:val="none"/>
          <w:lang w:val="en-US" w:eastAsia="zh-CN" w:bidi="ar-SA"/>
        </w:rPr>
      </w:pPr>
      <w:r>
        <w:rPr>
          <w:rFonts w:hint="eastAsia" w:eastAsia="仿宋_GB2312" w:cs="Times New Roman"/>
          <w:b w:val="0"/>
          <w:bCs w:val="0"/>
          <w:kern w:val="2"/>
          <w:sz w:val="32"/>
          <w:szCs w:val="32"/>
          <w:highlight w:val="none"/>
          <w:lang w:val="en-US" w:eastAsia="zh-CN" w:bidi="ar-SA"/>
        </w:rPr>
        <w:t>d：《新疆农业科技》杂志印刷成本，</w:t>
      </w:r>
      <w:r>
        <w:rPr>
          <w:rFonts w:hint="eastAsia" w:ascii="Times New Roman" w:hAnsi="Times New Roman" w:eastAsia="仿宋_GB2312" w:cs="Times New Roman"/>
          <w:b w:val="0"/>
          <w:bCs w:val="0"/>
          <w:kern w:val="2"/>
          <w:sz w:val="32"/>
          <w:szCs w:val="32"/>
          <w:highlight w:val="none"/>
          <w:lang w:val="en-US" w:eastAsia="zh-CN" w:bidi="ar-SA"/>
        </w:rPr>
        <w:t>指标值为</w:t>
      </w:r>
      <w:r>
        <w:rPr>
          <w:rFonts w:hint="eastAsia" w:eastAsia="仿宋_GB2312" w:cs="Times New Roman"/>
          <w:b w:val="0"/>
          <w:bCs w:val="0"/>
          <w:kern w:val="2"/>
          <w:sz w:val="32"/>
          <w:szCs w:val="32"/>
          <w:highlight w:val="none"/>
          <w:lang w:val="en-US" w:eastAsia="zh-CN" w:bidi="ar-SA"/>
        </w:rPr>
        <w:t>&lt;=4万元，实际完成4万元，完成率100%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1"/>
          <w:rFonts w:hint="default" w:ascii="Times New Roman" w:hAnsi="Times New Roman" w:cs="Times New Roman"/>
          <w:color w:val="auto"/>
          <w:highlight w:val="none"/>
          <w:lang w:val="en-US" w:eastAsia="zh-CN"/>
        </w:rPr>
      </w:pPr>
      <w:r>
        <w:rPr>
          <w:rStyle w:val="11"/>
          <w:rFonts w:hint="eastAsia" w:cs="Times New Roman"/>
          <w:color w:val="auto"/>
          <w:highlight w:val="none"/>
          <w:lang w:val="en-US" w:eastAsia="zh-CN"/>
        </w:rPr>
        <w:t>效益</w:t>
      </w:r>
      <w:r>
        <w:rPr>
          <w:rStyle w:val="11"/>
          <w:rFonts w:hint="default" w:ascii="Times New Roman" w:hAnsi="Times New Roman" w:cs="Times New Roman"/>
          <w:color w:val="auto"/>
          <w:highlight w:val="none"/>
          <w:lang w:val="en-US" w:eastAsia="zh-CN"/>
        </w:rPr>
        <w:t>指标方面：</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a:保障全区农业农村系统视频会议通畅，指标值为完成100%，实际完成100%，完成率100%；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b:拓宽农业信息宣传渠道，提高信息服务质量，指标值为完成100%，实际完成100%，完成率100%；</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c:保障全厅网络安全，避免发生网络安全事件，指标值为有效保障，实际完成保障1年，完成率100%；</w:t>
      </w:r>
    </w:p>
    <w:p>
      <w:pPr>
        <w:pageBreakBefore w:val="0"/>
        <w:kinsoku/>
        <w:wordWrap/>
        <w:overflowPunct/>
        <w:topLinePunct w:val="0"/>
        <w:autoSpaceDE/>
        <w:autoSpaceDN/>
        <w:bidi w:val="0"/>
        <w:adjustRightInd/>
        <w:snapToGrid/>
        <w:spacing w:line="600" w:lineRule="exact"/>
        <w:ind w:firstLine="640" w:firstLineChars="200"/>
        <w:textAlignment w:val="auto"/>
        <w:rPr>
          <w:rStyle w:val="11"/>
          <w:rFonts w:hint="default" w:ascii="Times New Roman" w:hAnsi="Times New Roman" w:cs="Times New Roman"/>
          <w:color w:val="auto"/>
          <w:highlight w:val="none"/>
        </w:rPr>
      </w:pPr>
      <w:r>
        <w:rPr>
          <w:rStyle w:val="11"/>
          <w:rFonts w:hint="default" w:ascii="Times New Roman" w:hAnsi="Times New Roman" w:cs="Times New Roman"/>
          <w:color w:val="auto"/>
          <w:highlight w:val="none"/>
        </w:rPr>
        <w:t>满意度指标方面：</w:t>
      </w:r>
    </w:p>
    <w:p>
      <w:pPr>
        <w:pStyle w:val="2"/>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a:厅属各单位对信息中心运维服务满意度，指标值为&gt;=90%，实际完成90%，完成率100%；</w:t>
      </w:r>
    </w:p>
    <w:p>
      <w:pPr>
        <w:pageBreakBefore w:val="0"/>
        <w:kinsoku/>
        <w:wordWrap/>
        <w:overflowPunct/>
        <w:topLinePunct w:val="0"/>
        <w:autoSpaceDE/>
        <w:autoSpaceDN/>
        <w:bidi w:val="0"/>
        <w:adjustRightInd/>
        <w:snapToGrid/>
        <w:spacing w:line="600" w:lineRule="exact"/>
        <w:ind w:firstLine="640" w:firstLineChars="200"/>
        <w:textAlignment w:val="auto"/>
        <w:rPr>
          <w:rStyle w:val="11"/>
          <w:rFonts w:hint="default" w:ascii="Times New Roman" w:hAnsi="Times New Roman" w:cs="Times New Roman"/>
          <w:color w:val="auto"/>
          <w:highlight w:val="none"/>
        </w:rPr>
      </w:pPr>
      <w:r>
        <w:rPr>
          <w:rFonts w:hint="default" w:ascii="Times New Roman" w:hAnsi="Times New Roman" w:eastAsia="黑体" w:cs="Times New Roman"/>
          <w:sz w:val="32"/>
          <w:szCs w:val="32"/>
          <w:highlight w:val="none"/>
        </w:rPr>
        <w:t>五、主要经验及做法、存在的问题及原因分析</w:t>
      </w:r>
    </w:p>
    <w:p>
      <w:pPr>
        <w:pageBreakBefore w:val="0"/>
        <w:kinsoku/>
        <w:wordWrap/>
        <w:overflowPunct/>
        <w:topLinePunct w:val="0"/>
        <w:autoSpaceDE/>
        <w:autoSpaceDN/>
        <w:bidi w:val="0"/>
        <w:adjustRightInd/>
        <w:snapToGrid/>
        <w:spacing w:line="600" w:lineRule="exact"/>
        <w:ind w:firstLine="627" w:firstLineChars="200"/>
        <w:textAlignment w:val="auto"/>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pageBreakBefore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4"/>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pPr>
        <w:pStyle w:val="2"/>
        <w:pageBreakBefore w:val="0"/>
        <w:numPr>
          <w:ilvl w:val="0"/>
          <w:numId w:val="0"/>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仿宋_GB2312" w:cs="Times New Roman"/>
          <w:b w:val="0"/>
          <w:bCs w:val="0"/>
          <w:kern w:val="2"/>
          <w:highlight w:val="none"/>
          <w:lang w:val="en-US" w:eastAsia="zh-CN"/>
        </w:rPr>
      </w:pPr>
      <w:r>
        <w:rPr>
          <w:rFonts w:hint="default" w:ascii="Times New Roman" w:hAnsi="Times New Roman" w:eastAsia="仿宋_GB2312" w:cs="Times New Roman"/>
          <w:b w:val="0"/>
          <w:bCs w:val="0"/>
          <w:kern w:val="2"/>
          <w:highlight w:val="none"/>
        </w:rPr>
        <w:t>存在的问题</w:t>
      </w:r>
      <w:r>
        <w:rPr>
          <w:rFonts w:hint="eastAsia" w:ascii="Times New Roman" w:hAnsi="Times New Roman" w:eastAsia="仿宋_GB2312" w:cs="Times New Roman"/>
          <w:b w:val="0"/>
          <w:bCs w:val="0"/>
          <w:kern w:val="2"/>
          <w:highlight w:val="none"/>
          <w:lang w:val="en-US" w:eastAsia="zh-CN"/>
        </w:rPr>
        <w:t>及</w:t>
      </w:r>
      <w:r>
        <w:rPr>
          <w:rFonts w:hint="default" w:ascii="Times New Roman" w:hAnsi="Times New Roman" w:eastAsia="仿宋_GB2312" w:cs="Times New Roman"/>
          <w:b w:val="0"/>
          <w:bCs w:val="0"/>
          <w:kern w:val="2"/>
          <w:highlight w:val="none"/>
        </w:rPr>
        <w:t>原因分析</w:t>
      </w:r>
      <w:r>
        <w:rPr>
          <w:rFonts w:hint="eastAsia" w:ascii="Times New Roman" w:hAnsi="Times New Roman" w:eastAsia="仿宋_GB2312" w:cs="Times New Roman"/>
          <w:b w:val="0"/>
          <w:bCs w:val="0"/>
          <w:kern w:val="2"/>
          <w:highlight w:val="none"/>
          <w:lang w:eastAsia="zh-CN"/>
        </w:rPr>
        <w:t>：</w:t>
      </w:r>
      <w:r>
        <w:rPr>
          <w:rFonts w:hint="eastAsia" w:ascii="Times New Roman" w:hAnsi="Times New Roman" w:eastAsia="仿宋_GB2312" w:cs="Times New Roman"/>
          <w:b w:val="0"/>
          <w:bCs w:val="0"/>
          <w:kern w:val="2"/>
          <w:highlight w:val="none"/>
          <w:lang w:val="en-US" w:eastAsia="zh-CN"/>
        </w:rPr>
        <w:t>无</w:t>
      </w:r>
    </w:p>
    <w:p>
      <w:pPr>
        <w:pageBreakBefore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有关建议</w:t>
      </w:r>
    </w:p>
    <w:p>
      <w:pPr>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highlight w:val="none"/>
        </w:rPr>
      </w:pPr>
      <w:r>
        <w:rPr>
          <w:rFonts w:hint="eastAsia" w:ascii="仿宋_GB2312" w:hAnsi="仿宋_GB2312" w:eastAsia="仿宋_GB2312" w:cs="仿宋_GB2312"/>
          <w:sz w:val="32"/>
          <w:szCs w:val="28"/>
          <w:highlight w:val="none"/>
        </w:rPr>
        <w:t>进一步加强对绩效管理工作的组织领导，提高对预算绩效管理工作重要性的认识，总结经验查找问题，抓紧研究制定更全面更完善的绩效评价管理办法。结合绩效工作考核制度，加大全局对全面实施预算绩效管理和绩效管理工作的学习力度，让“花钱必问效，无效必问责”的理念深入工作每个环节。</w:t>
      </w:r>
    </w:p>
    <w:p>
      <w:pPr>
        <w:pageBreakBefore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w:t>
      </w:r>
      <w:bookmarkStart w:id="2" w:name="page8"/>
      <w:bookmarkEnd w:id="2"/>
      <w:r>
        <w:rPr>
          <w:rFonts w:hint="default" w:ascii="Times New Roman" w:hAnsi="Times New Roman" w:eastAsia="黑体" w:cs="Times New Roman"/>
          <w:sz w:val="32"/>
          <w:szCs w:val="32"/>
          <w:highlight w:val="none"/>
        </w:rPr>
        <w:t>明的问题</w:t>
      </w:r>
    </w:p>
    <w:p>
      <w:pPr>
        <w:pStyle w:val="7"/>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无</w:t>
      </w:r>
    </w:p>
    <w:p>
      <w:pPr>
        <w:pStyle w:val="2"/>
        <w:jc w:val="both"/>
        <w:rPr>
          <w:rFonts w:hint="default" w:ascii="Times New Roman" w:hAnsi="Times New Roman" w:cs="Times New Roman"/>
          <w:highlight w:val="none"/>
        </w:rPr>
      </w:pPr>
      <w:bookmarkStart w:id="3" w:name="_GoBack"/>
      <w:bookmarkEnd w:id="3"/>
    </w:p>
    <w:p>
      <w:pPr>
        <w:rPr>
          <w:rFonts w:hint="default"/>
        </w:rPr>
        <w:sectPr>
          <w:footerReference r:id="rId3" w:type="default"/>
          <w:pgSz w:w="11906" w:h="16838"/>
          <w:pgMar w:top="1440" w:right="1558" w:bottom="1440" w:left="1800" w:header="851" w:footer="992" w:gutter="0"/>
          <w:cols w:space="425" w:num="1"/>
          <w:docGrid w:type="lines" w:linePitch="312" w:charSpace="0"/>
        </w:sectPr>
      </w:pPr>
      <w:r>
        <w:drawing>
          <wp:inline distT="0" distB="0" distL="114300" distR="114300">
            <wp:extent cx="5419725" cy="6075045"/>
            <wp:effectExtent l="0" t="0" r="952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419725" cy="6075045"/>
                    </a:xfrm>
                    <a:prstGeom prst="rect">
                      <a:avLst/>
                    </a:prstGeom>
                    <a:noFill/>
                    <a:ln>
                      <a:noFill/>
                    </a:ln>
                  </pic:spPr>
                </pic:pic>
              </a:graphicData>
            </a:graphic>
          </wp:inline>
        </w:drawing>
      </w:r>
    </w:p>
    <w:p>
      <w:pPr>
        <w:spacing w:line="600" w:lineRule="exact"/>
        <w:rPr>
          <w:rFonts w:hint="default" w:ascii="Times New Roman" w:hAnsi="Times New Roman" w:cs="Times New Roman"/>
          <w:bCs/>
          <w:sz w:val="32"/>
          <w:szCs w:val="32"/>
          <w:highlight w:val="none"/>
          <w:lang w:val="en-US" w:eastAsia="zh-CN"/>
        </w:rPr>
      </w:pPr>
      <w:r>
        <w:rPr>
          <w:rFonts w:hint="default" w:ascii="Times New Roman" w:hAnsi="Times New Roman" w:cs="Times New Roman"/>
          <w:bCs/>
          <w:sz w:val="32"/>
          <w:szCs w:val="32"/>
          <w:highlight w:val="none"/>
          <w:lang w:val="en-US" w:eastAsia="zh-CN"/>
        </w:rPr>
        <w:t>附件1</w:t>
      </w:r>
    </w:p>
    <w:tbl>
      <w:tblPr>
        <w:tblStyle w:val="10"/>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一级指标</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二级指标</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三级指标</w:t>
            </w:r>
          </w:p>
        </w:tc>
        <w:tc>
          <w:tcPr>
            <w:tcW w:w="235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指标解释</w:t>
            </w:r>
          </w:p>
        </w:tc>
        <w:tc>
          <w:tcPr>
            <w:tcW w:w="5188"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default" w:ascii="Times New Roman" w:hAnsi="Times New Roman" w:eastAsia="宋体" w:cs="Times New Roman"/>
                <w:b/>
                <w:bCs/>
                <w:color w:val="000000"/>
                <w:kern w:val="0"/>
                <w:sz w:val="22"/>
                <w:szCs w:val="22"/>
                <w:highlight w:val="none"/>
              </w:rPr>
              <w:t>指标说明</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权重</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决策　</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项目立项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立项依据</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充分性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①项目立项是否符合国家法律法规、国民经济发展规划和相关政策；</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②项目立项是否符合行业发展规划和政策要求；</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③项目立项是否与部门职责范围相符，属于部门履职所需；</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④项目是否属于公共财政支持范围，是否符合中央、地方事权支出责任划分原则；</w:t>
            </w:r>
          </w:p>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0.5</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立项程序</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规范性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①项目是否按照规定的程序申请设立；</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②审批文件、材料是否符合相关要求；</w:t>
            </w:r>
          </w:p>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0.5</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绩效目标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绩效目标</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合理性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（如未设定预算绩效目标，也可考核其他工作任务目标）</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①项目是否有绩效目标；</w:t>
            </w:r>
          </w:p>
          <w:p>
            <w:pPr>
              <w:widowControl/>
              <w:spacing w:line="0" w:lineRule="atLeast"/>
              <w:jc w:val="lef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②项目绩效目标与实际工作内容是否具有相关性；</w:t>
            </w:r>
          </w:p>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③项目预期产出效益和效果是否符合正常的业绩水平；</w:t>
            </w:r>
          </w:p>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决策　</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绩效目标</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绩效指标</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明确性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①是否将项目绩效目标细化分解为具体的绩效指标；</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②是否通过清晰、可衡量的指标值予以体现；</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③是否与项目目标任务数或计划数相对应。</w:t>
            </w:r>
          </w:p>
          <w:p>
            <w:pPr>
              <w:pStyle w:val="2"/>
              <w:rPr>
                <w:rFonts w:hint="eastAsia"/>
                <w:highlight w:val="none"/>
                <w:lang w:eastAsia="zh-CN"/>
              </w:rPr>
            </w:pP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资金投入</w:t>
            </w:r>
          </w:p>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预算编制</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科学性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①预算编制是否经过科学论证；</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②预算内容与项目内容是否匹配；</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③预算额度测算依据是否充分，是否按照标准编制；</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资金分配</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合理性</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①预算资金分配依据是否充分；</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过程</w:t>
            </w: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资金管理</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资金到位率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资金到位率=（实际到位资金/预算资金）×100%。</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实际到位资金：一定时期（本年度或项目期）内落实到具体项目的资金。</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预算执行率</w:t>
            </w:r>
          </w:p>
        </w:tc>
        <w:tc>
          <w:tcPr>
            <w:tcW w:w="2353"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项目预算资金是否按照计划执行，用以反映或考核项目预算执行情况。</w:t>
            </w:r>
          </w:p>
        </w:tc>
        <w:tc>
          <w:tcPr>
            <w:tcW w:w="5188" w:type="dxa"/>
            <w:shd w:val="clear" w:color="auto"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预算执行率=（实际支出资金/实际到位资金）×100%。</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过程　</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资金管理</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资金使用</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合规性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①是否符合国家财经法规和财务管理制度以及有关专项资金管理办法的规定；</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②资金的拨付是否有完整的审批程序和手续；</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③是否符合项目预算批复或合同规定的用途；</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组织实施</w:t>
            </w:r>
          </w:p>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管理制度</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健全性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①是否已制定或具有相应的财务和业务管理制度；</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制度执行</w:t>
            </w:r>
          </w:p>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有效性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评价要点：</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①是否遵守相关法律法规和相关管理规定；</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②项目调整及支出调整手续是否完备；</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③项目合同书、验收报告、技术鉴定等资料是否齐全并及时归档；</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rPr>
            </w:pPr>
            <w:r>
              <w:rPr>
                <w:rFonts w:hint="eastAsia"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产出数量</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实际完成率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实际完成率=（实际产出数/计划产出数）×100%。</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实际产出数：一定时期（本年度或项目期）内项目实际产出的产品或提供的服务数量。</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15</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w:t>
            </w: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产出质量</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质量达标率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质量达标率=（质量达标产出数/实际产出数）×100%。</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p>
        </w:tc>
        <w:tc>
          <w:tcPr>
            <w:tcW w:w="767" w:type="dxa"/>
            <w:shd w:val="clear" w:color="auto" w:fill="FFFFFF"/>
            <w:vAlign w:val="center"/>
          </w:tcPr>
          <w:p>
            <w:pPr>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产出时效</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完成及时性</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实际完成时间：项目实施单位完成该项目实际所耗用的时间。</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15</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767"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产出成本</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成本节约率</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rFonts w:hint="eastAsia" w:ascii="Times New Roman" w:hAnsi="Times New Roman" w:eastAsia="宋体" w:cs="Times New Roman"/>
                <w:color w:val="000000"/>
                <w:kern w:val="0"/>
                <w:sz w:val="22"/>
                <w:szCs w:val="22"/>
                <w:highlight w:val="none"/>
                <w:lang w:eastAsia="zh-CN"/>
              </w:rPr>
            </w:pP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成本节约率=[（计划成本-实际成本）/计划成本]×100%。</w:t>
            </w:r>
          </w:p>
          <w:p>
            <w:pPr>
              <w:widowControl/>
              <w:spacing w:line="0" w:lineRule="atLeast"/>
              <w:rPr>
                <w:rFonts w:hint="eastAsia" w:ascii="Times New Roman" w:hAnsi="Times New Roman" w:eastAsia="宋体" w:cs="Times New Roman"/>
                <w:color w:val="000000"/>
                <w:kern w:val="0"/>
                <w:sz w:val="22"/>
                <w:szCs w:val="22"/>
                <w:highlight w:val="none"/>
                <w:lang w:eastAsia="zh-CN"/>
              </w:rPr>
            </w:pPr>
            <w:r>
              <w:rPr>
                <w:rFonts w:hint="default" w:ascii="Times New Roman" w:hAnsi="Times New Roman" w:eastAsia="宋体" w:cs="Times New Roman"/>
                <w:color w:val="000000"/>
                <w:kern w:val="0"/>
                <w:sz w:val="22"/>
                <w:szCs w:val="22"/>
                <w:highlight w:val="none"/>
              </w:rPr>
              <w:t>实际成本：项目实施单位如期、保质、保量完成既定工作目标实际所耗费的支出。</w:t>
            </w:r>
          </w:p>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效益　</w:t>
            </w:r>
          </w:p>
        </w:tc>
        <w:tc>
          <w:tcPr>
            <w:tcW w:w="767" w:type="dxa"/>
            <w:vMerge w:val="restart"/>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项目效益　</w:t>
            </w: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实施效益</w:t>
            </w:r>
          </w:p>
        </w:tc>
        <w:tc>
          <w:tcPr>
            <w:tcW w:w="2353" w:type="dxa"/>
            <w:shd w:val="clear" w:color="auto" w:fill="FFFFFF"/>
            <w:vAlign w:val="center"/>
          </w:tcPr>
          <w:p>
            <w:pPr>
              <w:widowControl/>
              <w:spacing w:line="0" w:lineRule="atLeast"/>
              <w:jc w:val="lef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项目实施所产生的效益。</w:t>
            </w:r>
          </w:p>
        </w:tc>
        <w:tc>
          <w:tcPr>
            <w:tcW w:w="5188" w:type="dxa"/>
            <w:shd w:val="clear" w:color="auto"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30</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满意度</w:t>
            </w:r>
          </w:p>
        </w:tc>
        <w:tc>
          <w:tcPr>
            <w:tcW w:w="2353"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社会公众或服务对象对项目实施效果的满意程度。</w:t>
            </w:r>
          </w:p>
        </w:tc>
        <w:tc>
          <w:tcPr>
            <w:tcW w:w="5188" w:type="dxa"/>
            <w:shd w:val="clear" w:color="000000" w:fill="FFFFFF"/>
            <w:vAlign w:val="center"/>
          </w:tcPr>
          <w:p>
            <w:pPr>
              <w:widowControl/>
              <w:spacing w:line="0" w:lineRule="atLeast"/>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rPr>
            </w:pPr>
            <w:r>
              <w:rPr>
                <w:rFonts w:hint="eastAsia" w:cs="Times New Roman"/>
                <w:b/>
                <w:bCs/>
                <w:color w:val="000000"/>
                <w:kern w:val="0"/>
                <w:sz w:val="22"/>
                <w:szCs w:val="22"/>
                <w:highlight w:val="none"/>
                <w:lang w:val="en-US" w:eastAsia="zh-CN"/>
              </w:rPr>
              <w:t>10</w:t>
            </w:r>
          </w:p>
        </w:tc>
      </w:tr>
    </w:tbl>
    <w:p>
      <w:pPr>
        <w:pStyle w:val="2"/>
        <w:rPr>
          <w:rFonts w:hint="default" w:ascii="Times New Roman" w:hAnsi="Times New Roman" w:cs="Times New Roman"/>
          <w:highlight w:val="none"/>
          <w:lang w:val="en-US" w:eastAsia="zh-CN"/>
        </w:rPr>
      </w:pPr>
    </w:p>
    <w:p>
      <w:pPr>
        <w:rPr>
          <w:rFonts w:hint="default" w:ascii="Times New Roman" w:hAnsi="Times New Roman" w:cs="Times New Roman"/>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ind w:firstLine="640"/>
        <w:rPr>
          <w:rStyle w:val="9"/>
          <w:rFonts w:hint="default" w:ascii="Times New Roman" w:hAnsi="Times New Roman" w:eastAsia="黑体" w:cs="Times New Roman"/>
          <w:bCs w:val="0"/>
          <w:spacing w:val="-4"/>
          <w:sz w:val="32"/>
          <w:szCs w:val="32"/>
          <w:highlight w:val="none"/>
        </w:rPr>
      </w:pPr>
    </w:p>
    <w:p>
      <w:pPr>
        <w:spacing w:line="540" w:lineRule="exact"/>
        <w:rPr>
          <w:rStyle w:val="9"/>
          <w:rFonts w:hint="default" w:ascii="Times New Roman" w:hAnsi="Times New Roman" w:eastAsia="仿宋" w:cs="Times New Roman"/>
          <w:b w:val="0"/>
          <w:spacing w:val="-4"/>
          <w:sz w:val="32"/>
          <w:szCs w:val="32"/>
          <w:highlight w:val="none"/>
        </w:rPr>
      </w:pPr>
    </w:p>
    <w:p/>
    <w:p/>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38F0C646"/>
    <w:multiLevelType w:val="singleLevel"/>
    <w:tmpl w:val="38F0C646"/>
    <w:lvl w:ilvl="0" w:tentative="0">
      <w:start w:val="1"/>
      <w:numFmt w:val="decimal"/>
      <w:suff w:val="nothing"/>
      <w:lvlText w:val="%1、"/>
      <w:lvlJc w:val="left"/>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7339CC"/>
    <w:rsid w:val="0A5359C2"/>
    <w:rsid w:val="1F8E4AE2"/>
    <w:rsid w:val="307339CC"/>
    <w:rsid w:val="3721734C"/>
    <w:rsid w:val="5F875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Body Text First Indent"/>
    <w:basedOn w:val="4"/>
    <w:qFormat/>
    <w:uiPriority w:val="0"/>
    <w:pPr>
      <w:spacing w:after="0"/>
      <w:ind w:firstLine="200" w:firstLineChars="200"/>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eastAsia="宋体"/>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Body Text First Indent 2"/>
    <w:basedOn w:val="5"/>
    <w:qFormat/>
    <w:uiPriority w:val="0"/>
    <w:pPr>
      <w:ind w:firstLine="420" w:firstLineChars="200"/>
    </w:pPr>
  </w:style>
  <w:style w:type="character" w:styleId="9">
    <w:name w:val="Strong"/>
    <w:basedOn w:val="8"/>
    <w:qFormat/>
    <w:uiPriority w:val="0"/>
    <w:rPr>
      <w:b/>
      <w:bCs/>
    </w:rPr>
  </w:style>
  <w:style w:type="character" w:customStyle="1" w:styleId="11">
    <w:name w:val="fontstyle01"/>
    <w:qFormat/>
    <w:uiPriority w:val="0"/>
    <w:rPr>
      <w:rFonts w:ascii="仿宋_GB2312" w:hAnsi="仿宋_GB2312" w:eastAsia="仿宋_GB2312" w:cs="仿宋_GB2312"/>
      <w:color w:val="000000"/>
      <w:sz w:val="32"/>
      <w:szCs w:val="32"/>
    </w:rPr>
  </w:style>
  <w:style w:type="character" w:customStyle="1" w:styleId="12">
    <w:name w:val="font101"/>
    <w:basedOn w:val="8"/>
    <w:uiPriority w:val="0"/>
    <w:rPr>
      <w:rFonts w:hint="default" w:ascii="Calibri" w:hAnsi="Calibri" w:cs="Calibri"/>
      <w:color w:val="000000"/>
      <w:sz w:val="20"/>
      <w:szCs w:val="20"/>
      <w:u w:val="none"/>
    </w:rPr>
  </w:style>
  <w:style w:type="character" w:customStyle="1" w:styleId="13">
    <w:name w:val="font01"/>
    <w:basedOn w:val="8"/>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156</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2025-03-26T03:49:00Z</dcterms:created>
  <dc:creator>吕真</dc:creator>
  <cp:lastModifiedBy>吕真</cp:lastModifiedBy>
  <dcterms:modified xsi:type="dcterms:W3CDTF">2025-03-26T10:42:32Z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