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5448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32"/>
          <w:szCs w:val="32"/>
        </w:rPr>
      </w:pPr>
    </w:p>
    <w:p w14:paraId="4484297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14:paraId="63A3A6C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14:paraId="36A8B85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14:paraId="13FD732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val="0"/>
          <w:sz w:val="44"/>
          <w:szCs w:val="44"/>
        </w:rPr>
        <w:t>新疆维吾尔自治区农垦经济发展中心</w:t>
      </w:r>
    </w:p>
    <w:p w14:paraId="7D00BD2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val="0"/>
          <w:sz w:val="44"/>
          <w:szCs w:val="44"/>
        </w:rPr>
        <w:t>2024年度部门决算公开说明</w:t>
      </w:r>
    </w:p>
    <w:p w14:paraId="40CFB339">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7F79DFD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rPr>
          <w:rFonts w:ascii="黑体" w:eastAsia="黑体"/>
          <w:sz w:val="32"/>
          <w:szCs w:val="32"/>
        </w:rPr>
      </w:pPr>
      <w:r>
        <w:rPr>
          <w:rFonts w:ascii="黑体" w:eastAsia="黑体"/>
          <w:b/>
          <w:sz w:val="36"/>
          <w:szCs w:val="36"/>
        </w:rPr>
        <w:t>目</w:t>
      </w:r>
      <w:r>
        <w:rPr>
          <w:rFonts w:hint="eastAsia" w:ascii="黑体" w:eastAsia="黑体"/>
          <w:b/>
          <w:sz w:val="36"/>
          <w:szCs w:val="36"/>
          <w:lang w:val="en-US" w:eastAsia="zh-CN"/>
        </w:rPr>
        <w:t xml:space="preserve"> </w:t>
      </w:r>
      <w:r>
        <w:rPr>
          <w:rFonts w:ascii="黑体" w:eastAsia="黑体"/>
          <w:b/>
          <w:sz w:val="36"/>
          <w:szCs w:val="36"/>
        </w:rPr>
        <w:t>录</w:t>
      </w:r>
    </w:p>
    <w:p w14:paraId="2EA824F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14:paraId="1397B61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14:paraId="7014791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14:paraId="7DB82FA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第二部分</w:t>
      </w:r>
      <w:r>
        <w:rPr>
          <w:rFonts w:hint="eastAsia" w:ascii="仿宋_GB2312" w:eastAsia="仿宋_GB2312"/>
          <w:b/>
          <w:sz w:val="32"/>
          <w:szCs w:val="32"/>
          <w:lang w:val="en-US" w:eastAsia="zh-CN"/>
        </w:rPr>
        <w:t xml:space="preserve"> </w:t>
      </w:r>
      <w:r>
        <w:rPr>
          <w:rFonts w:ascii="仿宋_GB2312" w:eastAsia="仿宋_GB2312"/>
          <w:b/>
          <w:sz w:val="32"/>
          <w:szCs w:val="32"/>
        </w:rPr>
        <w:t>部门决算情况说明</w:t>
      </w:r>
    </w:p>
    <w:p w14:paraId="5840919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14:paraId="0578380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14:paraId="50B3CAF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14:paraId="7765857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14:paraId="6D53D85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14:paraId="2513FEB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14:paraId="3881B42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14:paraId="04182F9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14:paraId="20D87CA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14:paraId="089D572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14:paraId="033F388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738F372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14:paraId="772B9FC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14:paraId="48E7EBD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14:paraId="08B541E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14:paraId="368080C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14:paraId="3590459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14:paraId="2E822FA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14:paraId="2BC74E7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第三部分</w:t>
      </w:r>
      <w:r>
        <w:rPr>
          <w:rFonts w:hint="eastAsia" w:ascii="仿宋_GB2312" w:eastAsia="仿宋_GB2312"/>
          <w:b/>
          <w:sz w:val="32"/>
          <w:szCs w:val="32"/>
          <w:lang w:val="en-US" w:eastAsia="zh-CN"/>
        </w:rPr>
        <w:t xml:space="preserve"> </w:t>
      </w:r>
      <w:r>
        <w:rPr>
          <w:rFonts w:ascii="仿宋_GB2312" w:eastAsia="仿宋_GB2312"/>
          <w:b/>
          <w:sz w:val="32"/>
          <w:szCs w:val="32"/>
        </w:rPr>
        <w:t>专业名词解释</w:t>
      </w:r>
    </w:p>
    <w:p w14:paraId="66F330C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第四部分</w:t>
      </w:r>
      <w:r>
        <w:rPr>
          <w:rFonts w:hint="eastAsia" w:ascii="仿宋_GB2312" w:eastAsia="仿宋_GB2312"/>
          <w:b/>
          <w:sz w:val="32"/>
          <w:szCs w:val="32"/>
          <w:lang w:val="en-US" w:eastAsia="zh-CN"/>
        </w:rPr>
        <w:t xml:space="preserve"> </w:t>
      </w:r>
      <w:r>
        <w:rPr>
          <w:rFonts w:ascii="仿宋_GB2312" w:eastAsia="仿宋_GB2312"/>
          <w:b/>
          <w:sz w:val="32"/>
          <w:szCs w:val="32"/>
        </w:rPr>
        <w:t>部门决算报表（见附表）</w:t>
      </w:r>
    </w:p>
    <w:p w14:paraId="7D02DA4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14:paraId="4FA56FF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14:paraId="65B953B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14:paraId="110A2E2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14:paraId="636D2C3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14:paraId="55023C3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14:paraId="0FA1F25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14:paraId="2030154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14:paraId="775094F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14:paraId="271637A4">
      <w:pPr>
        <w:keepNext w:val="0"/>
        <w:keepLines w:val="0"/>
        <w:pageBreakBefore w:val="0"/>
        <w:widowControl/>
        <w:kinsoku/>
        <w:wordWrap/>
        <w:overflowPunct/>
        <w:topLinePunct w:val="0"/>
        <w:autoSpaceDE/>
        <w:autoSpaceDN/>
        <w:bidi w:val="0"/>
        <w:adjustRightInd/>
        <w:snapToGrid/>
        <w:spacing w:line="560" w:lineRule="exact"/>
        <w:textAlignment w:val="auto"/>
        <w:rPr>
          <w:sz w:val="32"/>
          <w:szCs w:val="32"/>
        </w:rPr>
      </w:pPr>
      <w:r>
        <w:rPr>
          <w:b w:val="0"/>
          <w:sz w:val="32"/>
          <w:szCs w:val="32"/>
        </w:rPr>
        <w:br w:type="page"/>
      </w:r>
    </w:p>
    <w:p w14:paraId="495AD4A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23C51B5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14:paraId="5DA974E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关于自治区农业农村厅所属事业单位机构编制调整的通知》（新党编委[2019]31号），自治区农垦经济发展中心主要职责是：承担自治区农垦经济农业产业政策、发展战略和发展规划的调查研究工作；指导推进农垦现代企业制度建设和产业联盟发展；承担农垦行业数据采集、分析等工作；承担农垦系统的农业技术推广、建设项目论证、对外合作、品牌建设产品营销和农垦农业资源开发等工作。</w:t>
      </w:r>
    </w:p>
    <w:p w14:paraId="0779E78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14:paraId="768F747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新疆维吾尔自治区农垦经济发展中心2024年度，实有人数9人，其中：在职人员7人，较上年无变化；离休人员0人，较上年无变化；退休人员2人，较上年无变化；</w:t>
      </w:r>
    </w:p>
    <w:p w14:paraId="5C6ACFBE">
      <w:pPr>
        <w:pStyle w:val="7"/>
        <w:spacing w:line="560" w:lineRule="exact"/>
        <w:ind w:firstLine="560"/>
        <w:rPr>
          <w:rFonts w:ascii="仿宋" w:hAnsi="仿宋" w:eastAsia="仿宋"/>
          <w:color w:val="000000"/>
          <w:sz w:val="28"/>
          <w:szCs w:val="28"/>
        </w:rPr>
      </w:pPr>
      <w:r>
        <w:rPr>
          <w:rFonts w:ascii="仿宋_GB2312" w:eastAsia="仿宋_GB2312"/>
          <w:b w:val="0"/>
          <w:sz w:val="32"/>
          <w:szCs w:val="32"/>
        </w:rPr>
        <w:t>新疆维吾尔自治区农垦经济发展中心无下属预算单位，下设</w:t>
      </w:r>
      <w:r>
        <w:rPr>
          <w:rFonts w:hint="eastAsia" w:ascii="仿宋_GB2312" w:eastAsia="仿宋_GB2312"/>
          <w:b w:val="0"/>
          <w:sz w:val="32"/>
          <w:szCs w:val="32"/>
          <w:lang w:val="en-US" w:eastAsia="zh-CN"/>
        </w:rPr>
        <w:t>2</w:t>
      </w:r>
      <w:r>
        <w:rPr>
          <w:rFonts w:ascii="仿宋_GB2312" w:eastAsia="仿宋_GB2312"/>
          <w:b w:val="0"/>
          <w:sz w:val="32"/>
          <w:szCs w:val="32"/>
        </w:rPr>
        <w:t>个处室，分别是：</w:t>
      </w:r>
      <w:r>
        <w:rPr>
          <w:rFonts w:hint="eastAsia" w:ascii="仿宋_GB2312" w:eastAsia="仿宋_GB2312"/>
          <w:b w:val="0"/>
          <w:sz w:val="32"/>
          <w:szCs w:val="32"/>
        </w:rPr>
        <w:t>办公室、财务室。</w:t>
      </w:r>
    </w:p>
    <w:p w14:paraId="0CF09FD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p>
    <w:p w14:paraId="0016B9F7">
      <w:pPr>
        <w:keepNext w:val="0"/>
        <w:keepLines w:val="0"/>
        <w:pageBreakBefore w:val="0"/>
        <w:widowControl/>
        <w:kinsoku/>
        <w:wordWrap/>
        <w:overflowPunct/>
        <w:topLinePunct w:val="0"/>
        <w:autoSpaceDE/>
        <w:autoSpaceDN/>
        <w:bidi w:val="0"/>
        <w:adjustRightInd/>
        <w:snapToGrid/>
        <w:spacing w:line="560" w:lineRule="exact"/>
        <w:textAlignment w:val="auto"/>
        <w:rPr>
          <w:sz w:val="32"/>
          <w:szCs w:val="32"/>
        </w:rPr>
      </w:pPr>
      <w:r>
        <w:rPr>
          <w:b w:val="0"/>
          <w:sz w:val="32"/>
          <w:szCs w:val="32"/>
        </w:rPr>
        <w:br w:type="page"/>
      </w:r>
    </w:p>
    <w:p w14:paraId="06C3E67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14:paraId="43F127A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14:paraId="3EAFB6E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2024年度收入总计278.43万元，</w:t>
      </w:r>
      <w:r>
        <w:rPr>
          <w:rFonts w:ascii="仿宋_GB2312" w:eastAsia="仿宋_GB2312"/>
          <w:b w:val="0"/>
          <w:sz w:val="32"/>
          <w:szCs w:val="32"/>
        </w:rPr>
        <w:t>其中：本年收入合计190.25万元，使用非财政拨款结余（含专用结余）0.00万元，年初结转和结余88.18万元。</w:t>
      </w:r>
    </w:p>
    <w:p w14:paraId="3B4DA43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2024年度支出总计278.43万元，</w:t>
      </w:r>
      <w:r>
        <w:rPr>
          <w:rFonts w:ascii="仿宋_GB2312" w:eastAsia="仿宋_GB2312"/>
          <w:b w:val="0"/>
          <w:sz w:val="32"/>
          <w:szCs w:val="32"/>
        </w:rPr>
        <w:t>其中：本年支出合计212.85万元，结余分配0.00万元，年末结转和结余65.58万元。</w:t>
      </w:r>
    </w:p>
    <w:p w14:paraId="56F0EA1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b w:val="0"/>
          <w:sz w:val="32"/>
          <w:szCs w:val="32"/>
        </w:rPr>
        <w:t>减少6.68万元，下降2.34%，主要原因是：退休人员无医疗费，使对个人和家庭补助支出减少。</w:t>
      </w:r>
    </w:p>
    <w:p w14:paraId="2BFAA49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14:paraId="186A414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本年收入190.25万元</w:t>
      </w:r>
      <w:r>
        <w:rPr>
          <w:rFonts w:ascii="仿宋_GB2312" w:eastAsia="仿宋_GB2312"/>
          <w:b w:val="0"/>
          <w:sz w:val="32"/>
          <w:szCs w:val="32"/>
        </w:rPr>
        <w:t>，其中：财政拨款收入189.98万元,占99.86%；上级补助收入0.00万元,占0.00%；事业收入0.00万元，占0.00%；经营收入0.00万元,占0.00%；附属单位上缴收入0.00万元，占0.00%；其他收入0.27万元，占0.14%。</w:t>
      </w:r>
    </w:p>
    <w:p w14:paraId="5E4A9F4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14:paraId="4655CAC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本年支出212.85万元，</w:t>
      </w:r>
      <w:r>
        <w:rPr>
          <w:rFonts w:ascii="仿宋_GB2312" w:eastAsia="仿宋_GB2312"/>
          <w:b w:val="0"/>
          <w:sz w:val="32"/>
          <w:szCs w:val="32"/>
        </w:rPr>
        <w:t>其中：基本支出155.16万元，占72.90%；项目支出57.69万元，占27.10%；上缴上级支出0.00万元，占0.00%；经营支出0.00万元，占0.00%；对附属单位补助支出0.00万元，占0.00%。</w:t>
      </w:r>
    </w:p>
    <w:p w14:paraId="41E6AB2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14:paraId="0781152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2024年度财政拨款收入总计189.98万元，</w:t>
      </w:r>
      <w:r>
        <w:rPr>
          <w:rFonts w:ascii="仿宋_GB2312" w:eastAsia="仿宋_GB2312"/>
          <w:b w:val="0"/>
          <w:sz w:val="32"/>
          <w:szCs w:val="32"/>
        </w:rPr>
        <w:t>其中：年初财政拨款结转和结余0.00万元，本年财政拨款收入189.98万元。</w:t>
      </w:r>
      <w:r>
        <w:rPr>
          <w:rFonts w:ascii="仿宋_GB2312" w:eastAsia="仿宋_GB2312"/>
          <w:b/>
          <w:bCs/>
          <w:sz w:val="32"/>
          <w:szCs w:val="32"/>
        </w:rPr>
        <w:t>财政拨款支出总计189.98万元，</w:t>
      </w:r>
      <w:r>
        <w:rPr>
          <w:rFonts w:ascii="仿宋_GB2312" w:eastAsia="仿宋_GB2312"/>
          <w:b w:val="0"/>
          <w:sz w:val="32"/>
          <w:szCs w:val="32"/>
        </w:rPr>
        <w:t>其中：年末财政拨款结转和结余0.21万元，本年财政拨款支出189.77万元。</w:t>
      </w:r>
    </w:p>
    <w:p w14:paraId="23F9280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b w:val="0"/>
          <w:sz w:val="32"/>
          <w:szCs w:val="32"/>
        </w:rPr>
        <w:t>增加21.52万元，增长12.77%，主要原因是：在职人员正常工资晋升，社保经费及相关的人员经费和公用经费增加。</w:t>
      </w:r>
      <w:r>
        <w:rPr>
          <w:rFonts w:ascii="仿宋_GB2312" w:eastAsia="仿宋_GB2312"/>
          <w:b/>
          <w:bCs/>
          <w:sz w:val="32"/>
          <w:szCs w:val="32"/>
        </w:rPr>
        <w:t>与年初预算相比，</w:t>
      </w:r>
      <w:r>
        <w:rPr>
          <w:rFonts w:ascii="仿宋_GB2312" w:eastAsia="仿宋_GB2312"/>
          <w:b w:val="0"/>
          <w:sz w:val="32"/>
          <w:szCs w:val="32"/>
        </w:rPr>
        <w:t>年初预算数176.81万元，决算数189.98万元，预决算差异率7.45%，主要原因是：</w:t>
      </w:r>
      <w:r>
        <w:rPr>
          <w:rFonts w:hint="eastAsia" w:ascii="仿宋_GB2312" w:eastAsia="仿宋_GB2312"/>
          <w:b w:val="0"/>
          <w:sz w:val="32"/>
          <w:szCs w:val="32"/>
          <w:lang w:eastAsia="zh-CN"/>
        </w:rPr>
        <w:t>年中追加人员工资、社保、公积金基数调增部分资金，导致预决算存在差异</w:t>
      </w:r>
      <w:r>
        <w:rPr>
          <w:rFonts w:ascii="仿宋_GB2312" w:eastAsia="仿宋_GB2312"/>
          <w:b w:val="0"/>
          <w:sz w:val="32"/>
          <w:szCs w:val="32"/>
        </w:rPr>
        <w:t>。</w:t>
      </w:r>
    </w:p>
    <w:p w14:paraId="6545BF4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14:paraId="180EFA3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hAnsiTheme="minorHAnsi" w:cstheme="minorBidi"/>
          <w:b w:val="0"/>
          <w:sz w:val="32"/>
          <w:szCs w:val="32"/>
        </w:rPr>
      </w:pPr>
      <w:r>
        <w:rPr>
          <w:rFonts w:ascii="黑体" w:eastAsia="黑体" w:hAnsiTheme="minorHAnsi" w:cstheme="minorBidi"/>
          <w:b w:val="0"/>
          <w:sz w:val="32"/>
          <w:szCs w:val="32"/>
        </w:rPr>
        <w:t>（一）一般公共预算财政拨款支出决算总体情况</w:t>
      </w:r>
    </w:p>
    <w:p w14:paraId="54D2713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2024年度一般公共预算财政拨款支出189.77万元，</w:t>
      </w:r>
      <w:r>
        <w:rPr>
          <w:rFonts w:ascii="仿宋_GB2312" w:eastAsia="仿宋_GB2312"/>
          <w:b w:val="0"/>
          <w:sz w:val="32"/>
          <w:szCs w:val="32"/>
        </w:rPr>
        <w:t>占本年支出合计的89.16%。与上年相比，增加21.31万元，增长12.65%，主要原因是：在职人员正常工资晋升，社保经费及相关的人员经费和公用经费增加。</w:t>
      </w:r>
      <w:r>
        <w:rPr>
          <w:rFonts w:ascii="仿宋_GB2312" w:eastAsia="仿宋_GB2312"/>
          <w:b/>
          <w:bCs/>
          <w:sz w:val="32"/>
          <w:szCs w:val="32"/>
        </w:rPr>
        <w:t>与年初预算相比，</w:t>
      </w:r>
      <w:r>
        <w:rPr>
          <w:rFonts w:ascii="仿宋_GB2312" w:eastAsia="仿宋_GB2312"/>
          <w:b w:val="0"/>
          <w:sz w:val="32"/>
          <w:szCs w:val="32"/>
        </w:rPr>
        <w:t>年初预算数176.81万元，决算数189.77万元，预决算差异率7.33%，主要原因是：</w:t>
      </w:r>
      <w:r>
        <w:rPr>
          <w:rFonts w:hint="eastAsia" w:ascii="仿宋_GB2312" w:eastAsia="仿宋_GB2312"/>
          <w:b w:val="0"/>
          <w:sz w:val="32"/>
          <w:szCs w:val="32"/>
          <w:lang w:eastAsia="zh-CN"/>
        </w:rPr>
        <w:t>年中追加人员工资、社保、公积金基数调增部分资金，导致预决算存在差异</w:t>
      </w:r>
      <w:r>
        <w:rPr>
          <w:rFonts w:ascii="仿宋_GB2312" w:eastAsia="仿宋_GB2312"/>
          <w:b w:val="0"/>
          <w:sz w:val="32"/>
          <w:szCs w:val="32"/>
        </w:rPr>
        <w:t>。</w:t>
      </w:r>
    </w:p>
    <w:p w14:paraId="2A9BD40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hAnsiTheme="minorHAnsi" w:cstheme="minorBidi"/>
          <w:b w:val="0"/>
          <w:sz w:val="32"/>
          <w:szCs w:val="32"/>
        </w:rPr>
      </w:pPr>
      <w:r>
        <w:rPr>
          <w:rFonts w:ascii="黑体" w:eastAsia="黑体" w:hAnsiTheme="minorHAnsi" w:cstheme="minorBidi"/>
          <w:b w:val="0"/>
          <w:sz w:val="32"/>
          <w:szCs w:val="32"/>
        </w:rPr>
        <w:t>（二）一般公共预算财政拨款支出决算结构情况</w:t>
      </w:r>
    </w:p>
    <w:p w14:paraId="7E80A6F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社会保障和就业支出（类）21.62万元，占11.39%。</w:t>
      </w:r>
    </w:p>
    <w:p w14:paraId="65A46A9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卫生健康支出（类）12.52万元，占6.60%。</w:t>
      </w:r>
    </w:p>
    <w:p w14:paraId="32DD491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农林水支出（类）145.27万元，占76.55%。</w:t>
      </w:r>
    </w:p>
    <w:p w14:paraId="5C7FCAF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住房保障支出（类）10.36万元，占5.46%。</w:t>
      </w:r>
    </w:p>
    <w:p w14:paraId="71C9DAA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hAnsiTheme="minorHAnsi" w:cstheme="minorBidi"/>
          <w:b w:val="0"/>
          <w:sz w:val="32"/>
          <w:szCs w:val="32"/>
        </w:rPr>
      </w:pPr>
      <w:r>
        <w:rPr>
          <w:rFonts w:ascii="黑体" w:eastAsia="黑体" w:hAnsiTheme="minorHAnsi" w:cstheme="minorBidi"/>
          <w:b w:val="0"/>
          <w:sz w:val="32"/>
          <w:szCs w:val="32"/>
        </w:rPr>
        <w:t>（三）一般公共预算财政拨款支出决算具体情况</w:t>
      </w:r>
    </w:p>
    <w:p w14:paraId="0CC58251">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社会保障和就业支出（类）行政事业单位养老支出（款）行政单位离退休（项）：支出决算数为4.64万元，比上年决算增加0.55万元，增长13.45%，主要原因是：退休人员退休费正常增加。</w:t>
      </w:r>
    </w:p>
    <w:p w14:paraId="622F6420">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机关事业单位基本养老保险缴费支出（项）：支出决算数为13.61万元，比上年决算增加4.18万元，增长44.33%，主要原因是：在职人员正常工资晋升，2024年社保基数增加。</w:t>
      </w:r>
    </w:p>
    <w:p w14:paraId="34ADF50C">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社会保障和就业支出（类）企业改革补助（款）其他企业改革发展补助（项）：支出决算数为3.37万元，与上年相比无变化，主要原因是：补助人员及补助费用不变。</w:t>
      </w:r>
    </w:p>
    <w:p w14:paraId="4378F757">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卫生健康支出（类）行政事业单位医疗（款）事业单位医疗（项）：支出决算数为6.48万元，比上年决算增加2.06万元，增长46.61%，主要原因是：人员正常工资晋升，相应计算事业单位医疗工资基数增加。</w:t>
      </w:r>
    </w:p>
    <w:p w14:paraId="6B4B4454">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卫生健康支出（类）行政事业单位医疗（款）公务员医疗补助（项）：支出决算数为6.05万元，比上年决算增加1.92万元，增长46.49%，主要原因是：人员正常工资晋升，相应计算公务员医疗补助工资基数增加。</w:t>
      </w:r>
    </w:p>
    <w:p w14:paraId="3C741F2D">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农林水支出（类）农业农村（款）行政运行（项）：支出决算数为110.39万元，比上年决算增加12.44万元，增长12.70%，主要原因是：人员正常工资晋升，相关的人员经费和公用经费增加。</w:t>
      </w:r>
    </w:p>
    <w:p w14:paraId="3853D9A0">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农林水支出（类）农业农村（款）农业生产发展（项）：支出决算数为34.88万元，比上年决算减少3.12万元，下降8.21%，主要原因是：网络安全等级保护测评商用密码安全性评估及咨询服务，费用减少。</w:t>
      </w:r>
    </w:p>
    <w:p w14:paraId="0468A650">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8.</w:t>
      </w:r>
      <w:r>
        <w:rPr>
          <w:rFonts w:ascii="仿宋_GB2312" w:eastAsia="仿宋_GB2312"/>
          <w:b w:val="0"/>
          <w:sz w:val="32"/>
          <w:szCs w:val="32"/>
        </w:rPr>
        <w:t>住房保障支出（类）住房改革支出（款）住房公积金（项）：支出决算数为10.36万元，比上年决算增加3.29万元，增长46.53%，主要原因是：人员正常工资晋升，2024年计算住房公积金工资基数增加。</w:t>
      </w:r>
    </w:p>
    <w:p w14:paraId="6D99DE5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14:paraId="74450E2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2024年度一般公共预算财政拨款基本支出154.90万元，其中：</w:t>
      </w:r>
      <w:r>
        <w:rPr>
          <w:rFonts w:ascii="仿宋_GB2312" w:eastAsia="仿宋_GB2312"/>
          <w:b/>
          <w:bCs/>
          <w:sz w:val="32"/>
          <w:szCs w:val="32"/>
        </w:rPr>
        <w:t>人员经费143.82万元，</w:t>
      </w:r>
      <w:r>
        <w:rPr>
          <w:rFonts w:ascii="仿宋_GB2312" w:eastAsia="仿宋_GB2312"/>
          <w:b w:val="0"/>
          <w:sz w:val="32"/>
          <w:szCs w:val="32"/>
        </w:rPr>
        <w:t>包括：基本工资、津贴补贴、奖金、机关事业单位基本养老保险缴费、职工基本医疗保险缴费、公务员医疗补助缴费、其他社会保障缴费、住房公积金、其他工资福利支出、退休费、生活补助和其他对个人和家庭的补助。</w:t>
      </w:r>
    </w:p>
    <w:p w14:paraId="61BD319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公用经费11.08万元，</w:t>
      </w:r>
      <w:r>
        <w:rPr>
          <w:rFonts w:ascii="仿宋_GB2312" w:eastAsia="仿宋_GB2312"/>
          <w:b w:val="0"/>
          <w:sz w:val="32"/>
          <w:szCs w:val="32"/>
        </w:rPr>
        <w:t>包括：办公费、水费、电费、邮电费、物业管理费、差旅费、工会经费、福利费、公务用车运行维护费、其他交通费用和其他商品和服务支出。</w:t>
      </w:r>
    </w:p>
    <w:p w14:paraId="250A87E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14:paraId="706DF68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14:paraId="1724CF8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14:paraId="261E336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5B5409D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14:paraId="147228E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2024年度财政拨款“三公”经费支出1.90万元，</w:t>
      </w:r>
      <w:r>
        <w:rPr>
          <w:rFonts w:hint="eastAsia" w:ascii="仿宋_GB2312" w:hAnsi="仿宋_GB2312" w:eastAsia="仿宋_GB2312" w:cs="仿宋_GB2312"/>
          <w:b w:val="0"/>
          <w:sz w:val="32"/>
          <w:szCs w:val="32"/>
        </w:rPr>
        <w:t>与上年相比无变化，主要原因是：</w:t>
      </w:r>
      <w:r>
        <w:rPr>
          <w:rFonts w:hint="eastAsia" w:ascii="仿宋_GB2312" w:hAnsi="仿宋_GB2312" w:eastAsia="仿宋_GB2312" w:cs="仿宋_GB2312"/>
          <w:b w:val="0"/>
          <w:sz w:val="32"/>
          <w:szCs w:val="32"/>
          <w:lang w:eastAsia="zh-CN"/>
        </w:rPr>
        <w:t>我单位财政拨款“三公”经费与上年一致无变化</w:t>
      </w:r>
      <w:r>
        <w:rPr>
          <w:rFonts w:hint="eastAsia" w:ascii="仿宋_GB2312" w:hAnsi="仿宋_GB2312" w:eastAsia="仿宋_GB2312" w:cs="仿宋_GB2312"/>
          <w:b w:val="0"/>
          <w:sz w:val="32"/>
          <w:szCs w:val="32"/>
        </w:rPr>
        <w:t>。其中：因公出国（境）费支出0.00万元,占0.00%，与上年相比无变化，主要原因是：未发生；公务用车购置及运行维护费支出1.90万元，占100.00%，与上年相比无变化，主要原因是：</w:t>
      </w:r>
      <w:r>
        <w:rPr>
          <w:rFonts w:hint="eastAsia" w:ascii="仿宋_GB2312" w:hAnsi="仿宋_GB2312" w:eastAsia="仿宋_GB2312" w:cs="仿宋_GB2312"/>
          <w:b w:val="0"/>
          <w:sz w:val="32"/>
          <w:szCs w:val="32"/>
          <w:lang w:eastAsia="zh-CN"/>
        </w:rPr>
        <w:t>我单位公务用车运行维护费与上年一致无变化</w:t>
      </w:r>
      <w:bookmarkStart w:id="0" w:name="_GoBack"/>
      <w:bookmarkEnd w:id="0"/>
      <w:r>
        <w:rPr>
          <w:rFonts w:hint="eastAsia" w:ascii="仿宋_GB2312" w:hAnsi="仿宋_GB2312" w:eastAsia="仿宋_GB2312" w:cs="仿宋_GB2312"/>
          <w:b w:val="0"/>
          <w:sz w:val="32"/>
          <w:szCs w:val="32"/>
        </w:rPr>
        <w:t>；公务接待费支出0.00万元，占0.00%，与上年相比无变化，主要原因是：未发生。</w:t>
      </w:r>
    </w:p>
    <w:p w14:paraId="57F7638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具体情况如下：</w:t>
      </w:r>
    </w:p>
    <w:p w14:paraId="785F49F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因公出国（境）费支出0.00万元，开支内容包括未发生。单位全年安排的因公出国（境）团组0个，因公出国（境）0人次。</w:t>
      </w:r>
    </w:p>
    <w:p w14:paraId="0205A9D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公务用车购置及运行维护费1.90万元，其中：公务用车购置费0.00万元，公务用车运行维护费1.90万元。公务用车运行维护费开支内容包括燃料费0.61万元，车辆维修费0.51万元，车辆保险费0.78万元。公务用车购置数0辆，公务用车保有量2辆。国有资产占用情况中固定资产车辆2辆，与公务用车保有量差异原因是：无差异。</w:t>
      </w:r>
    </w:p>
    <w:p w14:paraId="5B96FD3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公务接待费0.00万元，开支内容包括无开支。单位全年安排的国内公务接待0批次，0人次。</w:t>
      </w:r>
    </w:p>
    <w:p w14:paraId="43D5C75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与全年预算相比，</w:t>
      </w:r>
      <w:r>
        <w:rPr>
          <w:rFonts w:hint="eastAsia" w:ascii="仿宋_GB2312" w:hAnsi="仿宋_GB2312" w:eastAsia="仿宋_GB2312" w:cs="仿宋_GB2312"/>
          <w:b w:val="0"/>
          <w:sz w:val="32"/>
          <w:szCs w:val="32"/>
        </w:rPr>
        <w:t>财政拨款“三公”经费支出全年预算数1.90万元，决算数1.90万元，预决算差异率0.00%，主要原因是：</w:t>
      </w:r>
      <w:r>
        <w:rPr>
          <w:rFonts w:hint="eastAsia" w:ascii="仿宋_GB2312" w:hAnsi="仿宋_GB2312" w:eastAsia="仿宋_GB2312" w:cs="仿宋_GB2312"/>
          <w:b w:val="0"/>
          <w:sz w:val="32"/>
          <w:szCs w:val="32"/>
          <w:lang w:eastAsia="zh-CN"/>
        </w:rPr>
        <w:t>严格按照预算执行，预决算无差异</w:t>
      </w:r>
      <w:r>
        <w:rPr>
          <w:rFonts w:hint="eastAsia" w:ascii="仿宋_GB2312" w:hAnsi="仿宋_GB2312" w:eastAsia="仿宋_GB2312" w:cs="仿宋_GB2312"/>
          <w:b w:val="0"/>
          <w:sz w:val="32"/>
          <w:szCs w:val="32"/>
        </w:rPr>
        <w:t>。其中：因公出国（境）费全年预算数0.00万元，决算数0.00万元，预决算差异率0.00%，主要原因是：未发生。公务用车购置费全年预算数0.00万元，决算数0.00万元，预决算差异率0.00%，主要原因是：未发生。公务用车运行维护费全年预算数1.90万元，决算数1.90万元，预决算差异率0.00%，主要原因是：</w:t>
      </w:r>
      <w:r>
        <w:rPr>
          <w:rFonts w:hint="eastAsia" w:ascii="仿宋_GB2312" w:hAnsi="仿宋_GB2312" w:eastAsia="仿宋_GB2312" w:cs="仿宋_GB2312"/>
          <w:b w:val="0"/>
          <w:sz w:val="32"/>
          <w:szCs w:val="32"/>
          <w:lang w:eastAsia="zh-CN"/>
        </w:rPr>
        <w:t>严格按照预算执行，预决算无差异</w:t>
      </w:r>
      <w:r>
        <w:rPr>
          <w:rFonts w:hint="eastAsia" w:ascii="仿宋_GB2312" w:hAnsi="仿宋_GB2312" w:eastAsia="仿宋_GB2312" w:cs="仿宋_GB2312"/>
          <w:b w:val="0"/>
          <w:sz w:val="32"/>
          <w:szCs w:val="32"/>
        </w:rPr>
        <w:t>。公务接待费全年预算数0.00万元，决算数0.00万元，预决算差异率0.00%，主要原因是：未发生。</w:t>
      </w:r>
    </w:p>
    <w:p w14:paraId="59E39A7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十、其他重要事项的情况说明</w:t>
      </w:r>
    </w:p>
    <w:p w14:paraId="64F9D97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hint="eastAsia" w:ascii="黑体" w:hAnsi="黑体" w:eastAsia="黑体" w:cs="黑体"/>
          <w:b w:val="0"/>
          <w:bCs w:val="0"/>
          <w:sz w:val="32"/>
          <w:szCs w:val="32"/>
        </w:rPr>
      </w:pPr>
      <w:r>
        <w:rPr>
          <w:rFonts w:hint="eastAsia" w:ascii="黑体" w:hAnsi="黑体" w:eastAsia="黑体" w:cs="黑体"/>
          <w:b w:val="0"/>
          <w:bCs w:val="0"/>
          <w:sz w:val="32"/>
          <w:szCs w:val="32"/>
        </w:rPr>
        <w:t>（一）机关运行经费及公用经费支出情况</w:t>
      </w:r>
    </w:p>
    <w:p w14:paraId="21B66AB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2024年度新疆维吾尔自治区农垦经济发展中心</w:t>
      </w:r>
      <w:r>
        <w:rPr>
          <w:rFonts w:hint="eastAsia" w:ascii="仿宋_GB2312" w:eastAsia="仿宋_GB2312"/>
          <w:sz w:val="32"/>
          <w:szCs w:val="32"/>
          <w:highlight w:val="none"/>
        </w:rPr>
        <w:t>（参照公务员法管理事业单位）</w:t>
      </w:r>
      <w:r>
        <w:rPr>
          <w:rFonts w:ascii="仿宋_GB2312" w:eastAsia="仿宋_GB2312"/>
          <w:b w:val="0"/>
          <w:sz w:val="32"/>
          <w:szCs w:val="32"/>
        </w:rPr>
        <w:t>机关运行经费支出11.08万元，比上年增加3.22万元，增长40.97%，主要原因是：主要是差旅费、办公费、物业费、水电费增加。</w:t>
      </w:r>
    </w:p>
    <w:p w14:paraId="598B119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hint="eastAsia" w:ascii="黑体" w:hAnsi="黑体" w:eastAsia="黑体" w:cs="黑体"/>
          <w:b w:val="0"/>
          <w:bCs w:val="0"/>
          <w:sz w:val="32"/>
          <w:szCs w:val="32"/>
        </w:rPr>
      </w:pPr>
      <w:r>
        <w:rPr>
          <w:rFonts w:hint="eastAsia" w:ascii="黑体" w:hAnsi="黑体" w:eastAsia="黑体" w:cs="黑体"/>
          <w:b w:val="0"/>
          <w:bCs w:val="0"/>
          <w:sz w:val="32"/>
          <w:szCs w:val="32"/>
        </w:rPr>
        <w:t>（二）政府采购情况</w:t>
      </w:r>
    </w:p>
    <w:p w14:paraId="45F2261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2024年度政府采购支出总额11.94万元，其中：政府采购货物支出2.93万元、政府采购工程支出0.00万元、政府采购服务支出9.01万元。</w:t>
      </w:r>
    </w:p>
    <w:p w14:paraId="3A58303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授予中小企业合同金额11.94万元，占政府采购支出总额的100.00%，其中：授予小微企业合同金额11.94万元，占政府采购支出总额的100.00%。</w:t>
      </w:r>
    </w:p>
    <w:p w14:paraId="689614C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hint="eastAsia" w:ascii="黑体" w:hAnsi="黑体" w:eastAsia="黑体" w:cs="黑体"/>
          <w:b w:val="0"/>
          <w:bCs w:val="0"/>
          <w:sz w:val="32"/>
          <w:szCs w:val="32"/>
        </w:rPr>
      </w:pPr>
      <w:r>
        <w:rPr>
          <w:rFonts w:hint="eastAsia" w:ascii="黑体" w:hAnsi="黑体" w:eastAsia="黑体" w:cs="黑体"/>
          <w:b w:val="0"/>
          <w:bCs w:val="0"/>
          <w:sz w:val="32"/>
          <w:szCs w:val="32"/>
        </w:rPr>
        <w:t>（三）国有资产占用情况说明</w:t>
      </w:r>
    </w:p>
    <w:p w14:paraId="32CC295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2辆，价值117.70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54F926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14:paraId="1B5F3FD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根据预算绩效管理要求，本单位2024年度预算绩效评价项目1个，全年预算数22.81万元，全年执行数22.81万元</w:t>
      </w:r>
      <w:r>
        <w:rPr>
          <w:rFonts w:hint="eastAsia" w:ascii="仿宋_GB2312" w:eastAsia="仿宋_GB2312"/>
          <w:b w:val="0"/>
          <w:sz w:val="32"/>
          <w:szCs w:val="32"/>
          <w:lang w:eastAsia="zh-CN"/>
        </w:rPr>
        <w:t>。</w:t>
      </w:r>
      <w:r>
        <w:rPr>
          <w:rFonts w:ascii="仿宋_GB2312" w:eastAsia="仿宋_GB2312"/>
          <w:b w:val="0"/>
          <w:sz w:val="32"/>
          <w:szCs w:val="32"/>
        </w:rPr>
        <w:t>预算绩效管理取得的成效：一是开展农垦粮油作物技术、农垦农业社会化服务+地方指导服务调研8人次以上，二是购置安可便携式计算机及基础软件1套，三是保障人员数量1名，四是政府采购合格率达100%</w:t>
      </w:r>
      <w:r>
        <w:rPr>
          <w:rFonts w:hint="eastAsia" w:ascii="仿宋_GB2312" w:eastAsia="仿宋_GB2312"/>
          <w:b w:val="0"/>
          <w:sz w:val="32"/>
          <w:szCs w:val="32"/>
          <w:lang w:eastAsia="zh-CN"/>
        </w:rPr>
        <w:t>。</w:t>
      </w:r>
      <w:r>
        <w:rPr>
          <w:rFonts w:ascii="仿宋_GB2312" w:eastAsia="仿宋_GB2312"/>
          <w:b w:val="0"/>
          <w:sz w:val="32"/>
          <w:szCs w:val="32"/>
        </w:rPr>
        <w:t>发现的问题及原因：</w:t>
      </w:r>
      <w:r>
        <w:rPr>
          <w:rFonts w:hint="eastAsia" w:ascii="仿宋_GB2312" w:eastAsia="仿宋_GB2312"/>
          <w:b w:val="0"/>
          <w:sz w:val="32"/>
          <w:szCs w:val="32"/>
          <w:lang w:eastAsia="zh-CN"/>
        </w:rPr>
        <w:t>因</w:t>
      </w:r>
      <w:r>
        <w:rPr>
          <w:rFonts w:ascii="仿宋_GB2312" w:eastAsia="仿宋_GB2312"/>
          <w:b w:val="0"/>
          <w:sz w:val="32"/>
          <w:szCs w:val="32"/>
        </w:rPr>
        <w:t>农垦粮油作物技术、农垦农业社会化服务+地方指导服务调研</w:t>
      </w:r>
      <w:r>
        <w:rPr>
          <w:rFonts w:hint="eastAsia" w:ascii="仿宋_GB2312" w:eastAsia="仿宋_GB2312"/>
          <w:b w:val="0"/>
          <w:sz w:val="32"/>
          <w:szCs w:val="32"/>
          <w:lang w:eastAsia="zh-CN"/>
        </w:rPr>
        <w:t>任务加大，使相关预算</w:t>
      </w:r>
      <w:r>
        <w:rPr>
          <w:rFonts w:ascii="仿宋_GB2312" w:eastAsia="仿宋_GB2312"/>
          <w:b w:val="0"/>
          <w:sz w:val="32"/>
          <w:szCs w:val="32"/>
        </w:rPr>
        <w:t>安排较紧张</w:t>
      </w:r>
      <w:r>
        <w:rPr>
          <w:rFonts w:hint="eastAsia" w:ascii="仿宋_GB2312" w:eastAsia="仿宋_GB2312"/>
          <w:b w:val="0"/>
          <w:sz w:val="32"/>
          <w:szCs w:val="32"/>
          <w:lang w:eastAsia="zh-CN"/>
        </w:rPr>
        <w:t>。</w:t>
      </w:r>
      <w:r>
        <w:rPr>
          <w:rFonts w:ascii="仿宋_GB2312" w:eastAsia="仿宋_GB2312"/>
          <w:b w:val="0"/>
          <w:sz w:val="32"/>
          <w:szCs w:val="32"/>
        </w:rPr>
        <w:t>下一步改进措施：改进工作措施，积极争取项目资金，高质量完成项目工作，充分发挥项目资金效益。具体项目</w:t>
      </w:r>
      <w:r>
        <w:rPr>
          <w:rFonts w:hint="eastAsia" w:ascii="仿宋_GB2312" w:eastAsia="仿宋_GB2312"/>
          <w:b w:val="0"/>
          <w:sz w:val="32"/>
          <w:szCs w:val="32"/>
          <w:lang w:eastAsia="zh-CN"/>
        </w:rPr>
        <w:t>自评情况</w:t>
      </w:r>
      <w:r>
        <w:rPr>
          <w:rFonts w:ascii="仿宋_GB2312" w:eastAsia="仿宋_GB2312"/>
          <w:b w:val="0"/>
          <w:sz w:val="32"/>
          <w:szCs w:val="32"/>
        </w:rPr>
        <w:t>附绩效自评表。</w:t>
      </w:r>
    </w:p>
    <w:p w14:paraId="5B26ABD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14:paraId="09A7C61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14:paraId="176BA70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sz w:val="32"/>
          <w:szCs w:val="32"/>
        </w:rPr>
      </w:pPr>
    </w:p>
    <w:p w14:paraId="62AD7006">
      <w:pPr>
        <w:keepNext w:val="0"/>
        <w:keepLines w:val="0"/>
        <w:pageBreakBefore w:val="0"/>
        <w:widowControl/>
        <w:kinsoku/>
        <w:wordWrap/>
        <w:overflowPunct/>
        <w:topLinePunct w:val="0"/>
        <w:autoSpaceDE/>
        <w:autoSpaceDN/>
        <w:bidi w:val="0"/>
        <w:adjustRightInd/>
        <w:snapToGrid/>
        <w:spacing w:line="560" w:lineRule="exact"/>
        <w:textAlignment w:val="auto"/>
        <w:rPr>
          <w:sz w:val="32"/>
          <w:szCs w:val="32"/>
        </w:rPr>
      </w:pPr>
      <w:r>
        <w:rPr>
          <w:b w:val="0"/>
          <w:sz w:val="32"/>
          <w:szCs w:val="32"/>
        </w:rPr>
        <w:br w:type="page"/>
      </w:r>
    </w:p>
    <w:p w14:paraId="68AC80A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14:paraId="0AAB088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7C34333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5984A11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1FEAB3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79CB62E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19C223B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425FAA5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03B0B21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9E987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5B357BA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23E89E0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5F98C92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0E0AF5C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F19C58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05E71144">
      <w:pPr>
        <w:keepNext w:val="0"/>
        <w:keepLines w:val="0"/>
        <w:pageBreakBefore w:val="0"/>
        <w:widowControl/>
        <w:kinsoku/>
        <w:wordWrap/>
        <w:overflowPunct/>
        <w:topLinePunct w:val="0"/>
        <w:autoSpaceDE/>
        <w:autoSpaceDN/>
        <w:bidi w:val="0"/>
        <w:adjustRightInd/>
        <w:snapToGrid/>
        <w:spacing w:line="560" w:lineRule="exact"/>
        <w:textAlignment w:val="auto"/>
        <w:rPr>
          <w:sz w:val="32"/>
          <w:szCs w:val="32"/>
        </w:rPr>
      </w:pPr>
      <w:r>
        <w:rPr>
          <w:b w:val="0"/>
          <w:sz w:val="32"/>
          <w:szCs w:val="32"/>
        </w:rPr>
        <w:br w:type="page"/>
      </w:r>
    </w:p>
    <w:p w14:paraId="2D96429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部门决算报表（见附表）</w:t>
      </w:r>
    </w:p>
    <w:p w14:paraId="2F02523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14:paraId="64DF43D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14:paraId="5FEAEFB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14:paraId="0660E3B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14:paraId="1C4B622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14:paraId="12E396E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6679778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584DDC0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2FD3A73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footerReference r:id="rId5" w:type="default"/>
      <w:pgSz w:w="12240" w:h="15840"/>
      <w:pgMar w:top="1440" w:right="1800" w:bottom="1440" w:left="1800"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9094A">
    <w:pPr>
      <w:pStyle w:val="3"/>
      <w:tabs>
        <w:tab w:val="clear" w:pos="4153"/>
      </w:tabs>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3AE0922">
                <w:pPr>
                  <w:pStyle w:val="3"/>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hdrShapeDefaults>
    <o:shapelayout v:ext="edit">
      <o:idmap v:ext="edit" data="3,4"/>
    </o:shapelayout>
  </w:hdrShapeDefaults>
  <w:footnotePr>
    <w:footnote w:id="0"/>
    <w:footnote w:id="1"/>
  </w:footnotePr>
  <w:endnotePr>
    <w:endnote w:id="0"/>
    <w:endnote w:id="1"/>
  </w:endnotePr>
  <w:compat>
    <w:useFELayout/>
    <w:splitPgBreakAndParaMark/>
    <w:compatSetting w:name="compatibilityMode" w:uri="http://schemas.microsoft.com/office/word" w:val="12"/>
  </w:compat>
  <w:rsids>
    <w:rsidRoot w:val="00000000"/>
    <w:rsid w:val="0BEA0EBA"/>
    <w:rsid w:val="12C549B5"/>
    <w:rsid w:val="214365C9"/>
    <w:rsid w:val="298B2147"/>
    <w:rsid w:val="2DFF1926"/>
    <w:rsid w:val="45747142"/>
    <w:rsid w:val="4B7F2872"/>
    <w:rsid w:val="6BFF1BEA"/>
    <w:rsid w:val="6CDB5A26"/>
    <w:rsid w:val="737D2E95"/>
    <w:rsid w:val="7745E0E1"/>
    <w:rsid w:val="7E6DF6E5"/>
    <w:rsid w:val="BBBFB80C"/>
    <w:rsid w:val="BFB37442"/>
    <w:rsid w:val="EFFF438B"/>
    <w:rsid w:val="FDBDB200"/>
    <w:rsid w:val="FF5F38FB"/>
    <w:rsid w:val="FF977171"/>
    <w:rsid w:val="FFBB15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60" w:lineRule="exact"/>
      <w:jc w:val="both"/>
    </w:pPr>
    <w:rPr>
      <w:rFonts w:asciiTheme="minorHAnsi" w:hAnsiTheme="minorHAnsi" w:eastAsiaTheme="minorEastAsia" w:cstheme="minorBidi"/>
      <w:sz w:val="21"/>
      <w:szCs w:val="22"/>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5183</Words>
  <Characters>5767</Characters>
  <TotalTime>2</TotalTime>
  <ScaleCrop>false</ScaleCrop>
  <LinksUpToDate>false</LinksUpToDate>
  <CharactersWithSpaces>5776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2025-08-14T11:27:00Z</dcterms:created>
  <dc:creator>user</dc:creator>
  <cp:lastModifiedBy>小茗同学</cp:lastModifiedBy>
  <dcterms:modified xsi:type="dcterms:W3CDTF">2025-08-27T09:00:28Z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eyJoZGlkIjoiMzEyOTBjNDUxZThhNTljNjJlYjY5ODAwM2NlNGExNjQiLCJ1c2VySWQiOiIzNTcyNjg5NTYifQ==</vt:lpwstr>
  </property>
  <property fmtid="{D5CDD505-2E9C-101B-9397-08002B2CF9AE}" pid="4" name="ICV">
    <vt:lpwstr>7064ACAB80164A6C8642AC90545902F3_12</vt:lpwstr>
  </property>
</Properties>
</file>