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auto"/>
        <w:rPr>
          <w:rFonts w:hint="default" w:asciiTheme="minorEastAsia" w:hAnsiTheme="minorEastAsia" w:eastAsiaTheme="minorEastAsia" w:cstheme="minorEastAsia"/>
          <w:color w:val="333333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lang w:eastAsia="zh-CN" w:bidi="ar"/>
        </w:rPr>
        <w:t>附件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lang w:val="en-US" w:eastAsia="zh-CN" w:bidi="ar"/>
        </w:rPr>
        <w:t>2</w:t>
      </w:r>
    </w:p>
    <w:p>
      <w:pPr>
        <w:spacing w:line="540" w:lineRule="exact"/>
        <w:jc w:val="both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int="default" w:ascii="Times New Roman" w:hAnsi="Times New Roman" w:eastAsia="方正小标宋_GBK" w:cs="Times New Roman"/>
          <w:kern w:val="0"/>
          <w:sz w:val="48"/>
          <w:szCs w:val="48"/>
        </w:rPr>
      </w:pPr>
      <w:r>
        <w:rPr>
          <w:rFonts w:hint="eastAsia" w:ascii="Times New Roman" w:hAnsi="Times New Roman" w:eastAsia="方正小标宋_GBK" w:cs="Times New Roman"/>
          <w:kern w:val="0"/>
          <w:sz w:val="48"/>
          <w:szCs w:val="48"/>
          <w:lang w:val="en-US" w:eastAsia="zh-CN"/>
        </w:rPr>
        <w:t>自治区农业生产发展资金（农业产业发展）</w:t>
      </w:r>
      <w:r>
        <w:rPr>
          <w:rFonts w:hint="default" w:ascii="Times New Roman" w:hAnsi="Times New Roman" w:eastAsia="方正小标宋_GBK" w:cs="Times New Roman"/>
          <w:kern w:val="0"/>
          <w:sz w:val="48"/>
          <w:szCs w:val="48"/>
        </w:rPr>
        <w:t>项目支出绩效评价报告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hAnsi="宋体" w:cs="宋体"/>
          <w:kern w:val="0"/>
          <w:sz w:val="36"/>
          <w:szCs w:val="36"/>
          <w:lang w:val="en-US" w:eastAsia="zh-CN"/>
        </w:rPr>
        <w:t>2024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both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</w:t>
      </w:r>
    </w:p>
    <w:p>
      <w:pPr>
        <w:spacing w:line="700" w:lineRule="exact"/>
        <w:ind w:firstLine="720" w:firstLineChars="200"/>
        <w:jc w:val="left"/>
        <w:rPr>
          <w:rFonts w:hint="default" w:ascii="Times New Roman" w:hAnsi="Times New Roman" w:eastAsia="仿宋_GB2312" w:cs="Times New Roman"/>
          <w:kern w:val="0"/>
          <w:sz w:val="36"/>
          <w:szCs w:val="36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项目名称：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自治区农业生产发展资金（农业产业发展）</w:t>
      </w:r>
    </w:p>
    <w:p>
      <w:pPr>
        <w:spacing w:line="700" w:lineRule="exact"/>
        <w:ind w:firstLine="720" w:firstLineChars="200"/>
        <w:jc w:val="left"/>
        <w:rPr>
          <w:rFonts w:hint="eastAsia" w:eastAsia="仿宋_GB2312" w:cs="Times New Roman"/>
          <w:kern w:val="0"/>
          <w:sz w:val="36"/>
          <w:szCs w:val="36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实施单位（公章）：</w:t>
      </w:r>
      <w:r>
        <w:rPr>
          <w:rFonts w:hint="eastAsia" w:eastAsia="仿宋_GB2312" w:cs="Times New Roman"/>
          <w:kern w:val="0"/>
          <w:sz w:val="36"/>
          <w:szCs w:val="36"/>
          <w:lang w:eastAsia="zh-CN"/>
        </w:rPr>
        <w:t>自治区农业产业化培训中心</w:t>
      </w:r>
    </w:p>
    <w:p>
      <w:pPr>
        <w:spacing w:line="700" w:lineRule="exact"/>
        <w:ind w:firstLine="720" w:firstLineChars="200"/>
        <w:jc w:val="left"/>
        <w:rPr>
          <w:rFonts w:hint="eastAsia" w:eastAsia="仿宋_GB2312" w:cs="Times New Roman"/>
          <w:kern w:val="0"/>
          <w:sz w:val="36"/>
          <w:szCs w:val="36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主管部门（公章）：</w:t>
      </w:r>
      <w:r>
        <w:rPr>
          <w:rFonts w:hint="eastAsia" w:eastAsia="仿宋_GB2312" w:cs="Times New Roman"/>
          <w:kern w:val="0"/>
          <w:sz w:val="36"/>
          <w:szCs w:val="36"/>
          <w:lang w:val="en-US" w:eastAsia="zh-CN"/>
        </w:rPr>
        <w:t>自治区农业农村厅</w:t>
      </w:r>
    </w:p>
    <w:p>
      <w:pPr>
        <w:spacing w:line="700" w:lineRule="exact"/>
        <w:ind w:firstLine="720" w:firstLineChars="200"/>
        <w:jc w:val="left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项目负责人（签章）：</w:t>
      </w:r>
      <w:r>
        <w:rPr>
          <w:rFonts w:hint="eastAsia" w:eastAsia="仿宋_GB2312" w:cs="Times New Roman"/>
          <w:kern w:val="0"/>
          <w:sz w:val="36"/>
          <w:szCs w:val="36"/>
          <w:lang w:val="en-US" w:eastAsia="zh-CN"/>
        </w:rPr>
        <w:t>孙桂荣</w:t>
      </w:r>
    </w:p>
    <w:p>
      <w:pPr>
        <w:spacing w:line="700" w:lineRule="exact"/>
        <w:ind w:firstLine="720" w:firstLineChars="2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int="eastAsia" w:hAnsi="宋体" w:cs="宋体"/>
          <w:kern w:val="0"/>
          <w:sz w:val="36"/>
          <w:szCs w:val="36"/>
          <w:lang w:val="en-US" w:eastAsia="zh-CN"/>
        </w:rPr>
        <w:t>2025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int="eastAsia" w:hAnsi="宋体" w:cs="宋体"/>
          <w:kern w:val="0"/>
          <w:sz w:val="36"/>
          <w:szCs w:val="36"/>
          <w:lang w:val="en-US" w:eastAsia="zh-CN"/>
        </w:rPr>
        <w:t>01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int="eastAsia" w:hAnsi="宋体" w:cs="宋体"/>
          <w:kern w:val="0"/>
          <w:sz w:val="36"/>
          <w:szCs w:val="36"/>
          <w:lang w:val="en-US" w:eastAsia="zh-CN"/>
        </w:rPr>
        <w:t>01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jc w:val="center"/>
        <w:rPr>
          <w:rFonts w:hint="eastAsia" w:ascii="宋体" w:hAnsi="宋体" w:eastAsia="宋体" w:cs="Arial"/>
          <w:b/>
          <w:bCs/>
          <w:sz w:val="36"/>
          <w:szCs w:val="36"/>
        </w:rPr>
      </w:pPr>
    </w:p>
    <w:p>
      <w:pPr>
        <w:jc w:val="center"/>
        <w:rPr>
          <w:rFonts w:ascii="Arial" w:hAnsi="Arial" w:eastAsia="宋体" w:cs="Arial"/>
          <w:b/>
          <w:bCs/>
          <w:sz w:val="36"/>
          <w:szCs w:val="36"/>
        </w:rPr>
      </w:pPr>
      <w:r>
        <w:rPr>
          <w:rFonts w:hint="eastAsia" w:ascii="宋体" w:hAnsi="宋体" w:eastAsia="宋体" w:cs="Arial"/>
          <w:b/>
          <w:bCs/>
          <w:sz w:val="36"/>
          <w:szCs w:val="36"/>
        </w:rPr>
        <w:t>项目支出</w:t>
      </w:r>
      <w:r>
        <w:rPr>
          <w:rFonts w:ascii="宋体" w:hAnsi="宋体" w:eastAsia="宋体" w:cs="Arial"/>
          <w:b/>
          <w:bCs/>
          <w:sz w:val="36"/>
          <w:szCs w:val="36"/>
        </w:rPr>
        <w:t>绩效</w:t>
      </w:r>
      <w:r>
        <w:rPr>
          <w:rFonts w:hint="eastAsia" w:ascii="宋体" w:hAnsi="宋体" w:eastAsia="宋体" w:cs="Arial"/>
          <w:b/>
          <w:bCs/>
          <w:sz w:val="36"/>
          <w:szCs w:val="36"/>
        </w:rPr>
        <w:t>评价报告</w:t>
      </w:r>
    </w:p>
    <w:p>
      <w:pPr>
        <w:jc w:val="center"/>
        <w:rPr>
          <w:rFonts w:ascii="仿宋_GB2312"/>
        </w:rPr>
      </w:pPr>
      <w:r>
        <w:rPr>
          <w:rFonts w:hint="eastAsia" w:ascii="仿宋_GB2312"/>
        </w:rPr>
        <w:t>（参考提纲）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ascii="仿宋_GB2312"/>
          <w:szCs w:val="3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2" w:firstLineChars="200"/>
        <w:textAlignment w:val="auto"/>
        <w:outlineLvl w:val="0"/>
        <w:rPr>
          <w:rFonts w:hint="eastAsia" w:ascii="仿宋_GB2312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（一）项目概况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/>
          <w:b/>
          <w:bCs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1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、项目背景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0"/>
        <w:rPr>
          <w:rFonts w:hint="eastAsia" w:ascii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为深入贯彻党的二十大和国家乡村振兴战略要求，按照自治区党委、政府关于"十四五"农业农村现代化发展规划的总体部署，</w:t>
      </w:r>
      <w:r>
        <w:rPr>
          <w:rFonts w:hint="eastAsia" w:ascii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针对农业产业化龙头企业管理人员能力短板，着力培育一批懂经营、善管理、会创新的现代农业领军人才。有效提升龙头企业现代企业制度建设水平，增强产业集群协同发展能力，促进农业与资本市场深度对接，加速农产品流通体系数字化转型，培育乡村新产业新业态，为打造具有新疆特色的现代农业产业体系提供坚实人才保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2" w:firstLineChars="200"/>
        <w:textAlignment w:val="auto"/>
        <w:outlineLvl w:val="0"/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</w:t>
      </w:r>
      <w:r>
        <w:rPr>
          <w:rFonts w:hint="eastAsia" w:cs="Times New Roman"/>
          <w:b/>
          <w:bCs/>
          <w:sz w:val="32"/>
          <w:szCs w:val="32"/>
          <w:lang w:val="en-US" w:eastAsia="zh-CN"/>
        </w:rPr>
        <w:t>、项目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主要内容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0"/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项目实施情况：项目目前已经完成实际设立的目标，项目在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实施过程中严格按照目标设立的各阶段任务进行开展工作，在前期立项过程中严格把质量关，建立安全防护机制，保证项目实施各阶段安全顺利进行。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全年组织5期专题培训班，覆盖农业产业化龙头企业管理人员、乡村休闲旅游业经营管理者、农业农村创业带头人、农产品电子商务运营人员等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0人次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配合开展涉农领域中小企业账款清欠、根治农民工工资拖欠等联合督导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工作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采购办公设备2.73万元（含便捷式电脑、多功能一体机等），优化工作条件；缴纳残保金3.3万元。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本项目总投资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49.3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万元，其中：财政本级资金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42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，其他资金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7.3万元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。项目实际支出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46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支出率为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93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2" w:firstLineChars="200"/>
        <w:textAlignment w:val="auto"/>
        <w:outlineLvl w:val="0"/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3、资金投入和使用情况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（1）资金安排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项目总投资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49.3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万元，按照单位财务制度等相关规定，资金支出符合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自治区农业生产发展资金（农业产业发展）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专项资金费用范围，做到了专款专用。在项目资金拨付和使用过程中，为确保项目资金的安全性，提高项目资金使用效率，严格遵循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自治区农业生产发展资金（农业产业发展）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资金的拨付程序，认真审核项目实施各阶段的相关材料和手续，根据项目实施进展情况拨付资金。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（2）预算资金来源及使用情况</w:t>
      </w:r>
      <w:bookmarkStart w:id="0" w:name="page10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项目预算资金来源于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财政拨款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，项目资金到位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49.3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万元，用于支付项目实施进程中的各项费用。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2" w:firstLineChars="200"/>
        <w:textAlignment w:val="auto"/>
        <w:outlineLvl w:val="0"/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（二）项目绩效目标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2" w:firstLineChars="200"/>
        <w:textAlignment w:val="auto"/>
        <w:outlineLvl w:val="0"/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1、总体目标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0"/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以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习近平新时代中国特色社会主义思想为指导，深入</w:t>
      </w:r>
      <w:bookmarkStart w:id="1" w:name="_GoBack"/>
      <w:bookmarkEnd w:id="1"/>
      <w:r>
        <w:rPr>
          <w:rFonts w:hint="eastAsia" w:cs="Times New Roman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贯彻党的二十大精神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，贯彻落实自治区党委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农业农村工作会议精神和自治区党委一号文件精神，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提升农业经营主体综合能力，培育乡村产业领军人才；推动农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业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新业态营收增长，带动农民增收。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2、阶段性目标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（1）前期准备：通过制定项目实施方案，经项目负责人审核通过后，有序开展后续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工作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（2）组织实施：资金一到位，立即根据项目要求实施项目。项目责任人按照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项目实施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方案要求逐一进行项目部署安排，提高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目质量及效率性。</w:t>
      </w:r>
    </w:p>
    <w:p>
      <w:pPr>
        <w:keepNext w:val="0"/>
        <w:keepLines w:val="0"/>
        <w:pageBreakBefore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2" w:firstLineChars="200"/>
        <w:textAlignment w:val="auto"/>
        <w:rPr>
          <w:rFonts w:hint="eastAsia" w:ascii="楷体" w:hAnsi="楷体" w:eastAsia="楷体" w:cs="楷体"/>
          <w:b/>
          <w:bCs/>
          <w:color w:val="auto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（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一）绩效评价目的、对象和范围。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20" w:lineRule="exact"/>
        <w:ind w:left="0" w:firstLine="64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1、绩效评价的目的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财政支出绩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auto"/>
        </w:rPr>
        <w:t>效评价运用科学、规范的绩效评价方法，制定统一的评价标准，使财政资金得到事前、事中和事后多方面的控制。财政支出绩效评价贯穿于财政支出安排和实施的全过程，是对财政支出效益、管理水平、投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入风险等方面的综合评价；是发挥财政调控功能、提高财政资金安排科学性、促进财政支持社会经济目标实现的重要保证。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cs="Times New Roman"/>
          <w:color w:val="auto"/>
          <w:sz w:val="32"/>
          <w:szCs w:val="32"/>
          <w:lang w:val="en-US" w:eastAsia="zh-CN"/>
        </w:rPr>
        <w:t>（1）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项目在实施前向项目负责人提供财政支出绩效方面的资金管理信息，促进项目支出严格按照资金管理规定进行。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（2）项目绩效管理财政支出运行提供及时、有效的信息。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综合来看，通过开展有效的财政支出绩效评价管理，达到改进预算管理、控制节约成本，提高预算资金使用效益的目的。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firstLine="642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2、绩效评价的对象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color w:val="0000FF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自治区农业生产发展资金（农业产业发展）项目所包含的全部项目建设内容。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firstLine="64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3、绩效评价的范围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自治区农业生产发展资金（农业产业发展）项目的决策、过程、产出、效益等。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2" w:firstLineChars="200"/>
        <w:textAlignment w:val="auto"/>
        <w:rPr>
          <w:rFonts w:hint="eastAsia" w:ascii="楷体" w:hAnsi="楷体" w:eastAsia="楷体" w:cs="楷体"/>
          <w:b/>
          <w:bCs/>
          <w:color w:val="auto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  <w:t>（二）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绩效评价原则、评价指标体系（附表说明）、评价方法、评价标准等。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20" w:lineRule="exact"/>
        <w:ind w:left="0" w:firstLine="64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1、绩效评价原则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本次项目绩效评价遵循以下基本原则：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20" w:lineRule="exact"/>
        <w:ind w:lef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（1）科学公正。绩效评价应当运用科学合理的方法，按照规范的程序，对项目绩效进行客观、公正的反映。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20" w:lineRule="exact"/>
        <w:ind w:lef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20" w:lineRule="exact"/>
        <w:ind w:lef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20" w:lineRule="exact"/>
        <w:ind w:lef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（4）公开透明。绩效评价结果应依法依规公开，并自觉接受社会监督。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20" w:lineRule="exact"/>
        <w:ind w:firstLine="64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2、评价指标体系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20" w:lineRule="exact"/>
        <w:ind w:firstLine="708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pacing w:val="17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17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firstLine="708" w:firstLineChars="200"/>
        <w:textAlignment w:val="auto"/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</w:rPr>
        <w:t>（1）确定评价指标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firstLine="708" w:firstLineChars="200"/>
        <w:textAlignment w:val="auto"/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</w:rPr>
        <w:t>采用层次分析法，建立评价指标体系。绩效评价将指标分为项目</w:t>
      </w: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  <w:lang w:val="en-US" w:eastAsia="zh-CN"/>
        </w:rPr>
        <w:t>决策</w:t>
      </w: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</w:rPr>
        <w:t>指标、项目</w:t>
      </w: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  <w:lang w:val="en-US" w:eastAsia="zh-CN"/>
        </w:rPr>
        <w:t>过程</w:t>
      </w: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</w:rPr>
        <w:t>指标、项目</w:t>
      </w: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  <w:lang w:val="en-US" w:eastAsia="zh-CN"/>
        </w:rPr>
        <w:t>产出</w:t>
      </w: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</w:rPr>
        <w:t>指标、项目</w:t>
      </w: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  <w:lang w:val="en-US" w:eastAsia="zh-CN"/>
        </w:rPr>
        <w:t>效益</w:t>
      </w: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</w:rPr>
        <w:t>指标四个维度，最终形</w:t>
      </w: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</w:rPr>
        <w:t>成一个由多个相互联系的指标组成的多层次指标体系。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firstLine="708" w:firstLineChars="200"/>
        <w:textAlignment w:val="auto"/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</w:rPr>
        <w:t>（2）确定权重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firstLine="708" w:firstLineChars="200"/>
        <w:textAlignment w:val="auto"/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</w:rPr>
        <w:t>确定各个指标相对于项目总体绩效的权重分值。在绩效评价指标体系中，项目</w:t>
      </w: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  <w:lang w:val="en-US" w:eastAsia="zh-CN"/>
        </w:rPr>
        <w:t>决策</w:t>
      </w: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</w:rPr>
        <w:t>权重为</w:t>
      </w: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  <w:lang w:val="en-US" w:eastAsia="zh-CN"/>
        </w:rPr>
        <w:t>5分</w:t>
      </w: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</w:rPr>
        <w:t>，项目</w:t>
      </w: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  <w:lang w:val="en-US" w:eastAsia="zh-CN"/>
        </w:rPr>
        <w:t>过程</w:t>
      </w: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</w:rPr>
        <w:t>权重</w:t>
      </w: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  <w:lang w:val="en-US" w:eastAsia="zh-CN"/>
        </w:rPr>
        <w:t>为5分</w:t>
      </w: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</w:rPr>
        <w:t>，项目</w:t>
      </w: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  <w:lang w:val="en-US" w:eastAsia="zh-CN"/>
        </w:rPr>
        <w:t>产出</w:t>
      </w: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</w:rPr>
        <w:t>权</w:t>
      </w: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  <w:lang w:val="en-US" w:eastAsia="zh-CN"/>
        </w:rPr>
        <w:t>重为</w:t>
      </w:r>
      <w:r>
        <w:rPr>
          <w:rFonts w:hint="eastAsia" w:eastAsia="仿宋_GB2312" w:cs="Times New Roman"/>
          <w:color w:val="auto"/>
          <w:spacing w:val="17"/>
          <w:sz w:val="32"/>
          <w:szCs w:val="32"/>
          <w:highlight w:val="none"/>
          <w:lang w:val="en-US" w:eastAsia="zh-CN"/>
        </w:rPr>
        <w:t>50</w:t>
      </w: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  <w:lang w:val="en-US" w:eastAsia="zh-CN"/>
        </w:rPr>
        <w:t>分</w:t>
      </w: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</w:rPr>
        <w:t>，项目</w:t>
      </w: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  <w:lang w:val="en-US" w:eastAsia="zh-CN"/>
        </w:rPr>
        <w:t>效益权重为</w:t>
      </w:r>
      <w:r>
        <w:rPr>
          <w:rFonts w:hint="eastAsia" w:eastAsia="仿宋_GB2312" w:cs="Times New Roman"/>
          <w:color w:val="auto"/>
          <w:spacing w:val="17"/>
          <w:sz w:val="32"/>
          <w:szCs w:val="32"/>
          <w:highlight w:val="none"/>
          <w:lang w:val="en-US" w:eastAsia="zh-CN"/>
        </w:rPr>
        <w:t>40</w:t>
      </w: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  <w:lang w:val="en-US" w:eastAsia="zh-CN"/>
        </w:rPr>
        <w:t>分</w:t>
      </w: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firstLine="708" w:firstLineChars="200"/>
        <w:textAlignment w:val="auto"/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</w:rPr>
        <w:t>（3）确定指标标准值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firstLine="708" w:firstLineChars="200"/>
        <w:textAlignment w:val="auto"/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20" w:lineRule="exact"/>
        <w:ind w:left="0" w:firstLine="708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pacing w:val="17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17"/>
          <w:kern w:val="2"/>
          <w:sz w:val="32"/>
          <w:szCs w:val="32"/>
        </w:rPr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20" w:lineRule="exact"/>
        <w:ind w:left="0" w:firstLine="708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17"/>
          <w:sz w:val="32"/>
          <w:szCs w:val="32"/>
        </w:rPr>
        <w:t>具体评价指标体系详情见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17"/>
          <w:sz w:val="32"/>
          <w:szCs w:val="32"/>
          <w:lang w:val="en-US" w:eastAsia="zh-CN"/>
        </w:rPr>
        <w:t>附件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17"/>
          <w:sz w:val="32"/>
          <w:szCs w:val="32"/>
        </w:rPr>
        <w:t>1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20" w:lineRule="exact"/>
        <w:ind w:left="0" w:firstLine="642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</w:rPr>
        <w:t>、绩效评价方法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firstLine="708" w:firstLineChars="200"/>
        <w:textAlignment w:val="auto"/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</w:rPr>
        <w:t>绩效评价从项目决策、项目过程、项目产出、项目效益四个维度进行评价。评价对象为项目目标实施情况，  评价核心为资金的支出完成情况和项目的产出效益。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firstLine="708" w:firstLineChars="200"/>
        <w:textAlignment w:val="auto"/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</w:rPr>
        <w:t>本次评价指标中，既有定性指标又有定量指标，各类指标因考核内容不同和客观标准不同存在较大差异，因此核定具体指标时采用了不同方法，具体评价方法如下：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firstLine="708" w:firstLineChars="200"/>
        <w:textAlignment w:val="auto"/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</w:rPr>
        <w:t>（1）比较法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firstLine="708" w:firstLineChars="200"/>
        <w:textAlignment w:val="auto"/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</w:rPr>
        <w:t>通过对绩效目标与实施效果、历史与当期情况，综合分析绩效目标实现程度。对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项目</w:t>
      </w: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</w:rPr>
        <w:t>最终验收情况与年度绩效目标对比、预算资金执行情况等相关因素进行比较。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firstLine="708" w:firstLineChars="200"/>
        <w:textAlignment w:val="auto"/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</w:rPr>
        <w:t>（2）因素分析法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firstLine="708" w:firstLineChars="200"/>
        <w:textAlignment w:val="auto"/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</w:rPr>
        <w:t>通过综合分析影响绩效目标实现、实施效果的内外因素，评价绩效目标实现程度。通过对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项目</w:t>
      </w: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</w:rPr>
        <w:t>的开展情况、项目产出数量、成本控制、资金拨付文件及自评报告等相关资料的收集和审核，综合分析各因素对绩效目标实现的影响。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firstLine="710" w:firstLineChars="200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cs="Times New Roman"/>
          <w:b/>
          <w:bCs/>
          <w:color w:val="auto"/>
          <w:spacing w:val="17"/>
          <w:sz w:val="32"/>
          <w:szCs w:val="32"/>
          <w:lang w:val="en-US" w:eastAsia="zh-CN"/>
        </w:rPr>
        <w:t>4、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评价标准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708" w:firstLineChars="200"/>
        <w:textAlignment w:val="auto"/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lang w:val="en-US" w:eastAsia="zh-CN"/>
        </w:rPr>
        <w:t>绩效评价标准通常包括计划标准、行业标准、历史标准等，用于对绩效指标完成情况进行比较。本次评价主要采用了计划标准和行业标准。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firstLine="710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17"/>
          <w:sz w:val="32"/>
          <w:szCs w:val="32"/>
          <w:lang w:val="en-US" w:eastAsia="zh-CN"/>
        </w:rPr>
        <w:t>（三）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绩效评价工作过程。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 w:firstLineChars="200"/>
        <w:textAlignment w:val="auto"/>
        <w:rPr>
          <w:rFonts w:ascii="Times New Roman" w:hAnsi="Times New Roman" w:eastAsia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前期准备。</w:t>
      </w:r>
      <w:r>
        <w:rPr>
          <w:rFonts w:hint="eastAsia" w:ascii="Times New Roman" w:hAnsi="Times New Roman" w:eastAsia="仿宋_GB2312"/>
          <w:b w:val="0"/>
          <w:bCs/>
          <w:color w:val="auto"/>
          <w:sz w:val="32"/>
          <w:szCs w:val="32"/>
        </w:rPr>
        <w:t>首先成立评价工作组，开展前期调研；其次明确项目绩效目标，设计绩效评价指标体系并确定绩效评价方法；接着确定现场和非现场评价范围，设计资料清单；最后制定评价实施方案并进行论证。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 w:firstLineChars="200"/>
        <w:textAlignment w:val="auto"/>
        <w:rPr>
          <w:rFonts w:ascii="Times New Roman" w:hAnsi="Times New Roman" w:eastAsia="仿宋_GB2312"/>
          <w:b w:val="0"/>
          <w:bCs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b w:val="0"/>
          <w:bCs/>
          <w:color w:val="auto"/>
          <w:sz w:val="32"/>
          <w:szCs w:val="32"/>
        </w:rPr>
        <w:t>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 w:firstLineChars="200"/>
        <w:textAlignment w:val="auto"/>
        <w:rPr>
          <w:rFonts w:hint="eastAsia" w:ascii="仿宋_GB2312"/>
          <w:b w:val="0"/>
          <w:bCs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b w:val="0"/>
          <w:bCs/>
          <w:color w:val="auto"/>
          <w:sz w:val="32"/>
          <w:szCs w:val="32"/>
        </w:rPr>
        <w:t>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三、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综合评价情况及评价结论</w:t>
      </w:r>
      <w:r>
        <w:rPr>
          <w:rFonts w:hint="eastAsia" w:ascii="黑体" w:hAnsi="黑体" w:eastAsia="黑体" w:cs="黑体"/>
          <w:sz w:val="32"/>
          <w:szCs w:val="32"/>
        </w:rPr>
        <w:t>（附相关评分表）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20" w:lineRule="exact"/>
        <w:ind w:left="0" w:lef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对</w:t>
      </w:r>
      <w:r>
        <w:rPr>
          <w:rFonts w:hint="eastAsia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自治区农业生产发展资金（农业产业发展）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项目进行客观评价，最终评分结果：总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得分为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98.23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分，属于“优”。其中，项目决策类指标权重为5分，得分为 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4.8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分，得分率为 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98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%。项目过程类指标权重为5分，得分为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4.93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分，得分率为 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98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%。项目产出类指标权重为50分，得分为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48.5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分，得分率为 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97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%。项目效益类指标权重为40分，得分为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40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%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。</w:t>
      </w:r>
    </w:p>
    <w:p>
      <w:pPr>
        <w:pStyle w:val="3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表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综合评分表</w:t>
      </w:r>
    </w:p>
    <w:p>
      <w:pPr>
        <w:rPr>
          <w:rFonts w:hint="default" w:ascii="Times New Roman" w:hAnsi="Times New Roman" w:cs="Times New Roman"/>
          <w:sz w:val="32"/>
          <w:szCs w:val="32"/>
        </w:rPr>
      </w:pPr>
    </w:p>
    <w:tbl>
      <w:tblPr>
        <w:tblStyle w:val="5"/>
        <w:tblpPr w:leftFromText="180" w:rightFromText="180" w:vertAnchor="text" w:horzAnchor="page" w:tblpX="1016" w:tblpY="-67"/>
        <w:tblOverlap w:val="never"/>
        <w:tblW w:w="9954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4"/>
        <w:gridCol w:w="990"/>
        <w:gridCol w:w="1283"/>
        <w:gridCol w:w="1707"/>
        <w:gridCol w:w="727"/>
        <w:gridCol w:w="1044"/>
        <w:gridCol w:w="924"/>
        <w:gridCol w:w="1215"/>
        <w:gridCol w:w="960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tblHeader/>
        </w:trPr>
        <w:tc>
          <w:tcPr>
            <w:tcW w:w="1104" w:type="dxa"/>
            <w:shd w:val="clear" w:color="auto" w:fill="BFBFBF"/>
            <w:vAlign w:val="center"/>
          </w:tcPr>
          <w:p>
            <w:pPr>
              <w:widowControl/>
              <w:spacing w:line="0" w:lineRule="atLeas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32"/>
                <w:szCs w:val="32"/>
              </w:rPr>
              <w:t>一级指标</w:t>
            </w:r>
          </w:p>
        </w:tc>
        <w:tc>
          <w:tcPr>
            <w:tcW w:w="990" w:type="dxa"/>
            <w:shd w:val="clear" w:color="auto" w:fill="BFBFB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32"/>
                <w:szCs w:val="32"/>
              </w:rPr>
              <w:t>分值</w:t>
            </w:r>
          </w:p>
        </w:tc>
        <w:tc>
          <w:tcPr>
            <w:tcW w:w="1283" w:type="dxa"/>
            <w:shd w:val="clear" w:color="auto" w:fill="BFBFB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32"/>
                <w:szCs w:val="32"/>
              </w:rPr>
              <w:t>二级指标</w:t>
            </w:r>
          </w:p>
        </w:tc>
        <w:tc>
          <w:tcPr>
            <w:tcW w:w="1707" w:type="dxa"/>
            <w:shd w:val="clear" w:color="auto" w:fill="BFBFB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32"/>
                <w:szCs w:val="32"/>
              </w:rPr>
              <w:t>三级指标</w:t>
            </w:r>
          </w:p>
        </w:tc>
        <w:tc>
          <w:tcPr>
            <w:tcW w:w="727" w:type="dxa"/>
            <w:shd w:val="clear" w:color="auto" w:fill="BFBFB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32"/>
                <w:szCs w:val="32"/>
              </w:rPr>
              <w:t>权重</w:t>
            </w:r>
          </w:p>
        </w:tc>
        <w:tc>
          <w:tcPr>
            <w:tcW w:w="1044" w:type="dxa"/>
            <w:shd w:val="clear" w:color="auto" w:fill="BFBFBF"/>
            <w:vAlign w:val="center"/>
          </w:tcPr>
          <w:p>
            <w:pPr>
              <w:widowControl/>
              <w:tabs>
                <w:tab w:val="left" w:pos="1333"/>
                <w:tab w:val="center" w:pos="3623"/>
              </w:tabs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32"/>
                <w:szCs w:val="32"/>
              </w:rPr>
              <w:t>目标值</w:t>
            </w:r>
          </w:p>
        </w:tc>
        <w:tc>
          <w:tcPr>
            <w:tcW w:w="924" w:type="dxa"/>
            <w:shd w:val="clear" w:color="auto" w:fill="BFBFBF"/>
            <w:vAlign w:val="center"/>
          </w:tcPr>
          <w:p>
            <w:pPr>
              <w:widowControl/>
              <w:tabs>
                <w:tab w:val="left" w:pos="1333"/>
                <w:tab w:val="center" w:pos="3623"/>
              </w:tabs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32"/>
                <w:szCs w:val="32"/>
              </w:rPr>
              <w:t>业绩值</w:t>
            </w:r>
          </w:p>
        </w:tc>
        <w:tc>
          <w:tcPr>
            <w:tcW w:w="1215" w:type="dxa"/>
            <w:shd w:val="clear" w:color="auto" w:fill="BFBFBF"/>
            <w:vAlign w:val="center"/>
          </w:tcPr>
          <w:p>
            <w:pPr>
              <w:widowControl/>
              <w:tabs>
                <w:tab w:val="left" w:pos="1333"/>
                <w:tab w:val="center" w:pos="3623"/>
              </w:tabs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32"/>
                <w:szCs w:val="32"/>
              </w:rPr>
              <w:t>得分率</w:t>
            </w:r>
          </w:p>
        </w:tc>
        <w:tc>
          <w:tcPr>
            <w:tcW w:w="960" w:type="dxa"/>
            <w:shd w:val="clear" w:color="auto" w:fill="BFBFBF"/>
            <w:vAlign w:val="center"/>
          </w:tcPr>
          <w:p>
            <w:pPr>
              <w:widowControl/>
              <w:tabs>
                <w:tab w:val="left" w:pos="1333"/>
                <w:tab w:val="center" w:pos="3623"/>
              </w:tabs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32"/>
                <w:szCs w:val="32"/>
              </w:rPr>
              <w:t>得分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决策　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  <w:p>
            <w:pPr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990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32"/>
                <w:szCs w:val="32"/>
                <w:highlight w:val="none"/>
              </w:rPr>
              <w:t>5分</w:t>
            </w:r>
          </w:p>
        </w:tc>
        <w:tc>
          <w:tcPr>
            <w:tcW w:w="128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项目立项　</w:t>
            </w:r>
          </w:p>
        </w:tc>
        <w:tc>
          <w:tcPr>
            <w:tcW w:w="1707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立项依据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充分性</w:t>
            </w:r>
          </w:p>
        </w:tc>
        <w:tc>
          <w:tcPr>
            <w:tcW w:w="727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0.5</w:t>
            </w:r>
          </w:p>
        </w:tc>
        <w:tc>
          <w:tcPr>
            <w:tcW w:w="1044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充分</w:t>
            </w:r>
          </w:p>
        </w:tc>
        <w:tc>
          <w:tcPr>
            <w:tcW w:w="924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充分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100%</w:t>
            </w:r>
          </w:p>
        </w:tc>
        <w:tc>
          <w:tcPr>
            <w:tcW w:w="960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4" w:type="dxa"/>
            <w:vMerge w:val="continue"/>
            <w:shd w:val="clear" w:color="auto" w:fill="FFFFFF"/>
            <w:vAlign w:val="center"/>
          </w:tcPr>
          <w:p>
            <w:pPr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990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283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立项程序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规范性</w:t>
            </w:r>
          </w:p>
        </w:tc>
        <w:tc>
          <w:tcPr>
            <w:tcW w:w="727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0.5</w:t>
            </w:r>
          </w:p>
        </w:tc>
        <w:tc>
          <w:tcPr>
            <w:tcW w:w="1044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规范</w:t>
            </w:r>
          </w:p>
        </w:tc>
        <w:tc>
          <w:tcPr>
            <w:tcW w:w="924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规范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100%</w:t>
            </w:r>
          </w:p>
        </w:tc>
        <w:tc>
          <w:tcPr>
            <w:tcW w:w="960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4" w:type="dxa"/>
            <w:vMerge w:val="continue"/>
            <w:shd w:val="clear" w:color="auto" w:fill="FFFFFF"/>
            <w:vAlign w:val="center"/>
          </w:tcPr>
          <w:p>
            <w:pPr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990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28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绩效目标　</w:t>
            </w:r>
          </w:p>
        </w:tc>
        <w:tc>
          <w:tcPr>
            <w:tcW w:w="1707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绩效目标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合理性</w:t>
            </w:r>
          </w:p>
        </w:tc>
        <w:tc>
          <w:tcPr>
            <w:tcW w:w="727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1</w:t>
            </w:r>
          </w:p>
        </w:tc>
        <w:tc>
          <w:tcPr>
            <w:tcW w:w="1044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合理</w:t>
            </w:r>
          </w:p>
        </w:tc>
        <w:tc>
          <w:tcPr>
            <w:tcW w:w="924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合理</w:t>
            </w:r>
          </w:p>
        </w:tc>
        <w:tc>
          <w:tcPr>
            <w:tcW w:w="1215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100%</w:t>
            </w:r>
          </w:p>
        </w:tc>
        <w:tc>
          <w:tcPr>
            <w:tcW w:w="960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1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4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990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283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绩效指标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明确性</w:t>
            </w:r>
          </w:p>
        </w:tc>
        <w:tc>
          <w:tcPr>
            <w:tcW w:w="727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1</w:t>
            </w:r>
          </w:p>
        </w:tc>
        <w:tc>
          <w:tcPr>
            <w:tcW w:w="1044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明确</w:t>
            </w:r>
          </w:p>
        </w:tc>
        <w:tc>
          <w:tcPr>
            <w:tcW w:w="924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明确</w:t>
            </w:r>
          </w:p>
        </w:tc>
        <w:tc>
          <w:tcPr>
            <w:tcW w:w="1215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100%</w:t>
            </w:r>
          </w:p>
        </w:tc>
        <w:tc>
          <w:tcPr>
            <w:tcW w:w="960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1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4" w:type="dxa"/>
            <w:vMerge w:val="continue"/>
            <w:shd w:val="clear" w:color="auto" w:fill="FFFFFF"/>
            <w:vAlign w:val="center"/>
          </w:tcPr>
          <w:p>
            <w:pPr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990" w:type="dxa"/>
            <w:vMerge w:val="continue"/>
            <w:shd w:val="clear" w:color="auto" w:fill="FFFFFF"/>
            <w:vAlign w:val="center"/>
          </w:tcPr>
          <w:p>
            <w:pPr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28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资金投入</w:t>
            </w:r>
          </w:p>
        </w:tc>
        <w:tc>
          <w:tcPr>
            <w:tcW w:w="1707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预算编制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科学性</w:t>
            </w:r>
          </w:p>
        </w:tc>
        <w:tc>
          <w:tcPr>
            <w:tcW w:w="727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1</w:t>
            </w:r>
          </w:p>
        </w:tc>
        <w:tc>
          <w:tcPr>
            <w:tcW w:w="1044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科学</w:t>
            </w:r>
          </w:p>
        </w:tc>
        <w:tc>
          <w:tcPr>
            <w:tcW w:w="924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科学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90%</w:t>
            </w:r>
          </w:p>
        </w:tc>
        <w:tc>
          <w:tcPr>
            <w:tcW w:w="960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4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990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283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资金分配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合理性</w:t>
            </w:r>
          </w:p>
        </w:tc>
        <w:tc>
          <w:tcPr>
            <w:tcW w:w="727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1</w:t>
            </w:r>
          </w:p>
        </w:tc>
        <w:tc>
          <w:tcPr>
            <w:tcW w:w="1044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合理</w:t>
            </w:r>
          </w:p>
        </w:tc>
        <w:tc>
          <w:tcPr>
            <w:tcW w:w="924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合理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90%</w:t>
            </w:r>
          </w:p>
        </w:tc>
        <w:tc>
          <w:tcPr>
            <w:tcW w:w="960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4" w:type="dxa"/>
            <w:vMerge w:val="restart"/>
            <w:shd w:val="clear" w:color="auto" w:fill="FFFFFF"/>
            <w:vAlign w:val="center"/>
          </w:tcPr>
          <w:p>
            <w:pPr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过程</w:t>
            </w:r>
          </w:p>
          <w:p>
            <w:pPr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990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32"/>
                <w:szCs w:val="32"/>
                <w:highlight w:val="none"/>
              </w:rPr>
              <w:t>5分</w:t>
            </w:r>
          </w:p>
        </w:tc>
        <w:tc>
          <w:tcPr>
            <w:tcW w:w="128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资金管理</w:t>
            </w:r>
          </w:p>
        </w:tc>
        <w:tc>
          <w:tcPr>
            <w:tcW w:w="1707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资金到位率</w:t>
            </w:r>
          </w:p>
        </w:tc>
        <w:tc>
          <w:tcPr>
            <w:tcW w:w="727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1</w:t>
            </w:r>
          </w:p>
        </w:tc>
        <w:tc>
          <w:tcPr>
            <w:tcW w:w="1044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100%</w:t>
            </w:r>
          </w:p>
        </w:tc>
        <w:tc>
          <w:tcPr>
            <w:tcW w:w="924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1215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960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104" w:type="dxa"/>
            <w:vMerge w:val="continue"/>
            <w:shd w:val="clear" w:color="auto" w:fill="FFFFFF"/>
            <w:vAlign w:val="center"/>
          </w:tcPr>
          <w:p>
            <w:pPr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990" w:type="dxa"/>
            <w:vMerge w:val="continue"/>
            <w:shd w:val="clear" w:color="auto" w:fill="FFFFFF"/>
            <w:vAlign w:val="center"/>
          </w:tcPr>
          <w:p>
            <w:pPr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283" w:type="dxa"/>
            <w:vMerge w:val="continue"/>
            <w:shd w:val="clear" w:color="auto" w:fill="FFFFFF"/>
            <w:vAlign w:val="center"/>
          </w:tcPr>
          <w:p>
            <w:pPr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预算执行率</w:t>
            </w:r>
          </w:p>
        </w:tc>
        <w:tc>
          <w:tcPr>
            <w:tcW w:w="727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1</w:t>
            </w:r>
          </w:p>
        </w:tc>
        <w:tc>
          <w:tcPr>
            <w:tcW w:w="1044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100%</w:t>
            </w:r>
          </w:p>
        </w:tc>
        <w:tc>
          <w:tcPr>
            <w:tcW w:w="924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93%</w:t>
            </w:r>
          </w:p>
        </w:tc>
        <w:tc>
          <w:tcPr>
            <w:tcW w:w="960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both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0.93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4" w:type="dxa"/>
            <w:vMerge w:val="continue"/>
            <w:shd w:val="clear" w:color="auto" w:fill="FFFFFF"/>
            <w:vAlign w:val="center"/>
          </w:tcPr>
          <w:p>
            <w:pPr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990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283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资金管理</w:t>
            </w:r>
          </w:p>
        </w:tc>
        <w:tc>
          <w:tcPr>
            <w:tcW w:w="1707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资金使用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合规性</w:t>
            </w:r>
          </w:p>
        </w:tc>
        <w:tc>
          <w:tcPr>
            <w:tcW w:w="727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1</w:t>
            </w:r>
          </w:p>
        </w:tc>
        <w:tc>
          <w:tcPr>
            <w:tcW w:w="1044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合格</w:t>
            </w:r>
          </w:p>
        </w:tc>
        <w:tc>
          <w:tcPr>
            <w:tcW w:w="924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1215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960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4" w:type="dxa"/>
            <w:vMerge w:val="continue"/>
            <w:shd w:val="clear" w:color="auto" w:fill="FFFFFF"/>
            <w:vAlign w:val="center"/>
          </w:tcPr>
          <w:p>
            <w:pPr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990" w:type="dxa"/>
            <w:vMerge w:val="continue"/>
            <w:shd w:val="clear" w:color="auto" w:fill="FFFFFF"/>
            <w:vAlign w:val="center"/>
          </w:tcPr>
          <w:p>
            <w:pPr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28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组织实施</w:t>
            </w:r>
          </w:p>
        </w:tc>
        <w:tc>
          <w:tcPr>
            <w:tcW w:w="1707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管理制度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健全性</w:t>
            </w:r>
          </w:p>
        </w:tc>
        <w:tc>
          <w:tcPr>
            <w:tcW w:w="727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1</w:t>
            </w:r>
          </w:p>
        </w:tc>
        <w:tc>
          <w:tcPr>
            <w:tcW w:w="1044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健全</w:t>
            </w:r>
          </w:p>
        </w:tc>
        <w:tc>
          <w:tcPr>
            <w:tcW w:w="924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健全</w:t>
            </w:r>
          </w:p>
        </w:tc>
        <w:tc>
          <w:tcPr>
            <w:tcW w:w="1215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960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4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990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283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制度执行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有效性</w:t>
            </w:r>
          </w:p>
        </w:tc>
        <w:tc>
          <w:tcPr>
            <w:tcW w:w="727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1</w:t>
            </w:r>
          </w:p>
        </w:tc>
        <w:tc>
          <w:tcPr>
            <w:tcW w:w="1044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有效</w:t>
            </w:r>
          </w:p>
        </w:tc>
        <w:tc>
          <w:tcPr>
            <w:tcW w:w="924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有效</w:t>
            </w:r>
          </w:p>
        </w:tc>
        <w:tc>
          <w:tcPr>
            <w:tcW w:w="1215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100%</w:t>
            </w:r>
          </w:p>
        </w:tc>
        <w:tc>
          <w:tcPr>
            <w:tcW w:w="960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10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产出</w:t>
            </w:r>
          </w:p>
        </w:tc>
        <w:tc>
          <w:tcPr>
            <w:tcW w:w="990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32"/>
                <w:szCs w:val="32"/>
                <w:highlight w:val="none"/>
              </w:rPr>
              <w:t>50分</w:t>
            </w:r>
          </w:p>
        </w:tc>
        <w:tc>
          <w:tcPr>
            <w:tcW w:w="1283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产出数量</w:t>
            </w:r>
          </w:p>
        </w:tc>
        <w:tc>
          <w:tcPr>
            <w:tcW w:w="1707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实际完成率</w:t>
            </w:r>
          </w:p>
        </w:tc>
        <w:tc>
          <w:tcPr>
            <w:tcW w:w="727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15</w:t>
            </w:r>
          </w:p>
        </w:tc>
        <w:tc>
          <w:tcPr>
            <w:tcW w:w="1044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100%</w:t>
            </w:r>
          </w:p>
        </w:tc>
        <w:tc>
          <w:tcPr>
            <w:tcW w:w="924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100%</w:t>
            </w:r>
          </w:p>
        </w:tc>
        <w:tc>
          <w:tcPr>
            <w:tcW w:w="1215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100%</w:t>
            </w:r>
          </w:p>
        </w:tc>
        <w:tc>
          <w:tcPr>
            <w:tcW w:w="960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104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990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283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产出质量</w:t>
            </w:r>
          </w:p>
        </w:tc>
        <w:tc>
          <w:tcPr>
            <w:tcW w:w="1707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质量达标率</w:t>
            </w:r>
          </w:p>
        </w:tc>
        <w:tc>
          <w:tcPr>
            <w:tcW w:w="727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10</w:t>
            </w:r>
          </w:p>
        </w:tc>
        <w:tc>
          <w:tcPr>
            <w:tcW w:w="1044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100%</w:t>
            </w:r>
          </w:p>
        </w:tc>
        <w:tc>
          <w:tcPr>
            <w:tcW w:w="924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100%</w:t>
            </w:r>
          </w:p>
        </w:tc>
        <w:tc>
          <w:tcPr>
            <w:tcW w:w="1215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100%</w:t>
            </w:r>
          </w:p>
        </w:tc>
        <w:tc>
          <w:tcPr>
            <w:tcW w:w="960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4" w:type="dxa"/>
            <w:vMerge w:val="continue"/>
            <w:shd w:val="clear" w:color="auto" w:fill="FFFFFF"/>
            <w:vAlign w:val="center"/>
          </w:tcPr>
          <w:p>
            <w:pPr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990" w:type="dxa"/>
            <w:vMerge w:val="continue"/>
            <w:shd w:val="clear" w:color="auto" w:fill="FFFFFF"/>
            <w:vAlign w:val="center"/>
          </w:tcPr>
          <w:p>
            <w:pPr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283" w:type="dxa"/>
            <w:shd w:val="clear" w:color="auto" w:fill="FFFFFF"/>
            <w:vAlign w:val="center"/>
          </w:tcPr>
          <w:p>
            <w:pPr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产出时效</w:t>
            </w:r>
          </w:p>
        </w:tc>
        <w:tc>
          <w:tcPr>
            <w:tcW w:w="1707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完成及时性</w:t>
            </w:r>
          </w:p>
        </w:tc>
        <w:tc>
          <w:tcPr>
            <w:tcW w:w="727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15</w:t>
            </w:r>
          </w:p>
        </w:tc>
        <w:tc>
          <w:tcPr>
            <w:tcW w:w="1044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及时</w:t>
            </w:r>
          </w:p>
        </w:tc>
        <w:tc>
          <w:tcPr>
            <w:tcW w:w="924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及时</w:t>
            </w:r>
          </w:p>
        </w:tc>
        <w:tc>
          <w:tcPr>
            <w:tcW w:w="1215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90%</w:t>
            </w:r>
          </w:p>
        </w:tc>
        <w:tc>
          <w:tcPr>
            <w:tcW w:w="960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13.5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4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990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283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产出成本</w:t>
            </w:r>
          </w:p>
        </w:tc>
        <w:tc>
          <w:tcPr>
            <w:tcW w:w="1707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成本节约率</w:t>
            </w:r>
          </w:p>
        </w:tc>
        <w:tc>
          <w:tcPr>
            <w:tcW w:w="727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10</w:t>
            </w:r>
          </w:p>
        </w:tc>
        <w:tc>
          <w:tcPr>
            <w:tcW w:w="1044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100%</w:t>
            </w:r>
          </w:p>
        </w:tc>
        <w:tc>
          <w:tcPr>
            <w:tcW w:w="924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100%</w:t>
            </w:r>
          </w:p>
        </w:tc>
        <w:tc>
          <w:tcPr>
            <w:tcW w:w="1215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100%</w:t>
            </w:r>
          </w:p>
        </w:tc>
        <w:tc>
          <w:tcPr>
            <w:tcW w:w="960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效益　</w:t>
            </w:r>
          </w:p>
        </w:tc>
        <w:tc>
          <w:tcPr>
            <w:tcW w:w="990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40分</w:t>
            </w:r>
          </w:p>
        </w:tc>
        <w:tc>
          <w:tcPr>
            <w:tcW w:w="128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项目效益　</w:t>
            </w:r>
          </w:p>
        </w:tc>
        <w:tc>
          <w:tcPr>
            <w:tcW w:w="1707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实施效益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（社会效益、经济效益、可持续效益）</w:t>
            </w:r>
          </w:p>
        </w:tc>
        <w:tc>
          <w:tcPr>
            <w:tcW w:w="727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30</w:t>
            </w:r>
          </w:p>
        </w:tc>
        <w:tc>
          <w:tcPr>
            <w:tcW w:w="1044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有效</w:t>
            </w:r>
          </w:p>
        </w:tc>
        <w:tc>
          <w:tcPr>
            <w:tcW w:w="924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有效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100%</w:t>
            </w:r>
          </w:p>
        </w:tc>
        <w:tc>
          <w:tcPr>
            <w:tcW w:w="960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30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4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990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283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满意度</w:t>
            </w:r>
          </w:p>
        </w:tc>
        <w:tc>
          <w:tcPr>
            <w:tcW w:w="727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10</w:t>
            </w:r>
          </w:p>
        </w:tc>
        <w:tc>
          <w:tcPr>
            <w:tcW w:w="1044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≥90%</w:t>
            </w:r>
          </w:p>
        </w:tc>
        <w:tc>
          <w:tcPr>
            <w:tcW w:w="924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90%</w:t>
            </w:r>
          </w:p>
        </w:tc>
        <w:tc>
          <w:tcPr>
            <w:tcW w:w="1215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100%</w:t>
            </w:r>
          </w:p>
        </w:tc>
        <w:tc>
          <w:tcPr>
            <w:tcW w:w="960" w:type="dxa"/>
            <w:shd w:val="clear" w:color="000000" w:fill="FFFFFF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highlight w:val="none"/>
              </w:rPr>
              <w:t>10</w:t>
            </w:r>
          </w:p>
        </w:tc>
      </w:tr>
    </w:tbl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hint="eastAsia" w:ascii="仿宋_GB2312"/>
          <w:sz w:val="32"/>
          <w:szCs w:val="32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2" w:firstLineChars="200"/>
        <w:textAlignment w:val="auto"/>
        <w:outlineLvl w:val="0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（一）项目决策情况。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项目立项符合法律法规、相关政策及部门职责，能反映和考核项目立项依据情况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项目申请、设立过程符合相关要求，能反映和考核项目立项的规范情况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所设定的绩效目标依据充分，符合客观实际，能反映和考核项目绩效目标与项目实施的相符情况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依据绩效目标设定的绩效指标清晰、细化、可衡量，能反映和考核项目绩效目标的明细化情况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2" w:firstLineChars="200"/>
        <w:textAlignment w:val="auto"/>
        <w:outlineLvl w:val="0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（二）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项目过程情况。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0"/>
        <w:rPr>
          <w:rFonts w:hint="eastAsia" w:ascii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按照预期绩效目标执行预算资金。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2" w:firstLineChars="200"/>
        <w:textAlignment w:val="auto"/>
        <w:outlineLvl w:val="0"/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（三）</w:t>
      </w: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项目产出情况。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24" w:firstLineChars="200"/>
        <w:textAlignment w:val="auto"/>
        <w:rPr>
          <w:rStyle w:val="7"/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7"/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1.开展1期，50人，5天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自治区农业产业化龙头企业管理人员培训班</w:t>
      </w:r>
      <w:r>
        <w:rPr>
          <w:rStyle w:val="7"/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培训班</w:t>
      </w:r>
      <w:r>
        <w:rPr>
          <w:rStyle w:val="7"/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Style w:val="7"/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开展1期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，50人，5天自治区乡村休闲旅游业经营管理人员培训班。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Style w:val="7"/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开展1期，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50人，5天自治区农业农村创业培训班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Style w:val="7"/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开展1期，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50人，5天举办自治区龙头企业资本市场专题培训班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24" w:firstLineChars="200"/>
        <w:textAlignment w:val="auto"/>
        <w:rPr>
          <w:rStyle w:val="7"/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7"/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5.开展</w:t>
      </w:r>
      <w:r>
        <w:rPr>
          <w:rStyle w:val="7"/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培训班筹备、调研指导、协助组织展会工作开展</w:t>
      </w:r>
      <w:r>
        <w:rPr>
          <w:rStyle w:val="7"/>
          <w:rFonts w:hint="eastAsia" w:ascii="仿宋_GB2312" w:hAnsi="仿宋_GB2312" w:cs="仿宋_GB2312"/>
          <w:b w:val="0"/>
          <w:bCs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Style w:val="7"/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次数</w:t>
      </w:r>
      <w:r>
        <w:rPr>
          <w:rStyle w:val="7"/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Style w:val="8"/>
          <w:rFonts w:hint="default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Style w:val="8"/>
          <w:rFonts w:hint="default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质量指标方面：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Style w:val="8"/>
          <w:rFonts w:hint="default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1.龙头企业调度、专题调研、项目检查工完成率</w:t>
      </w:r>
      <w:r>
        <w:rPr>
          <w:rStyle w:val="8"/>
          <w:rFonts w:hint="eastAsia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100%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Style w:val="8"/>
          <w:rFonts w:hint="eastAsia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2.培训班出勤率</w:t>
      </w:r>
      <w:r>
        <w:rPr>
          <w:rStyle w:val="8"/>
          <w:rFonts w:hint="eastAsia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Style w:val="8"/>
          <w:rFonts w:hint="eastAsia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100</w:t>
      </w:r>
      <w:r>
        <w:rPr>
          <w:rStyle w:val="8"/>
          <w:rFonts w:hint="eastAsia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%</w:t>
      </w:r>
      <w:r>
        <w:rPr>
          <w:rStyle w:val="8"/>
          <w:rFonts w:hint="eastAsia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ab/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20" w:lineRule="exact"/>
        <w:ind w:firstLine="640" w:firstLineChars="200"/>
        <w:jc w:val="both"/>
        <w:textAlignment w:val="auto"/>
        <w:rPr>
          <w:rStyle w:val="8"/>
          <w:rFonts w:hint="default" w:ascii="Times New Roman" w:hAnsi="Times New Roman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default" w:ascii="Times New Roman" w:hAnsi="Times New Roman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成本指标方面：</w:t>
      </w:r>
    </w:p>
    <w:p>
      <w:pPr>
        <w:pStyle w:val="3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20" w:lineRule="exact"/>
        <w:ind w:firstLine="640" w:firstLineChars="200"/>
        <w:jc w:val="both"/>
        <w:textAlignment w:val="auto"/>
        <w:rPr>
          <w:rStyle w:val="8"/>
          <w:rFonts w:hint="eastAsia" w:ascii="Times New Roman" w:hAnsi="Times New Roman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default" w:ascii="Times New Roman" w:hAnsi="Times New Roman" w:eastAsia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培训班人均成本200元/人</w:t>
      </w:r>
    </w:p>
    <w:p>
      <w:pPr>
        <w:pStyle w:val="3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20" w:lineRule="exact"/>
        <w:ind w:firstLine="640" w:firstLineChars="200"/>
        <w:jc w:val="both"/>
        <w:textAlignment w:val="auto"/>
        <w:rPr>
          <w:rStyle w:val="8"/>
          <w:rFonts w:hint="default" w:ascii="Times New Roman" w:hAnsi="Times New Roman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Style w:val="8"/>
          <w:rFonts w:hint="eastAsia" w:ascii="Times New Roman" w:hAnsi="Times New Roman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开展培训班、龙头企业调度、专题调研、项目检查督导、协助组织展会工作成本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19.27</w:t>
      </w:r>
      <w:r>
        <w:rPr>
          <w:rStyle w:val="8"/>
          <w:rFonts w:hint="eastAsia" w:ascii="Times New Roman" w:hAnsi="Times New Roman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万元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缴纳残保金3.3万元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购置办公设备，所需经费2.73万元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Style w:val="8"/>
          <w:rFonts w:hint="default" w:ascii="Times New Roman" w:hAnsi="Times New Roman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default" w:ascii="Times New Roman" w:hAnsi="Times New Roman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时效指标方面：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Style w:val="8"/>
          <w:rFonts w:hint="eastAsia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Style w:val="8"/>
          <w:rFonts w:hint="default" w:ascii="Times New Roman" w:hAnsi="Times New Roman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自治区农业产业化龙头企业培训按期完成率</w:t>
      </w:r>
      <w:r>
        <w:rPr>
          <w:rStyle w:val="8"/>
          <w:rFonts w:hint="eastAsia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100%。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Style w:val="8"/>
          <w:rFonts w:hint="default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2.完成龙头企业调度、专题调研、项目检查报告及时率90%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（四）项目效益情况。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Style w:val="8"/>
          <w:rFonts w:hint="default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Style w:val="8"/>
          <w:rFonts w:hint="default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社会效益指标方面：拓宽企业思路增加销售渠道，提升企业销售量</w:t>
      </w:r>
      <w:r>
        <w:rPr>
          <w:rStyle w:val="8"/>
          <w:rFonts w:hint="eastAsia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Style w:val="8"/>
          <w:rFonts w:hint="default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农业行业专业技术人才水平提升</w:t>
      </w:r>
      <w:r>
        <w:rPr>
          <w:rStyle w:val="8"/>
          <w:rFonts w:hint="eastAsia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Style w:val="8"/>
          <w:rFonts w:hint="default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ab/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Style w:val="8"/>
          <w:rFonts w:hint="default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满意度指标方面：</w:t>
      </w:r>
      <w:r>
        <w:rPr>
          <w:rStyle w:val="8"/>
          <w:rFonts w:hint="eastAsia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参与培训学员及参与评审专业技术人员满意度达到了</w:t>
      </w:r>
      <w:r>
        <w:rPr>
          <w:rStyle w:val="8"/>
          <w:rFonts w:hint="eastAsia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90%。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五、</w:t>
      </w: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主要经验及做法、存在的问题及原因分析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为确保项目顺利进行，提前做好项目规划，将所列计划再三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2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</w:rPr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eastAsia="zh-CN"/>
        </w:rPr>
        <w:t>事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</w:rPr>
        <w:t>中监督和事后检查稽核相结合的监督制度上来，形成多环节全程的监督管理格局，尽量早发现问题，早解决问题。</w:t>
      </w:r>
    </w:p>
    <w:p>
      <w:pPr>
        <w:keepNext/>
        <w:keepLines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2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存在的问题及原因分析</w:t>
      </w:r>
    </w:p>
    <w:p>
      <w:pPr>
        <w:pStyle w:val="3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20" w:lineRule="exact"/>
        <w:ind w:firstLine="640" w:firstLineChars="200"/>
        <w:jc w:val="both"/>
        <w:textAlignment w:val="auto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</w:rPr>
        <w:t>存在的问题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/>
        </w:rPr>
        <w:t>及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</w:rPr>
        <w:t>原因分析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/>
        </w:rPr>
        <w:t>无</w:t>
      </w:r>
    </w:p>
    <w:p>
      <w:pPr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黑体" w:hAnsi="黑体" w:eastAsia="黑体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>
      <w:pPr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 w:firstLineChars="200"/>
        <w:textAlignment w:val="auto"/>
        <w:rPr>
          <w:rFonts w:hint="eastAsia"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其他需要说明的问题</w:t>
      </w:r>
    </w:p>
    <w:p>
      <w:pPr>
        <w:pStyle w:val="4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无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hint="eastAsia" w:ascii="黑体" w:hAnsi="黑体" w:eastAsia="黑体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DejaVu Sans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4B1CCF"/>
    <w:multiLevelType w:val="singleLevel"/>
    <w:tmpl w:val="9F4B1CCF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F9379A8"/>
    <w:multiLevelType w:val="singleLevel"/>
    <w:tmpl w:val="FF9379A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38F0C646"/>
    <w:multiLevelType w:val="singleLevel"/>
    <w:tmpl w:val="38F0C64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FD4082"/>
    <w:rsid w:val="11B7532B"/>
    <w:rsid w:val="15DD7459"/>
    <w:rsid w:val="16A424B0"/>
    <w:rsid w:val="1F0B55D3"/>
    <w:rsid w:val="231C0CA2"/>
    <w:rsid w:val="317272FE"/>
    <w:rsid w:val="32985B1F"/>
    <w:rsid w:val="429F53EA"/>
    <w:rsid w:val="45EC0627"/>
    <w:rsid w:val="46682D90"/>
    <w:rsid w:val="46876249"/>
    <w:rsid w:val="52DE10F4"/>
    <w:rsid w:val="61A06DFC"/>
    <w:rsid w:val="6F4155A5"/>
    <w:rsid w:val="75912503"/>
    <w:rsid w:val="75FBCE11"/>
    <w:rsid w:val="7D7D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  <w:rPr>
      <w:rFonts w:ascii="Calibri" w:hAnsi="Calibri" w:eastAsia="宋体"/>
    </w:rPr>
  </w:style>
  <w:style w:type="paragraph" w:styleId="3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4">
    <w:name w:val="Body Text First Indent 2"/>
    <w:basedOn w:val="2"/>
    <w:qFormat/>
    <w:uiPriority w:val="0"/>
    <w:pPr>
      <w:ind w:firstLine="420" w:firstLineChars="200"/>
    </w:pPr>
  </w:style>
  <w:style w:type="character" w:styleId="7">
    <w:name w:val="Strong"/>
    <w:basedOn w:val="6"/>
    <w:qFormat/>
    <w:uiPriority w:val="0"/>
    <w:rPr>
      <w:b/>
      <w:bCs/>
    </w:rPr>
  </w:style>
  <w:style w:type="character" w:customStyle="1" w:styleId="8">
    <w:name w:val="fontstyle01"/>
    <w:qFormat/>
    <w:uiPriority w:val="0"/>
    <w:rPr>
      <w:rFonts w:ascii="仿宋_GB2312" w:hAnsi="仿宋_GB2312" w:eastAsia="仿宋_GB2312" w:cs="仿宋_GB2312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266</Words>
  <Characters>266</Characters>
  <Lines>0</Lines>
  <Paragraphs>0</Paragraphs>
  <TotalTime>27</TotalTime>
  <ScaleCrop>false</ScaleCrop>
  <LinksUpToDate>false</LinksUpToDate>
  <CharactersWithSpaces>266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2024-03-04T13:11:00Z</dcterms:created>
  <dc:creator>Administrator</dc:creator>
  <cp:lastModifiedBy>user</cp:lastModifiedBy>
  <cp:lastPrinted>2025-02-19T11:08:00Z</cp:lastPrinted>
  <dcterms:modified xsi:type="dcterms:W3CDTF">2025-09-01T16:18:54Z</dcterms:modified>
  <dc:title>附件2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4CBA51F098A84EE1BF0E059B495C134A</vt:lpwstr>
  </property>
</Properties>
</file>