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新疆维吾尔自治区农产品加工技术推广中心</w:t>
      </w: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为全区农业产业化技术推广提供服务，承担农业产业化技术开发、交流和科技成果转化等协调服务工作。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新疆维吾尔自治区农产品加工技术推广中心2024年度，实有人数7人，其中：在职人员7人，较上年无变化；离休人员0人，较上年无变化；退休人员0人，较上年无变化；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新疆维吾尔自治区农产品加工技术推广中心无下属预算单位，下设0个，分别是：</w:t>
      </w:r>
      <w:r>
        <w:rPr>
          <w:rFonts w:hint="eastAsia" w:ascii="仿宋_GB2312" w:eastAsia="仿宋_GB2312"/>
          <w:b w:val="0"/>
          <w:sz w:val="32"/>
          <w:szCs w:val="32"/>
          <w:lang w:eastAsia="zh-CN"/>
        </w:rPr>
        <w:t>本单位无下设科室</w:t>
      </w:r>
      <w:r>
        <w:rPr>
          <w:rFonts w:ascii="仿宋_GB2312" w:eastAsia="仿宋_GB2312"/>
          <w:b w:val="0"/>
          <w:sz w:val="32"/>
          <w:szCs w:val="32"/>
        </w:rPr>
        <w:t>。</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2024年度收入总计182.21万元，其中：本年收入合计181.43万元，使用非财政拨款结余（含专用结余）0.00万元，年初结转和结余0.78万元。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2024年度支出总计182.21万元，其中：本年支出合计181.38万元，结余分配0.00万元，年末结转和结余0.83万元。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收入支出总体与上年相比，增加0.99万元，增长0.55%，主要原因是：人员基本工资、绩效奖增加，故人员经费较上年有所增长。</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本年收入181.43万元，其中：财政拨款收入181.40万元,占99.98%；上级补助收入0.00万元,占0.00%；事业收入0.00万元，占0.00%；经营收入0.00万元,占0.00%；附属单位上缴收入0.00万元，占0.00%；其他收入0.03万元，占0.02%。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本年支出181.38万元，其中：基本支出153.39万元，占84.57%；项目支出27.99万元，占15.43%；上缴上级支出0.00万元，占0.00%；经营支出0.00万元，占0.00%；对附属单位补助支出0.00万元，占0.00%。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2024年度财政拨款收入总计181.40万元，其中：年初财政拨款结转和结余0.00万元，本年财政拨款收入181.40万元。财政拨款支出总计181.40万元，其中：年末财政拨款结转和结余0.02万元，本年财政拨款支出181.38万元。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0.29万元，增长0.16%，主要原因是：人员基本工资、绩效奖增加，故人员经费较上年有所增长。与年初预算相比，年初预算数168.17万元，决算数181.40万元，预决算差异率7.87%，主要原因是：年中追加基本工资、绩效奖及结亲交通费等，故预决算有所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181.38万元，占本年支出合计的100.00%。与上年相比，增加0.27万元，增长0.15%，主要原因是：人员基本工资、绩效奖增加，故总支出较上年有所增长。与年初预算相比，年初预算数168.17万元，决算数181.38万元，预决算差异率7.86%，主要原因是：年中追加基本工资、绩效奖及结亲交通费等支出，故预决算有所差异。</w:t>
      </w:r>
    </w:p>
    <w:p>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社会保障和就业支出（类）14.43万元，占7.96%。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卫生健康支出（类）13.08万元，占7.21%。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农林水支出（类）143.04万元，占78.86%。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住房保障支出（类）10.82万元，占5.97%。</w:t>
      </w:r>
    </w:p>
    <w:p>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机关事业单位基本养老保险缴费支出（项）：支出决算数为14.43万元，比上年决算减少0.49万元，下降3.28%，主要原因是：2023年3月1人调出，年末在职人数与2024年无变化，但2023年的预算是按照在职8人拨付支出，2024年较上年减少1人经费，故养老保险金支出较上年下降。</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行政事业单位医疗（款）事业单位医疗（项）：支出决算数为6.76万元，比上年决算减少0.23万元，下降3.29%，主要原因是：2023年3月1人调出，年末在职人数与2024年无变化，但2023年的预算是按照在职8人拨付支出，2024年较上年减少1人经费，故事业单位医疗支出较上年下降。</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行政事业单位医疗（款）公务员医疗补助（项）：支出决算数为6.31万元，比上年决算减少0.21万元，下降3.22%，主要原因是：2023年3月1人调出，年末在职人数与2024年无变化，但2023年的预算是按照在职8人拨付支出，2024年较上年减少1人经费，故公务员医疗补助支出较上年下降。</w:t>
      </w:r>
    </w:p>
    <w:p>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val="en-US" w:eastAsia="zh-CN"/>
        </w:rPr>
      </w:pPr>
      <w:r>
        <w:rPr>
          <w:rFonts w:hint="eastAsia" w:ascii="仿宋_GB2312" w:eastAsia="仿宋_GB2312"/>
          <w:b w:val="0"/>
          <w:sz w:val="32"/>
          <w:szCs w:val="32"/>
          <w:lang w:val="en-US" w:eastAsia="zh-CN"/>
        </w:rPr>
        <w:t>4.</w:t>
      </w:r>
      <w:r>
        <w:rPr>
          <w:rFonts w:ascii="仿宋_GB2312" w:eastAsia="仿宋_GB2312"/>
          <w:b w:val="0"/>
          <w:sz w:val="32"/>
          <w:szCs w:val="32"/>
        </w:rPr>
        <w:t>农林水支出（类）农业农村（款）事业运行（项）：支出决算数为115.05万元，比上年决算增加3.44万元，增长3.08%，主要原因是：</w:t>
      </w:r>
      <w:r>
        <w:rPr>
          <w:rFonts w:hint="eastAsia" w:ascii="仿宋_GB2312" w:eastAsia="仿宋_GB2312"/>
          <w:b w:val="0"/>
          <w:sz w:val="32"/>
          <w:szCs w:val="32"/>
          <w:lang w:eastAsia="zh-CN"/>
        </w:rPr>
        <w:t>当年人员调增工资、社保基数增加，故相应经费增加。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农林水支出（类）农业农村（款）农业生产发展（项）：支出决算数为27.99万元，比上年决算增加27.99万元，增长100.00%，主要原因是：</w:t>
      </w:r>
      <w:r>
        <w:rPr>
          <w:rFonts w:hint="eastAsia" w:ascii="仿宋_GB2312" w:eastAsia="仿宋_GB2312"/>
          <w:b w:val="0"/>
          <w:sz w:val="32"/>
          <w:szCs w:val="32"/>
          <w:lang w:eastAsia="zh-CN"/>
        </w:rPr>
        <w:t>因上年自治区农业生产发展项目经费，</w:t>
      </w:r>
      <w:r>
        <w:rPr>
          <w:rFonts w:ascii="仿宋_GB2312" w:eastAsia="仿宋_GB2312"/>
          <w:b w:val="0"/>
          <w:sz w:val="32"/>
          <w:szCs w:val="32"/>
        </w:rPr>
        <w:t>未使用农林水支出（类）农业农村（款）农业生产发展（项）</w:t>
      </w:r>
      <w:r>
        <w:rPr>
          <w:rFonts w:hint="eastAsia" w:ascii="仿宋_GB2312" w:eastAsia="仿宋_GB2312"/>
          <w:b w:val="0"/>
          <w:sz w:val="32"/>
          <w:szCs w:val="32"/>
          <w:lang w:eastAsia="zh-CN"/>
        </w:rPr>
        <w:t>该</w:t>
      </w:r>
      <w:r>
        <w:rPr>
          <w:rFonts w:ascii="仿宋_GB2312" w:eastAsia="仿宋_GB2312"/>
          <w:b w:val="0"/>
          <w:sz w:val="32"/>
          <w:szCs w:val="32"/>
        </w:rPr>
        <w:t>功能科目，故较上年增加。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农林水支出（类）农业农村（款）其他农业农村支出（项）：支出决算数为0.00万元，比上年决算减少29.88万元，下降100.00%，主要原因是：</w:t>
      </w:r>
      <w:r>
        <w:rPr>
          <w:rFonts w:hint="eastAsia" w:ascii="仿宋_GB2312" w:eastAsia="仿宋_GB2312"/>
          <w:b w:val="0"/>
          <w:sz w:val="32"/>
          <w:szCs w:val="32"/>
          <w:lang w:eastAsia="zh-CN"/>
        </w:rPr>
        <w:t>因本</w:t>
      </w:r>
      <w:r>
        <w:rPr>
          <w:rFonts w:ascii="仿宋_GB2312" w:eastAsia="仿宋_GB2312"/>
          <w:b w:val="0"/>
          <w:sz w:val="32"/>
          <w:szCs w:val="32"/>
        </w:rPr>
        <w:t>年</w:t>
      </w:r>
      <w:r>
        <w:rPr>
          <w:rFonts w:hint="eastAsia" w:ascii="仿宋_GB2312" w:eastAsia="仿宋_GB2312"/>
          <w:b w:val="0"/>
          <w:sz w:val="32"/>
          <w:szCs w:val="32"/>
          <w:lang w:eastAsia="zh-CN"/>
        </w:rPr>
        <w:t>自治区农业生产发展项目经费，</w:t>
      </w:r>
      <w:r>
        <w:rPr>
          <w:rFonts w:ascii="仿宋_GB2312" w:eastAsia="仿宋_GB2312"/>
          <w:b w:val="0"/>
          <w:sz w:val="32"/>
          <w:szCs w:val="32"/>
        </w:rPr>
        <w:t>未使用农林水支出（类）农业农村（款）其他农业农村支出（项）功能科目，故较上年减少。</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住房保障支出（类）住房改革支出（款）住房公积金（项）：支出决算数为10.82万元，比上年决算减少0.37万元，下降3.31%，主要原因是：2023年3月1人调出，年末在职人数与2024年无变化，但2023年的预算是按照在职8人拨付支出，2024年较上年减少1人经费，故住房公积金支出较上年下降。</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153.39万元，其中：人员经费143.97万元，包括：基本工资、津贴补贴、奖金、绩效工资、机关事业单位基本养老保险缴费、职工基本医疗保险缴费、公务员医疗补助缴费、其他社会保障缴费、住房公积金和其他工资福利支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公用经费9.42万元，包括：办公费、水费、电费、邮电费、物业管理费、差旅费、工会经费、福利费、公务用车运行维护费和其他交通费用。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2024年度财政拨款“三公”经费支出1.47万元，比上年减少0.03万元，下降2.00%，主要原因是：根据厅里安排，2024年将该单位车辆交由驻村工作队使用，减少过路费的开支，故较上年减少 。其中：因公出国（境）费支出0.00万元,占0.00%，与上年相比无变化，主要原因是：年初未安排因公出国（境）费支出；公务用车购置及运行维护费支出1.47万元，占100.00%，比上年减少0.03万元，下降2.00%，主要原因是：根据厅里安排，2024年将该单位车辆交由驻村工作队使用，减少过路费的开支，故较上年减少；公务接待费支出0.00万元，占0.00%，与上年相比无变化，主要原因是：年初未安排公务接待费支出。</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1.47万元，其中：公务用车购置费0.00万元，公务用车运行维护费1.47万元。公务用车运行维护费开支内容包括车辆保险、车辆维修保养、车辆燃油、车辆过路费。公务用车购置数0辆，公务用车保有量2辆。国有资产占用情况中固定资产车辆2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1.47万元，决算数1.47万元，预决算差异率0.00%，主要原因是：严格按照全年预算数执行，无差异。其中：因公出国（境）费全年预算数0.00万元，决算数0.00万元，预决算差异率0.00%，主要原因是：年初预算未安排因公出国（境）费；公务用车购置费全年预算数0.00万元，决算数0.00万元，预决算差异率0.00%，主要原因是：年初预算未安排公务用车购置费；公务用车运行维护费全年预算数1.47万元，决算数1.47万元，预决算差异率0.00%，主要原因是：严格按照全年预算数执行，无差异；公务接待费全年预算数0.00万元，决算数0.00万元，预决算差异率0.00%，主要原因是：年初预算未安排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2024年度新疆维吾尔自治区农产品加工技术推广中心单位（事业单位）公用经费支出9.42万元，比上年增加0.74万元，增长8.53%，主要原因是：2024年将公车运行维护费列支到基本公用经费中，故较上年增加。</w:t>
      </w:r>
    </w:p>
    <w:p>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2024年政府采购支出总额13.33万元，其中：政府采购货物支出0.00万元、政府采购工程支出0.00万元、政府采购服务支出13.33万元。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授予中小企业合同金额11.59万元，占政府采购支出总额的86.95%，其中：授予小微企业合同金额11.59万元，占政府采购支出总额的86.95%。</w:t>
      </w:r>
    </w:p>
    <w:p>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4,199.00平方米，价值220.60万元。车辆2辆，价值81.90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b w:val="0"/>
          <w:sz w:val="32"/>
          <w:szCs w:val="32"/>
          <w:lang w:val="en-US" w:eastAsia="zh-CN"/>
        </w:rPr>
        <w:t>一般公务用车；</w:t>
      </w:r>
      <w:bookmarkStart w:id="0" w:name="_GoBack"/>
      <w:bookmarkEnd w:id="0"/>
      <w:r>
        <w:rPr>
          <w:rFonts w:ascii="仿宋_GB2312" w:eastAsia="仿宋_GB2312"/>
          <w:b w:val="0"/>
          <w:sz w:val="32"/>
          <w:szCs w:val="32"/>
        </w:rPr>
        <w:t>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28.00万元，全年执行数27.99万元，预算绩效管理取得的成效：一是积极落实并强化绩效意识，实现预算和绩效管理一体化，严格绩效目标管理，并开展绩效运行监控，针对发现项目开展过程中的问题及时处理</w:t>
      </w:r>
      <w:r>
        <w:rPr>
          <w:rFonts w:hint="eastAsia" w:ascii="仿宋_GB2312" w:eastAsia="仿宋_GB2312"/>
          <w:b w:val="0"/>
          <w:sz w:val="32"/>
          <w:szCs w:val="32"/>
          <w:lang w:eastAsia="zh-CN"/>
        </w:rPr>
        <w:t>；</w:t>
      </w:r>
      <w:r>
        <w:rPr>
          <w:rFonts w:ascii="仿宋_GB2312" w:eastAsia="仿宋_GB2312"/>
          <w:b w:val="0"/>
          <w:sz w:val="32"/>
          <w:szCs w:val="32"/>
        </w:rPr>
        <w:t>二是始终坚持节约的原则，所有项目资金使用方向和列支科目均按照预算经济分类科目进行，项目资金的支出额度与申报预算额度基本一致，项目实施进度符合进度的要求，资金全部支出用到了项目上，做到了项目资金的专款专用</w:t>
      </w:r>
      <w:r>
        <w:rPr>
          <w:rFonts w:hint="eastAsia" w:ascii="仿宋_GB2312" w:eastAsia="仿宋_GB2312"/>
          <w:b w:val="0"/>
          <w:sz w:val="32"/>
          <w:szCs w:val="32"/>
          <w:lang w:eastAsia="zh-CN"/>
        </w:rPr>
        <w:t>。</w:t>
      </w:r>
      <w:r>
        <w:rPr>
          <w:rFonts w:ascii="仿宋_GB2312" w:eastAsia="仿宋_GB2312"/>
          <w:b w:val="0"/>
          <w:sz w:val="32"/>
          <w:szCs w:val="32"/>
        </w:rPr>
        <w:t>发现的问题及原因：一是预算内容不完整，追加预算无法纳入预算管理</w:t>
      </w:r>
      <w:r>
        <w:rPr>
          <w:rFonts w:hint="eastAsia" w:ascii="仿宋_GB2312" w:eastAsia="仿宋_GB2312"/>
          <w:b w:val="0"/>
          <w:sz w:val="32"/>
          <w:szCs w:val="32"/>
          <w:lang w:eastAsia="zh-CN"/>
        </w:rPr>
        <w:t>；</w:t>
      </w:r>
      <w:r>
        <w:rPr>
          <w:rFonts w:ascii="仿宋_GB2312" w:eastAsia="仿宋_GB2312"/>
          <w:b w:val="0"/>
          <w:sz w:val="32"/>
          <w:szCs w:val="32"/>
        </w:rPr>
        <w:t>二是预决算差异率大，不能全面反映预算单位的真实收支内容</w:t>
      </w:r>
      <w:r>
        <w:rPr>
          <w:rFonts w:hint="eastAsia" w:ascii="仿宋_GB2312" w:eastAsia="仿宋_GB2312"/>
          <w:b w:val="0"/>
          <w:sz w:val="32"/>
          <w:szCs w:val="32"/>
          <w:lang w:eastAsia="zh-CN"/>
        </w:rPr>
        <w:t>。</w:t>
      </w:r>
      <w:r>
        <w:rPr>
          <w:rFonts w:ascii="仿宋_GB2312" w:eastAsia="仿宋_GB2312"/>
          <w:b w:val="0"/>
          <w:sz w:val="32"/>
          <w:szCs w:val="32"/>
        </w:rPr>
        <w:t>下一步改进措施：一是从单位管理层重视和学习预算绩效管理方法，组织内部培训学习及交流，强化并树立预算绩效管理意识，提升预算绩效管理水平；二是结合单位职能、业务及预算管理，科学制定预算绩效指标，有效促进项目的实施。具体项目</w:t>
      </w:r>
      <w:r>
        <w:rPr>
          <w:rFonts w:hint="eastAsia" w:ascii="仿宋_GB2312" w:eastAsia="仿宋_GB2312"/>
          <w:b w:val="0"/>
          <w:sz w:val="32"/>
          <w:szCs w:val="32"/>
          <w:lang w:eastAsia="zh-CN"/>
        </w:rPr>
        <w:t>自评情况附绩效自评表及自评报告。</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76936"/>
    <w:rsid w:val="1E034778"/>
    <w:rsid w:val="34BE56B0"/>
    <w:rsid w:val="4C366EC1"/>
    <w:rsid w:val="4D8E1F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5383</Words>
  <Characters>5996</Characters>
  <TotalTime>5</TotalTime>
  <ScaleCrop>false</ScaleCrop>
  <LinksUpToDate>false</LinksUpToDate>
  <CharactersWithSpaces>5997</CharactersWithSpaces>
  <Application>WPS Office_10.8.2.7058_F1E327BC-269C-435d-A152-05C5408002CA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2025-08-18T09:47:00Z</dcterms:created>
  <dc:creator>admin</dc:creator>
  <cp:lastModifiedBy>蜜蜜</cp:lastModifiedBy>
  <dcterms:modified xsi:type="dcterms:W3CDTF">2025-08-26T08:40:29Z</dcterms:modified>
  <dc:title>新疆维吾尔自治区农产品加工技术推广中心2024年度部门决算公开说明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