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eastAsia="宋体"/>
          <w:sz w:val="32"/>
          <w:szCs w:val="32"/>
        </w:rPr>
      </w:pPr>
    </w:p>
    <w:p>
      <w:pPr>
        <w:widowControl/>
        <w:jc w:val="left"/>
        <w:rPr>
          <w:rFonts w:ascii="宋体" w:eastAsia="宋体"/>
          <w:sz w:val="44"/>
          <w:szCs w:val="44"/>
        </w:rPr>
      </w:pPr>
    </w:p>
    <w:p>
      <w:pPr>
        <w:widowControl/>
        <w:jc w:val="left"/>
        <w:rPr>
          <w:rFonts w:ascii="宋体" w:eastAsia="宋体"/>
          <w:sz w:val="44"/>
          <w:szCs w:val="44"/>
        </w:rPr>
      </w:pPr>
    </w:p>
    <w:p>
      <w:pPr>
        <w:widowControl/>
        <w:jc w:val="left"/>
        <w:rPr>
          <w:rFonts w:ascii="宋体" w:eastAsia="宋体"/>
          <w:sz w:val="44"/>
          <w:szCs w:val="44"/>
        </w:rPr>
      </w:pPr>
    </w:p>
    <w:p>
      <w:pPr>
        <w:widowControl/>
        <w:jc w:val="center"/>
        <w:outlineLvl w:val="0"/>
        <w:rPr>
          <w:rFonts w:ascii="宋体" w:eastAsia="黑体"/>
          <w:sz w:val="44"/>
          <w:szCs w:val="44"/>
        </w:rPr>
      </w:pPr>
      <w:r>
        <w:rPr>
          <w:rFonts w:ascii="宋体" w:eastAsia="黑体"/>
          <w:sz w:val="44"/>
          <w:szCs w:val="44"/>
        </w:rPr>
        <w:t>新疆维吾尔自治区海南良种繁育基地</w:t>
      </w:r>
    </w:p>
    <w:p>
      <w:pPr>
        <w:widowControl/>
        <w:jc w:val="center"/>
        <w:outlineLvl w:val="0"/>
        <w:rPr>
          <w:rFonts w:ascii="黑体" w:eastAsia="黑体"/>
          <w:sz w:val="44"/>
          <w:szCs w:val="44"/>
        </w:rPr>
      </w:pPr>
      <w:r>
        <w:rPr>
          <w:rFonts w:ascii="黑体" w:eastAsia="黑体"/>
          <w:sz w:val="44"/>
          <w:szCs w:val="44"/>
        </w:rPr>
        <w:t>2024年度部门决算公开说明</w:t>
      </w:r>
    </w:p>
    <w:p>
      <w:pPr>
        <w:widowControl/>
      </w:pPr>
      <w:r>
        <w:rPr>
          <w:sz w:val="0"/>
          <w:szCs w:val="0"/>
        </w:rPr>
        <w:br w:type="page"/>
      </w:r>
    </w:p>
    <w:p>
      <w:pPr>
        <w:widowControl/>
        <w:jc w:val="center"/>
        <w:rPr>
          <w:rFonts w:ascii="黑体" w:eastAsia="黑体"/>
          <w:sz w:val="32"/>
          <w:szCs w:val="32"/>
        </w:rPr>
      </w:pPr>
      <w:r>
        <w:rPr>
          <w:rFonts w:ascii="黑体" w:eastAsia="黑体"/>
          <w:b/>
          <w:sz w:val="32"/>
          <w:szCs w:val="32"/>
        </w:rPr>
        <w:t>目录</w:t>
      </w:r>
    </w:p>
    <w:p>
      <w:pPr>
        <w:widowControl/>
        <w:jc w:val="left"/>
        <w:rPr>
          <w:rFonts w:ascii="仿宋_GB2312" w:eastAsia="仿宋_GB2312"/>
          <w:sz w:val="32"/>
          <w:szCs w:val="32"/>
        </w:rPr>
      </w:pPr>
      <w:r>
        <w:rPr>
          <w:rFonts w:ascii="仿宋_GB2312" w:eastAsia="仿宋_GB2312"/>
          <w:b/>
          <w:sz w:val="32"/>
          <w:szCs w:val="32"/>
        </w:rPr>
        <w:t>第一部分单位概况</w:t>
      </w:r>
    </w:p>
    <w:p>
      <w:pPr>
        <w:widowControl/>
        <w:jc w:val="left"/>
        <w:rPr>
          <w:rFonts w:ascii="仿宋_GB2312" w:eastAsia="仿宋_GB2312"/>
          <w:sz w:val="32"/>
          <w:szCs w:val="32"/>
        </w:rPr>
      </w:pPr>
      <w:r>
        <w:rPr>
          <w:rFonts w:ascii="仿宋_GB2312" w:eastAsia="仿宋_GB2312"/>
          <w:sz w:val="32"/>
          <w:szCs w:val="32"/>
        </w:rPr>
        <w:t>一、主要职能</w:t>
      </w:r>
    </w:p>
    <w:p>
      <w:pPr>
        <w:widowControl/>
        <w:jc w:val="left"/>
        <w:rPr>
          <w:rFonts w:ascii="仿宋_GB2312" w:eastAsia="仿宋_GB2312"/>
          <w:sz w:val="32"/>
          <w:szCs w:val="32"/>
        </w:rPr>
      </w:pPr>
      <w:r>
        <w:rPr>
          <w:rFonts w:ascii="仿宋_GB2312" w:eastAsia="仿宋_GB2312"/>
          <w:sz w:val="32"/>
          <w:szCs w:val="32"/>
        </w:rPr>
        <w:t>二、机构设置及人员情况</w:t>
      </w:r>
    </w:p>
    <w:p>
      <w:pPr>
        <w:widowControl/>
        <w:jc w:val="left"/>
        <w:rPr>
          <w:rFonts w:ascii="仿宋_GB2312" w:eastAsia="仿宋_GB2312"/>
          <w:sz w:val="32"/>
          <w:szCs w:val="32"/>
        </w:rPr>
      </w:pPr>
      <w:r>
        <w:rPr>
          <w:rFonts w:ascii="仿宋_GB2312" w:eastAsia="仿宋_GB2312"/>
          <w:b/>
          <w:sz w:val="32"/>
          <w:szCs w:val="32"/>
        </w:rPr>
        <w:t>第二部分部门决算情况说明</w:t>
      </w:r>
    </w:p>
    <w:p>
      <w:pPr>
        <w:widowControl/>
        <w:jc w:val="left"/>
        <w:rPr>
          <w:rFonts w:ascii="仿宋_GB2312" w:eastAsia="仿宋_GB2312"/>
          <w:sz w:val="32"/>
          <w:szCs w:val="32"/>
        </w:rPr>
      </w:pPr>
      <w:r>
        <w:rPr>
          <w:rFonts w:ascii="仿宋_GB2312" w:eastAsia="仿宋_GB2312"/>
          <w:sz w:val="32"/>
          <w:szCs w:val="32"/>
        </w:rPr>
        <w:t>一、收入支出决算总体情况说明</w:t>
      </w:r>
    </w:p>
    <w:p>
      <w:pPr>
        <w:widowControl/>
        <w:jc w:val="left"/>
        <w:rPr>
          <w:rFonts w:ascii="仿宋_GB2312" w:eastAsia="仿宋_GB2312"/>
          <w:sz w:val="32"/>
          <w:szCs w:val="32"/>
        </w:rPr>
      </w:pPr>
      <w:r>
        <w:rPr>
          <w:rFonts w:ascii="仿宋_GB2312" w:eastAsia="仿宋_GB2312"/>
          <w:sz w:val="32"/>
          <w:szCs w:val="32"/>
        </w:rPr>
        <w:t>二、收入决算情况说明</w:t>
      </w:r>
    </w:p>
    <w:p>
      <w:pPr>
        <w:widowControl/>
        <w:jc w:val="left"/>
        <w:rPr>
          <w:rFonts w:ascii="仿宋_GB2312" w:eastAsia="仿宋_GB2312"/>
          <w:sz w:val="32"/>
          <w:szCs w:val="32"/>
        </w:rPr>
      </w:pPr>
      <w:r>
        <w:rPr>
          <w:rFonts w:ascii="仿宋_GB2312" w:eastAsia="仿宋_GB2312"/>
          <w:sz w:val="32"/>
          <w:szCs w:val="32"/>
        </w:rPr>
        <w:t>三、支出决算情况说明</w:t>
      </w:r>
    </w:p>
    <w:p>
      <w:pPr>
        <w:widowControl/>
        <w:jc w:val="left"/>
        <w:rPr>
          <w:rFonts w:ascii="仿宋_GB2312" w:eastAsia="仿宋_GB2312"/>
          <w:sz w:val="32"/>
          <w:szCs w:val="32"/>
        </w:rPr>
      </w:pPr>
      <w:r>
        <w:rPr>
          <w:rFonts w:ascii="仿宋_GB2312" w:eastAsia="仿宋_GB2312"/>
          <w:sz w:val="32"/>
          <w:szCs w:val="32"/>
        </w:rPr>
        <w:t>四、财政拨款收入支出决算总体情况说明</w:t>
      </w:r>
    </w:p>
    <w:p>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pPr>
        <w:widowControl/>
        <w:jc w:val="left"/>
        <w:rPr>
          <w:rFonts w:ascii="仿宋_GB2312" w:eastAsia="仿宋_GB2312"/>
          <w:sz w:val="32"/>
          <w:szCs w:val="32"/>
        </w:rPr>
      </w:pPr>
      <w:r>
        <w:rPr>
          <w:rFonts w:ascii="仿宋_GB2312" w:eastAsia="仿宋_GB2312"/>
          <w:sz w:val="32"/>
          <w:szCs w:val="32"/>
        </w:rPr>
        <w:t>九、财政拨款“三公”经费支出决算情况说明</w:t>
      </w:r>
    </w:p>
    <w:p>
      <w:pPr>
        <w:widowControl/>
        <w:jc w:val="left"/>
        <w:rPr>
          <w:rFonts w:ascii="仿宋_GB2312" w:eastAsia="仿宋_GB2312"/>
          <w:sz w:val="32"/>
          <w:szCs w:val="32"/>
        </w:rPr>
      </w:pPr>
      <w:r>
        <w:rPr>
          <w:rFonts w:ascii="仿宋_GB2312" w:eastAsia="仿宋_GB2312"/>
          <w:sz w:val="32"/>
          <w:szCs w:val="32"/>
        </w:rPr>
        <w:t>十、其他重要事项的情况说明</w:t>
      </w:r>
    </w:p>
    <w:p>
      <w:pPr>
        <w:widowControl/>
        <w:jc w:val="left"/>
        <w:rPr>
          <w:rFonts w:ascii="仿宋_GB2312" w:eastAsia="仿宋_GB2312"/>
          <w:sz w:val="32"/>
          <w:szCs w:val="32"/>
        </w:rPr>
      </w:pPr>
      <w:r>
        <w:rPr>
          <w:rFonts w:ascii="仿宋_GB2312" w:eastAsia="仿宋_GB2312"/>
          <w:sz w:val="32"/>
          <w:szCs w:val="32"/>
        </w:rPr>
        <w:t>（一）机关运行经费及公用经费支出情况</w:t>
      </w:r>
    </w:p>
    <w:p>
      <w:pPr>
        <w:widowControl/>
        <w:jc w:val="left"/>
        <w:rPr>
          <w:rFonts w:ascii="仿宋_GB2312" w:eastAsia="仿宋_GB2312"/>
          <w:sz w:val="32"/>
          <w:szCs w:val="32"/>
        </w:rPr>
      </w:pPr>
      <w:r>
        <w:rPr>
          <w:rFonts w:ascii="仿宋_GB2312" w:eastAsia="仿宋_GB2312"/>
          <w:sz w:val="32"/>
          <w:szCs w:val="32"/>
        </w:rPr>
        <w:t>（二）政府采购情况</w:t>
      </w:r>
    </w:p>
    <w:p>
      <w:pPr>
        <w:widowControl/>
        <w:jc w:val="left"/>
        <w:rPr>
          <w:rFonts w:ascii="仿宋_GB2312" w:eastAsia="仿宋_GB2312"/>
          <w:sz w:val="32"/>
          <w:szCs w:val="32"/>
        </w:rPr>
      </w:pPr>
      <w:r>
        <w:rPr>
          <w:rFonts w:ascii="仿宋_GB2312" w:eastAsia="仿宋_GB2312"/>
          <w:sz w:val="32"/>
          <w:szCs w:val="32"/>
        </w:rPr>
        <w:t>（三）国有资产占用情况说明</w:t>
      </w:r>
    </w:p>
    <w:p>
      <w:pPr>
        <w:widowControl/>
        <w:jc w:val="left"/>
        <w:rPr>
          <w:rFonts w:ascii="仿宋_GB2312" w:eastAsia="仿宋_GB2312"/>
          <w:sz w:val="32"/>
          <w:szCs w:val="32"/>
        </w:rPr>
      </w:pPr>
      <w:r>
        <w:rPr>
          <w:rFonts w:ascii="仿宋_GB2312" w:eastAsia="仿宋_GB2312"/>
          <w:sz w:val="32"/>
          <w:szCs w:val="32"/>
        </w:rPr>
        <w:t>十一、预算绩效的情况说明</w:t>
      </w:r>
    </w:p>
    <w:p>
      <w:pPr>
        <w:widowControl/>
        <w:jc w:val="left"/>
        <w:rPr>
          <w:rFonts w:ascii="仿宋_GB2312" w:eastAsia="仿宋_GB2312"/>
          <w:sz w:val="32"/>
          <w:szCs w:val="32"/>
        </w:rPr>
      </w:pPr>
      <w:r>
        <w:rPr>
          <w:rFonts w:ascii="仿宋_GB2312" w:eastAsia="仿宋_GB2312"/>
          <w:sz w:val="32"/>
          <w:szCs w:val="32"/>
        </w:rPr>
        <w:t>十二、其他需说明的事项</w:t>
      </w:r>
    </w:p>
    <w:p>
      <w:pPr>
        <w:widowControl/>
        <w:jc w:val="left"/>
        <w:rPr>
          <w:rFonts w:ascii="仿宋_GB2312" w:eastAsia="仿宋_GB2312"/>
          <w:sz w:val="32"/>
          <w:szCs w:val="32"/>
        </w:rPr>
      </w:pPr>
      <w:r>
        <w:rPr>
          <w:rFonts w:ascii="仿宋_GB2312" w:eastAsia="仿宋_GB2312"/>
          <w:b/>
          <w:sz w:val="32"/>
          <w:szCs w:val="32"/>
        </w:rPr>
        <w:t>第三部分专业名词解释</w:t>
      </w:r>
    </w:p>
    <w:p>
      <w:pPr>
        <w:widowControl/>
        <w:jc w:val="left"/>
        <w:rPr>
          <w:rFonts w:ascii="仿宋_GB2312" w:eastAsia="仿宋_GB2312"/>
          <w:sz w:val="32"/>
          <w:szCs w:val="32"/>
        </w:rPr>
      </w:pPr>
      <w:r>
        <w:rPr>
          <w:rFonts w:ascii="仿宋_GB2312" w:eastAsia="仿宋_GB2312"/>
          <w:b/>
          <w:sz w:val="32"/>
          <w:szCs w:val="32"/>
        </w:rPr>
        <w:t>第四部分部门决算报表（见附表）</w:t>
      </w:r>
    </w:p>
    <w:p>
      <w:pPr>
        <w:widowControl/>
        <w:jc w:val="left"/>
        <w:rPr>
          <w:rFonts w:ascii="仿宋_GB2312" w:eastAsia="仿宋_GB2312"/>
          <w:sz w:val="32"/>
          <w:szCs w:val="32"/>
        </w:rPr>
      </w:pPr>
      <w:r>
        <w:rPr>
          <w:rFonts w:ascii="仿宋_GB2312" w:eastAsia="仿宋_GB2312"/>
          <w:sz w:val="32"/>
          <w:szCs w:val="32"/>
        </w:rPr>
        <w:t>一、《收入支出决算总表》</w:t>
      </w:r>
    </w:p>
    <w:p>
      <w:pPr>
        <w:widowControl/>
        <w:jc w:val="left"/>
        <w:rPr>
          <w:rFonts w:ascii="仿宋_GB2312" w:eastAsia="仿宋_GB2312"/>
          <w:sz w:val="32"/>
          <w:szCs w:val="32"/>
        </w:rPr>
      </w:pPr>
      <w:r>
        <w:rPr>
          <w:rFonts w:ascii="仿宋_GB2312" w:eastAsia="仿宋_GB2312"/>
          <w:sz w:val="32"/>
          <w:szCs w:val="32"/>
        </w:rPr>
        <w:t>二、《收入决算表》</w:t>
      </w:r>
    </w:p>
    <w:p>
      <w:pPr>
        <w:widowControl/>
        <w:jc w:val="left"/>
        <w:rPr>
          <w:rFonts w:ascii="仿宋_GB2312" w:eastAsia="仿宋_GB2312"/>
          <w:sz w:val="32"/>
          <w:szCs w:val="32"/>
        </w:rPr>
      </w:pPr>
      <w:r>
        <w:rPr>
          <w:rFonts w:ascii="仿宋_GB2312" w:eastAsia="仿宋_GB2312"/>
          <w:sz w:val="32"/>
          <w:szCs w:val="32"/>
        </w:rPr>
        <w:t>三、《支出决算表》</w:t>
      </w:r>
    </w:p>
    <w:p>
      <w:pPr>
        <w:widowControl/>
        <w:jc w:val="left"/>
        <w:rPr>
          <w:rFonts w:ascii="仿宋_GB2312" w:eastAsia="仿宋_GB2312"/>
          <w:sz w:val="32"/>
          <w:szCs w:val="32"/>
        </w:rPr>
      </w:pPr>
      <w:r>
        <w:rPr>
          <w:rFonts w:ascii="仿宋_GB2312" w:eastAsia="仿宋_GB2312"/>
          <w:sz w:val="32"/>
          <w:szCs w:val="32"/>
        </w:rPr>
        <w:t>四、《财政拨款收入支出决算总表》</w:t>
      </w:r>
    </w:p>
    <w:p>
      <w:pPr>
        <w:widowControl/>
        <w:jc w:val="left"/>
        <w:rPr>
          <w:rFonts w:ascii="仿宋_GB2312" w:eastAsia="仿宋_GB2312"/>
          <w:sz w:val="32"/>
          <w:szCs w:val="32"/>
        </w:rPr>
      </w:pPr>
      <w:r>
        <w:rPr>
          <w:rFonts w:ascii="仿宋_GB2312" w:eastAsia="仿宋_GB2312"/>
          <w:sz w:val="32"/>
          <w:szCs w:val="32"/>
        </w:rPr>
        <w:t>五、《一般公共预算财政拨款支出决算表》</w:t>
      </w:r>
    </w:p>
    <w:p>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pPr>
        <w:widowControl/>
        <w:jc w:val="left"/>
        <w:rPr>
          <w:rFonts w:ascii="仿宋_GB2312" w:eastAsia="仿宋_GB2312"/>
          <w:sz w:val="32"/>
          <w:szCs w:val="32"/>
        </w:rPr>
      </w:pPr>
      <w:r>
        <w:rPr>
          <w:rFonts w:ascii="仿宋_GB2312" w:eastAsia="仿宋_GB2312"/>
          <w:sz w:val="32"/>
          <w:szCs w:val="32"/>
        </w:rPr>
        <w:t>九、《财政拨款“三公”经费支出决算表》</w:t>
      </w:r>
    </w:p>
    <w:p>
      <w:pPr>
        <w:widowControl/>
      </w:pPr>
      <w:r>
        <w:rPr>
          <w:sz w:val="0"/>
          <w:szCs w:val="0"/>
        </w:rPr>
        <w:br w:type="page"/>
      </w:r>
    </w:p>
    <w:p>
      <w:pPr>
        <w:widowControl/>
        <w:jc w:val="center"/>
        <w:outlineLvl w:val="0"/>
        <w:rPr>
          <w:rFonts w:ascii="黑体" w:eastAsia="黑体"/>
          <w:sz w:val="32"/>
          <w:szCs w:val="32"/>
        </w:rPr>
      </w:pPr>
      <w:r>
        <w:rPr>
          <w:rFonts w:ascii="黑体" w:eastAsia="黑体"/>
          <w:sz w:val="32"/>
          <w:szCs w:val="32"/>
        </w:rPr>
        <w:t>第一部分单位概况</w:t>
      </w:r>
    </w:p>
    <w:p>
      <w:pPr>
        <w:widowControl/>
        <w:ind w:firstLine="640" w:firstLineChars="200"/>
        <w:jc w:val="left"/>
        <w:outlineLvl w:val="1"/>
        <w:rPr>
          <w:rFonts w:ascii="黑体" w:eastAsia="黑体"/>
          <w:sz w:val="32"/>
          <w:szCs w:val="32"/>
        </w:rPr>
      </w:pPr>
      <w:r>
        <w:rPr>
          <w:rFonts w:ascii="黑体" w:eastAsia="黑体"/>
          <w:sz w:val="32"/>
          <w:szCs w:val="32"/>
        </w:rPr>
        <w:t>一、主要职能</w:t>
      </w:r>
    </w:p>
    <w:p>
      <w:pPr>
        <w:widowControl/>
        <w:ind w:firstLine="640" w:firstLineChars="200"/>
        <w:rPr>
          <w:rFonts w:ascii="仿宋_GB2312" w:eastAsia="仿宋_GB2312"/>
          <w:sz w:val="32"/>
          <w:szCs w:val="32"/>
        </w:rPr>
      </w:pPr>
      <w:r>
        <w:rPr>
          <w:rFonts w:ascii="仿宋_GB2312" w:eastAsia="仿宋_GB2312"/>
          <w:sz w:val="32"/>
          <w:szCs w:val="32"/>
        </w:rPr>
        <w:t>为自治区良种繁育提高服务。承担自治区南繁工作指挥部的日常工作；为自治区农作物品种的南繁选育、引进、制种、扩繁、种子纯度鉴定和种质资源收集等工作提供相关服务和保障。</w:t>
      </w:r>
    </w:p>
    <w:p>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pPr>
        <w:widowControl/>
        <w:ind w:firstLine="640" w:firstLineChars="200"/>
        <w:rPr>
          <w:rFonts w:ascii="仿宋_GB2312" w:eastAsia="仿宋_GB2312"/>
          <w:sz w:val="32"/>
          <w:szCs w:val="32"/>
        </w:rPr>
      </w:pPr>
      <w:r>
        <w:rPr>
          <w:rFonts w:ascii="仿宋_GB2312" w:eastAsia="仿宋_GB2312"/>
          <w:sz w:val="32"/>
          <w:szCs w:val="32"/>
        </w:rPr>
        <w:t>新疆维吾尔自治区海南良种繁育基地2024年度，实有人数15人，其中：在职人员10人，减少1人；离休人员0人，较上年无变化；退休人员5人，增加1人。</w:t>
      </w:r>
    </w:p>
    <w:p>
      <w:pPr>
        <w:widowControl/>
        <w:ind w:firstLine="640" w:firstLineChars="200"/>
        <w:rPr>
          <w:rFonts w:ascii="仿宋_GB2312" w:eastAsia="仿宋_GB2312"/>
          <w:sz w:val="32"/>
          <w:szCs w:val="32"/>
        </w:rPr>
      </w:pPr>
      <w:r>
        <w:rPr>
          <w:rFonts w:ascii="仿宋_GB2312" w:eastAsia="仿宋_GB2312"/>
          <w:sz w:val="32"/>
          <w:szCs w:val="32"/>
        </w:rPr>
        <w:t>新疆维吾尔自治区海南良种繁育基地无下属预算单位，下设4个科室，分别是：办公室、产业办、管理科、技术科。</w:t>
      </w:r>
    </w:p>
    <w:p>
      <w:pPr>
        <w:widowControl/>
      </w:pPr>
      <w:r>
        <w:rPr>
          <w:sz w:val="0"/>
          <w:szCs w:val="0"/>
        </w:rPr>
        <w:br w:type="page"/>
      </w:r>
    </w:p>
    <w:p>
      <w:pPr>
        <w:widowControl/>
        <w:jc w:val="center"/>
        <w:outlineLvl w:val="0"/>
        <w:rPr>
          <w:rFonts w:ascii="黑体" w:eastAsia="黑体"/>
          <w:sz w:val="32"/>
          <w:szCs w:val="32"/>
        </w:rPr>
      </w:pPr>
      <w:r>
        <w:rPr>
          <w:rFonts w:ascii="黑体" w:eastAsia="黑体"/>
          <w:sz w:val="32"/>
          <w:szCs w:val="32"/>
        </w:rPr>
        <w:t>第二部分部门决算情况说明</w:t>
      </w:r>
    </w:p>
    <w:p>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pPr>
        <w:widowControl/>
        <w:ind w:firstLine="640" w:firstLineChars="200"/>
        <w:rPr>
          <w:rFonts w:ascii="仿宋_GB2312" w:eastAsia="仿宋_GB2312"/>
          <w:sz w:val="32"/>
          <w:szCs w:val="32"/>
        </w:rPr>
      </w:pPr>
      <w:r>
        <w:rPr>
          <w:rFonts w:ascii="仿宋_GB2312" w:eastAsia="仿宋_GB2312"/>
          <w:sz w:val="32"/>
          <w:szCs w:val="32"/>
        </w:rPr>
        <w:t>2024年度收入总计428.84万元，其中：本年收入合计412.60万元，使用非财政拨款结余（含专用结余）0.00万元，年初结转和结余16.24万元。</w:t>
      </w:r>
    </w:p>
    <w:p>
      <w:pPr>
        <w:widowControl/>
        <w:ind w:firstLine="640" w:firstLineChars="200"/>
        <w:rPr>
          <w:rFonts w:ascii="仿宋_GB2312" w:eastAsia="仿宋_GB2312"/>
          <w:sz w:val="32"/>
          <w:szCs w:val="32"/>
        </w:rPr>
      </w:pPr>
      <w:r>
        <w:rPr>
          <w:rFonts w:ascii="仿宋_GB2312" w:eastAsia="仿宋_GB2312"/>
          <w:sz w:val="32"/>
          <w:szCs w:val="32"/>
        </w:rPr>
        <w:t>2024年度支出总计428.84万元，其中：本年支出合计343.16万元，结余分配0.00万元，年末结转和结余85.69万元。</w:t>
      </w:r>
    </w:p>
    <w:p>
      <w:pPr>
        <w:widowControl/>
        <w:ind w:firstLine="640" w:firstLineChars="200"/>
        <w:rPr>
          <w:rFonts w:ascii="仿宋_GB2312" w:eastAsia="仿宋_GB2312"/>
          <w:sz w:val="32"/>
          <w:szCs w:val="32"/>
        </w:rPr>
      </w:pPr>
      <w:r>
        <w:rPr>
          <w:rFonts w:ascii="仿宋_GB2312" w:eastAsia="仿宋_GB2312"/>
          <w:sz w:val="32"/>
          <w:szCs w:val="32"/>
        </w:rPr>
        <w:t>收入支出总体与上年相比，增加45.55万元，增长11.88%，主要原因是：年中增加人员绩效奖及人员基本工资调整，相应收入支出增加。</w:t>
      </w:r>
    </w:p>
    <w:p>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pPr>
        <w:widowControl/>
        <w:ind w:firstLine="640" w:firstLineChars="200"/>
        <w:rPr>
          <w:rFonts w:ascii="仿宋_GB2312" w:eastAsia="仿宋_GB2312"/>
          <w:sz w:val="32"/>
          <w:szCs w:val="32"/>
        </w:rPr>
      </w:pPr>
      <w:r>
        <w:rPr>
          <w:rFonts w:ascii="仿宋_GB2312" w:eastAsia="仿宋_GB2312"/>
          <w:sz w:val="32"/>
          <w:szCs w:val="32"/>
        </w:rPr>
        <w:t>本年收入412.60万元，其中：财政拨款收入346.11万元,占83.89%；上级补助收入0.00万元,占0.00%；事业收入0.00万元，占0.00%；经营收入0.00万元,占0.00%；附属单位上缴收入0.00万元，占0.00%；其他收入66.49万元，占16.11%。</w:t>
      </w:r>
    </w:p>
    <w:p>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pPr>
        <w:widowControl/>
        <w:ind w:firstLine="640" w:firstLineChars="200"/>
        <w:rPr>
          <w:rFonts w:ascii="仿宋_GB2312" w:eastAsia="仿宋_GB2312"/>
          <w:sz w:val="32"/>
          <w:szCs w:val="32"/>
        </w:rPr>
      </w:pPr>
      <w:r>
        <w:rPr>
          <w:rFonts w:ascii="仿宋_GB2312" w:eastAsia="仿宋_GB2312"/>
          <w:sz w:val="32"/>
          <w:szCs w:val="32"/>
        </w:rPr>
        <w:t>本年支出343.16万元，其中：基本支出274.68万元，占80.04%；项目支出68.48万元，占19.96%；上缴上级支出0.00万元，占0.00%；经营支出0.00万元，占0.00%；对附属单位补助支出0.00万元，占0.00%。</w:t>
      </w:r>
    </w:p>
    <w:p>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pPr>
        <w:widowControl/>
        <w:ind w:firstLine="640" w:firstLineChars="200"/>
        <w:rPr>
          <w:rFonts w:ascii="仿宋_GB2312" w:eastAsia="仿宋_GB2312"/>
          <w:sz w:val="32"/>
          <w:szCs w:val="32"/>
        </w:rPr>
      </w:pPr>
      <w:r>
        <w:rPr>
          <w:rFonts w:ascii="仿宋_GB2312" w:eastAsia="仿宋_GB2312"/>
          <w:sz w:val="32"/>
          <w:szCs w:val="32"/>
        </w:rPr>
        <w:t>2024年度财政拨款收入总计355.72万元，其中：年初财政拨款结转和结余9.61万元，本年财政拨款收入346.11万元。财政拨款支出总计355.72万元，其中：年末财政拨款结转和结余14.05万元，本年财政拨款支出341.68万元。</w:t>
      </w:r>
    </w:p>
    <w:p>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财政拨款收入支出总体与上年相比，减少13.07万元，下降3.54%，主要原因是：本年</w:t>
      </w:r>
      <w:r>
        <w:rPr>
          <w:rFonts w:hint="eastAsia" w:ascii="仿宋_GB2312" w:eastAsia="仿宋_GB2312"/>
          <w:sz w:val="32"/>
          <w:szCs w:val="32"/>
        </w:rPr>
        <w:t>减少了乡村产业发展项目</w:t>
      </w:r>
      <w:r>
        <w:rPr>
          <w:rFonts w:ascii="仿宋_GB2312" w:eastAsia="仿宋_GB2312"/>
          <w:sz w:val="32"/>
          <w:szCs w:val="32"/>
        </w:rPr>
        <w:t>。与年初预算相比，年初预算数302.81万元，决算数355.72万元，预决算差异率17.47%，主要原因是：</w:t>
      </w:r>
      <w:bookmarkStart w:id="0" w:name="OLE_LINK1"/>
      <w:bookmarkStart w:id="1" w:name="OLE_LINK2"/>
      <w:r>
        <w:rPr>
          <w:rFonts w:ascii="仿宋_GB2312" w:eastAsia="仿宋_GB2312"/>
          <w:sz w:val="32"/>
          <w:szCs w:val="32"/>
        </w:rPr>
        <w:t>年中</w:t>
      </w:r>
      <w:r>
        <w:rPr>
          <w:rFonts w:hint="eastAsia" w:ascii="仿宋_GB2312" w:eastAsia="仿宋_GB2312"/>
          <w:sz w:val="32"/>
          <w:szCs w:val="32"/>
        </w:rPr>
        <w:t>追</w:t>
      </w:r>
      <w:r>
        <w:rPr>
          <w:rFonts w:ascii="仿宋_GB2312" w:eastAsia="仿宋_GB2312"/>
          <w:sz w:val="32"/>
          <w:szCs w:val="32"/>
        </w:rPr>
        <w:t>加人员绩效奖及基本工资调</w:t>
      </w:r>
      <w:r>
        <w:rPr>
          <w:rFonts w:hint="eastAsia" w:ascii="仿宋_GB2312" w:eastAsia="仿宋_GB2312"/>
          <w:sz w:val="32"/>
          <w:szCs w:val="32"/>
        </w:rPr>
        <w:t>增部分资金</w:t>
      </w:r>
      <w:r>
        <w:rPr>
          <w:rFonts w:ascii="仿宋_GB2312" w:eastAsia="仿宋_GB2312"/>
          <w:sz w:val="32"/>
          <w:szCs w:val="32"/>
        </w:rPr>
        <w:t>，</w:t>
      </w:r>
      <w:r>
        <w:rPr>
          <w:rFonts w:hint="eastAsia" w:ascii="仿宋_GB2312" w:eastAsia="仿宋_GB2312"/>
          <w:sz w:val="32"/>
          <w:szCs w:val="32"/>
        </w:rPr>
        <w:t>导致预决算存在差异</w:t>
      </w:r>
      <w:r>
        <w:rPr>
          <w:rFonts w:ascii="仿宋_GB2312" w:eastAsia="仿宋_GB2312"/>
          <w:sz w:val="32"/>
          <w:szCs w:val="32"/>
        </w:rPr>
        <w:t>。</w:t>
      </w:r>
      <w:bookmarkEnd w:id="0"/>
      <w:bookmarkEnd w:id="1"/>
    </w:p>
    <w:p>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pPr>
        <w:widowControl/>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2024年度一般公共预算财政拨款支出341.68万元，占本年支出合计的99.57%。与上年相比，减少17.49万元，下降4.87%，主要原因是：本年减少</w:t>
      </w:r>
      <w:r>
        <w:rPr>
          <w:rFonts w:hint="eastAsia" w:ascii="仿宋_GB2312" w:eastAsia="仿宋_GB2312"/>
          <w:sz w:val="32"/>
          <w:szCs w:val="32"/>
        </w:rPr>
        <w:t>乡村产业发展</w:t>
      </w:r>
      <w:r>
        <w:rPr>
          <w:rFonts w:ascii="仿宋_GB2312" w:eastAsia="仿宋_GB2312"/>
          <w:sz w:val="32"/>
          <w:szCs w:val="32"/>
        </w:rPr>
        <w:t>项目。与年初预算相比，年初预算数302.81万元，决算数341.68万元，预决算差异率12.84%，主要原因是：年中追加人员绩效奖及基本工资调增部分资金，导致预决算存在差异。</w:t>
      </w:r>
    </w:p>
    <w:p>
      <w:pPr>
        <w:widowControl/>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ind w:firstLine="640" w:firstLineChars="200"/>
        <w:rPr>
          <w:rFonts w:ascii="仿宋_GB2312" w:eastAsia="仿宋_GB2312"/>
          <w:sz w:val="32"/>
          <w:szCs w:val="32"/>
        </w:rPr>
      </w:pPr>
      <w:r>
        <w:rPr>
          <w:rFonts w:ascii="仿宋_GB2312" w:eastAsia="仿宋_GB2312"/>
          <w:sz w:val="32"/>
          <w:szCs w:val="32"/>
        </w:rPr>
        <w:t>社会保障和就业支出（类）43.87万元，占12.84%。</w:t>
      </w:r>
    </w:p>
    <w:p>
      <w:pPr>
        <w:widowControl/>
        <w:ind w:firstLine="640" w:firstLineChars="200"/>
        <w:rPr>
          <w:rFonts w:ascii="仿宋_GB2312" w:eastAsia="仿宋_GB2312"/>
          <w:sz w:val="32"/>
          <w:szCs w:val="32"/>
        </w:rPr>
      </w:pPr>
      <w:r>
        <w:rPr>
          <w:rFonts w:ascii="仿宋_GB2312" w:eastAsia="仿宋_GB2312"/>
          <w:sz w:val="32"/>
          <w:szCs w:val="32"/>
        </w:rPr>
        <w:t>卫生健康支出（类）22.42万元，占6.56%。</w:t>
      </w:r>
    </w:p>
    <w:p>
      <w:pPr>
        <w:widowControl/>
        <w:ind w:firstLine="640" w:firstLineChars="200"/>
        <w:rPr>
          <w:rFonts w:ascii="仿宋_GB2312" w:eastAsia="仿宋_GB2312"/>
          <w:sz w:val="32"/>
          <w:szCs w:val="32"/>
        </w:rPr>
      </w:pPr>
      <w:r>
        <w:rPr>
          <w:rFonts w:ascii="仿宋_GB2312" w:eastAsia="仿宋_GB2312"/>
          <w:sz w:val="32"/>
          <w:szCs w:val="32"/>
        </w:rPr>
        <w:t>农林水支出（类）256.84万元，占75.17%。</w:t>
      </w:r>
    </w:p>
    <w:p>
      <w:pPr>
        <w:widowControl/>
        <w:ind w:firstLine="640" w:firstLineChars="200"/>
        <w:rPr>
          <w:rFonts w:ascii="仿宋_GB2312" w:eastAsia="仿宋_GB2312"/>
          <w:sz w:val="32"/>
          <w:szCs w:val="32"/>
        </w:rPr>
      </w:pPr>
      <w:r>
        <w:rPr>
          <w:rFonts w:ascii="仿宋_GB2312" w:eastAsia="仿宋_GB2312"/>
          <w:sz w:val="32"/>
          <w:szCs w:val="32"/>
        </w:rPr>
        <w:t>住房保障支出（类）18.55万元，占5.43%。</w:t>
      </w:r>
    </w:p>
    <w:p>
      <w:pPr>
        <w:widowControl/>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社会保障和就业支出（类）行政事业单位养老支出（款）事业单位离退休（项）：支出决算数为9.26万元，比上年决算增加0.96万元，增长11.57%，主要原因是：新增退休人员及增加了退休人员的绩效工资，相应费用增加。</w:t>
      </w:r>
    </w:p>
    <w:p>
      <w:pPr>
        <w:widowControl/>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社会保障和就业支出（类）行政事业单位养老支出（款）机关事业单位基本养老保险缴费支出（项）：支出决算数为24.09万元，比上年决算增加2.74万元，增长12.83%，主要原因是：人员工资正常晋升及调整基本工资，致机关事业单位基本养老保险缴费支出数较上年增加。</w:t>
      </w:r>
    </w:p>
    <w:p>
      <w:pPr>
        <w:widowControl/>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社会保障和就业支出（类）行政事业单位养老支出（款）机关事业单位职业年金缴费支出（项）：支出决算数为10.52万元，比上年决算增加3.29万元，增长45.50%，主要原因是：本年新增退休人员，职业年金增加。</w:t>
      </w:r>
    </w:p>
    <w:p>
      <w:pPr>
        <w:widowControl/>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卫生健康支出（类）行政事业单位医疗（款）事业单位医疗（项）：支出决算数为11.60万元，比上年决算增加0.98万元，增长9.23%，主要原因是：人员工资正常晋升及调整基本工资，相应机关事业单位基本医疗保险缴费支出数较上年增加。</w:t>
      </w:r>
    </w:p>
    <w:p>
      <w:pPr>
        <w:widowControl/>
        <w:ind w:firstLine="640" w:firstLineChars="20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卫生健康支出（类）行政事业单位医疗（款）公务员医疗补助（项）：支出决算数为10.82万元，比上年决算减少0.15万元，下降1.37%，主要原因是：在职人员较上年减少，相应经费减少。</w:t>
      </w:r>
    </w:p>
    <w:p>
      <w:pPr>
        <w:widowControl/>
        <w:ind w:firstLine="640" w:firstLineChars="200"/>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农林水支出（类）农业农村（款）事业运行（项）：支出决算数为189.84万元，比上年决算增加4.13万元，增长2.22%，主要原因是：在职人员因正常晋升及基本工资标准提高，相应支出数较上年增加。</w:t>
      </w:r>
    </w:p>
    <w:p>
      <w:pPr>
        <w:widowControl/>
        <w:ind w:firstLine="640" w:firstLineChars="200"/>
        <w:rPr>
          <w:rFonts w:ascii="仿宋_GB2312" w:eastAsia="仿宋_GB2312"/>
          <w:sz w:val="32"/>
          <w:szCs w:val="32"/>
        </w:rPr>
      </w:pPr>
      <w:r>
        <w:rPr>
          <w:rFonts w:hint="eastAsia" w:ascii="仿宋_GB2312" w:eastAsia="仿宋_GB2312"/>
          <w:sz w:val="32"/>
          <w:szCs w:val="32"/>
        </w:rPr>
        <w:t>7、</w:t>
      </w:r>
      <w:r>
        <w:rPr>
          <w:rFonts w:ascii="仿宋_GB2312" w:eastAsia="仿宋_GB2312"/>
          <w:sz w:val="32"/>
          <w:szCs w:val="32"/>
        </w:rPr>
        <w:t>农林水支出（类）农业农村（款）科技转化与推广服务（项）：支出决算数为20.00万元，与上年相比无变化，主要原因是：</w:t>
      </w:r>
      <w:r>
        <w:rPr>
          <w:rFonts w:hint="eastAsia" w:ascii="仿宋_GB2312" w:eastAsia="仿宋_GB2312"/>
          <w:sz w:val="32"/>
          <w:szCs w:val="32"/>
        </w:rPr>
        <w:t>农业农村科技转化与推广服务项目资金与上年一致无变化</w:t>
      </w:r>
      <w:r>
        <w:rPr>
          <w:rFonts w:ascii="仿宋_GB2312" w:eastAsia="仿宋_GB2312"/>
          <w:sz w:val="32"/>
          <w:szCs w:val="32"/>
        </w:rPr>
        <w:t>。</w:t>
      </w:r>
    </w:p>
    <w:p>
      <w:pPr>
        <w:widowControl/>
        <w:ind w:firstLine="640" w:firstLineChars="200"/>
        <w:rPr>
          <w:rFonts w:ascii="仿宋_GB2312" w:eastAsia="仿宋_GB2312"/>
          <w:sz w:val="32"/>
          <w:szCs w:val="32"/>
        </w:rPr>
      </w:pPr>
      <w:r>
        <w:rPr>
          <w:rFonts w:hint="eastAsia" w:ascii="仿宋_GB2312" w:eastAsia="仿宋_GB2312"/>
          <w:sz w:val="32"/>
          <w:szCs w:val="32"/>
        </w:rPr>
        <w:t>8、</w:t>
      </w:r>
      <w:r>
        <w:rPr>
          <w:rFonts w:ascii="仿宋_GB2312" w:eastAsia="仿宋_GB2312"/>
          <w:sz w:val="32"/>
          <w:szCs w:val="32"/>
        </w:rPr>
        <w:t>农林水支出（类）农业农村（款）农业生产发展（项）：支出决算数为0.00万元，比上年决算减少30.00万元，下降100.00%，主要原因是：</w:t>
      </w:r>
      <w:r>
        <w:rPr>
          <w:rFonts w:hint="eastAsia" w:ascii="仿宋_GB2312" w:eastAsia="仿宋_GB2312"/>
          <w:sz w:val="32"/>
          <w:szCs w:val="32"/>
        </w:rPr>
        <w:t>本年减少乡村产业发展项目资金</w:t>
      </w:r>
      <w:r>
        <w:rPr>
          <w:rFonts w:ascii="仿宋_GB2312" w:eastAsia="仿宋_GB2312"/>
          <w:sz w:val="32"/>
          <w:szCs w:val="32"/>
        </w:rPr>
        <w:t>。</w:t>
      </w:r>
    </w:p>
    <w:p>
      <w:pPr>
        <w:widowControl/>
        <w:ind w:firstLine="640" w:firstLineChars="200"/>
        <w:rPr>
          <w:rFonts w:ascii="仿宋_GB2312" w:eastAsia="仿宋_GB2312"/>
          <w:sz w:val="32"/>
          <w:szCs w:val="32"/>
        </w:rPr>
      </w:pPr>
      <w:r>
        <w:rPr>
          <w:rFonts w:hint="eastAsia" w:ascii="仿宋_GB2312" w:eastAsia="仿宋_GB2312"/>
          <w:sz w:val="32"/>
          <w:szCs w:val="32"/>
        </w:rPr>
        <w:t>9、</w:t>
      </w:r>
      <w:r>
        <w:rPr>
          <w:rFonts w:ascii="仿宋_GB2312" w:eastAsia="仿宋_GB2312"/>
          <w:sz w:val="32"/>
          <w:szCs w:val="32"/>
        </w:rPr>
        <w:t>农林水支出（类）农业农村（款）其他农业农村支出（项）：支出决算数为47.00万元，与上年相比无变化，主要原因是：</w:t>
      </w:r>
      <w:r>
        <w:rPr>
          <w:rFonts w:hint="eastAsia" w:ascii="仿宋_GB2312" w:eastAsia="仿宋_GB2312"/>
          <w:sz w:val="32"/>
          <w:szCs w:val="32"/>
          <w:lang w:eastAsia="zh-CN"/>
        </w:rPr>
        <w:t>自治区农业生产发展</w:t>
      </w:r>
      <w:r>
        <w:rPr>
          <w:rFonts w:hint="eastAsia" w:ascii="仿宋_GB2312" w:eastAsia="仿宋_GB2312"/>
          <w:sz w:val="32"/>
          <w:szCs w:val="32"/>
        </w:rPr>
        <w:t>项目资金与上年一致无变化</w:t>
      </w:r>
      <w:r>
        <w:rPr>
          <w:rFonts w:ascii="仿宋_GB2312" w:eastAsia="仿宋_GB2312"/>
          <w:sz w:val="32"/>
          <w:szCs w:val="32"/>
        </w:rPr>
        <w:t>。</w:t>
      </w:r>
    </w:p>
    <w:p>
      <w:pPr>
        <w:widowControl/>
        <w:ind w:firstLine="640" w:firstLineChars="200"/>
        <w:rPr>
          <w:rFonts w:ascii="仿宋_GB2312" w:eastAsia="仿宋_GB2312"/>
          <w:sz w:val="32"/>
          <w:szCs w:val="32"/>
        </w:rPr>
      </w:pPr>
      <w:r>
        <w:rPr>
          <w:rFonts w:hint="eastAsia" w:ascii="仿宋_GB2312" w:eastAsia="仿宋_GB2312"/>
          <w:sz w:val="32"/>
          <w:szCs w:val="32"/>
        </w:rPr>
        <w:t>10、</w:t>
      </w:r>
      <w:r>
        <w:rPr>
          <w:rFonts w:ascii="仿宋_GB2312" w:eastAsia="仿宋_GB2312"/>
          <w:sz w:val="32"/>
          <w:szCs w:val="32"/>
        </w:rPr>
        <w:t>住房保障支出（类）住房改革支出（款）住房公积金（项）：支出决算数为18.55万元，比上年决算增加0.56万元，增长3.11%，主要原因是：人员工资正常晋升及基本工资调整，相应住房公积金支出测算数较上年增加。</w:t>
      </w:r>
    </w:p>
    <w:p>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274.68万元，其中：人员经费257.46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pPr>
        <w:widowControl/>
        <w:ind w:firstLine="640" w:firstLineChars="200"/>
        <w:rPr>
          <w:rFonts w:ascii="仿宋_GB2312" w:eastAsia="仿宋_GB2312"/>
          <w:sz w:val="32"/>
          <w:szCs w:val="32"/>
        </w:rPr>
      </w:pPr>
      <w:r>
        <w:rPr>
          <w:rFonts w:ascii="仿宋_GB2312" w:eastAsia="仿宋_GB2312"/>
          <w:sz w:val="32"/>
          <w:szCs w:val="32"/>
        </w:rPr>
        <w:t>公用经费17.22万元，包括：办公费、水费、邮电费、取暖费、物业管理费、差旅费、工会经费、福利费、公务用车运行维护费、其他交通费用和其他商品和服务支出。</w:t>
      </w:r>
    </w:p>
    <w:p>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pPr>
        <w:widowControl/>
        <w:ind w:firstLine="640" w:firstLineChars="200"/>
        <w:rPr>
          <w:rFonts w:ascii="仿宋_GB2312" w:eastAsia="仿宋_GB2312"/>
          <w:sz w:val="32"/>
          <w:szCs w:val="32"/>
        </w:rPr>
      </w:pPr>
      <w:r>
        <w:rPr>
          <w:rFonts w:ascii="仿宋_GB2312" w:eastAsia="仿宋_GB2312"/>
          <w:sz w:val="32"/>
          <w:szCs w:val="32"/>
        </w:rPr>
        <w:t>2024年度财政拨款“三公”经费支出1.14万元，与上年相比无变化，主要原因是：</w:t>
      </w:r>
      <w:r>
        <w:rPr>
          <w:rFonts w:hint="eastAsia" w:ascii="仿宋_GB2312" w:eastAsia="仿宋_GB2312"/>
          <w:sz w:val="32"/>
          <w:szCs w:val="32"/>
          <w:lang w:eastAsia="zh-CN"/>
        </w:rPr>
        <w:t>本单位“三公”经费与上年一致无变化</w:t>
      </w:r>
      <w:r>
        <w:rPr>
          <w:rFonts w:ascii="仿宋_GB2312" w:eastAsia="仿宋_GB2312"/>
          <w:sz w:val="32"/>
          <w:szCs w:val="32"/>
        </w:rPr>
        <w:t>。其中：因公出国（境）费支出0.00万元,占0.00%，与上年相比无变化，主要原因是：我单位无因公出国（境）费；公务用车购置及运行维护费支出1.14万元，占100.00%，与上年相比无变化，主要原因是：</w:t>
      </w:r>
      <w:r>
        <w:rPr>
          <w:rFonts w:hint="eastAsia" w:ascii="仿宋_GB2312" w:eastAsia="仿宋_GB2312"/>
          <w:sz w:val="32"/>
          <w:szCs w:val="32"/>
          <w:lang w:eastAsia="zh-CN"/>
        </w:rPr>
        <w:t>本单位公务用车运行维护费与上年一致无变化</w:t>
      </w:r>
      <w:r>
        <w:rPr>
          <w:rFonts w:ascii="仿宋_GB2312" w:eastAsia="仿宋_GB2312"/>
          <w:sz w:val="32"/>
          <w:szCs w:val="32"/>
        </w:rPr>
        <w:t>；公务接待费支出0.00万元，占0.00%，与上年相比无变化，主要原因是：我单位无公务接待费。</w:t>
      </w:r>
    </w:p>
    <w:p>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因公出国（境）费支出0.00万元，开支内容包括我单位无因公出国（境）费。单位全年安排的因公出国（境）团组0个，因公出国（境）0人次。</w:t>
      </w:r>
    </w:p>
    <w:p>
      <w:pPr>
        <w:widowControl/>
        <w:ind w:firstLine="640" w:firstLineChars="200"/>
        <w:rPr>
          <w:rFonts w:ascii="仿宋_GB2312" w:eastAsia="仿宋_GB2312"/>
          <w:sz w:val="32"/>
          <w:szCs w:val="32"/>
        </w:rPr>
      </w:pPr>
      <w:r>
        <w:rPr>
          <w:rFonts w:ascii="仿宋_GB2312" w:eastAsia="仿宋_GB2312"/>
          <w:sz w:val="32"/>
          <w:szCs w:val="32"/>
        </w:rPr>
        <w:t>公务用车购置及运行维护费1.14万元，其中：公务用车购置费0.00万元，公务用车运行维护费1.14万元。公务用车运行维护费开支内容包括车辆保险费开支、车辆维修</w:t>
      </w:r>
      <w:r>
        <w:rPr>
          <w:rFonts w:hint="eastAsia" w:ascii="仿宋_GB2312" w:eastAsia="仿宋_GB2312"/>
          <w:sz w:val="32"/>
          <w:szCs w:val="32"/>
        </w:rPr>
        <w:t>和</w:t>
      </w:r>
      <w:r>
        <w:rPr>
          <w:rFonts w:ascii="仿宋_GB2312" w:eastAsia="仿宋_GB2312"/>
          <w:sz w:val="32"/>
          <w:szCs w:val="32"/>
        </w:rPr>
        <w:t>车辆加油等。公务用车购置数0辆，公务用车保有量2辆。国有资产占用情况中固定资产车辆2辆，与公务用车保有量差异原因是：无变化。</w:t>
      </w:r>
    </w:p>
    <w:p>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公务接待费0.00万元，开支内容包括我单位无公务接待费。单位全年安排的国内公务接待0批次，0人次。</w:t>
      </w:r>
    </w:p>
    <w:p>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与全年预算相比，财政拨款“三公”经费支出全年预算数1.14万元，决算数1.14万元，预决算差异率0.00%，主要原因是：</w:t>
      </w:r>
      <w:r>
        <w:rPr>
          <w:rFonts w:hint="eastAsia" w:ascii="仿宋_GB2312" w:eastAsia="仿宋_GB2312"/>
          <w:sz w:val="32"/>
          <w:szCs w:val="32"/>
          <w:lang w:eastAsia="zh-CN"/>
        </w:rPr>
        <w:t>严格按照预算执行，预决算无差异</w:t>
      </w:r>
      <w:r>
        <w:rPr>
          <w:rFonts w:ascii="仿宋_GB2312" w:eastAsia="仿宋_GB2312"/>
          <w:sz w:val="32"/>
          <w:szCs w:val="32"/>
        </w:rPr>
        <w:t>。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1.14万元，决算数1.14万元，预决算差异率0.00%，主要原因是：</w:t>
      </w:r>
      <w:r>
        <w:rPr>
          <w:rFonts w:hint="eastAsia" w:ascii="仿宋_GB2312" w:eastAsia="仿宋_GB2312"/>
          <w:sz w:val="32"/>
          <w:szCs w:val="32"/>
          <w:lang w:eastAsia="zh-CN"/>
        </w:rPr>
        <w:t>严格按照预算执行，预决算无差异</w:t>
      </w:r>
      <w:r>
        <w:rPr>
          <w:rFonts w:ascii="仿宋_GB2312" w:eastAsia="仿宋_GB2312"/>
          <w:sz w:val="32"/>
          <w:szCs w:val="32"/>
        </w:rPr>
        <w:t>；公务接待费全年预算数0.00万元，决算数0.00万元，预决算差异率0.00%，主要原因是：我单位无公务接待费。</w:t>
      </w:r>
    </w:p>
    <w:p>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pPr>
        <w:widowControl/>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ind w:firstLine="640" w:firstLineChars="200"/>
        <w:rPr>
          <w:rFonts w:ascii="仿宋_GB2312" w:eastAsia="仿宋_GB2312"/>
          <w:sz w:val="32"/>
          <w:szCs w:val="32"/>
        </w:rPr>
      </w:pPr>
      <w:r>
        <w:rPr>
          <w:rFonts w:ascii="仿宋_GB2312" w:eastAsia="仿宋_GB2312"/>
          <w:sz w:val="32"/>
          <w:szCs w:val="32"/>
        </w:rPr>
        <w:t>2024年度新疆维吾尔自治区海南良种繁育基地单位（事业单位）公用经费支出17.22万元，比上年增加0.91万元，增长5.58%，主要原因是：人员</w:t>
      </w:r>
      <w:r>
        <w:rPr>
          <w:rFonts w:hint="eastAsia" w:ascii="仿宋_GB2312" w:eastAsia="仿宋_GB2312"/>
          <w:sz w:val="32"/>
          <w:szCs w:val="32"/>
        </w:rPr>
        <w:t>基本</w:t>
      </w:r>
      <w:r>
        <w:rPr>
          <w:rFonts w:ascii="仿宋_GB2312" w:eastAsia="仿宋_GB2312"/>
          <w:sz w:val="32"/>
          <w:szCs w:val="32"/>
        </w:rPr>
        <w:t>工资调整</w:t>
      </w:r>
      <w:r>
        <w:rPr>
          <w:rFonts w:hint="eastAsia" w:ascii="仿宋_GB2312" w:eastAsia="仿宋_GB2312"/>
          <w:sz w:val="32"/>
          <w:szCs w:val="32"/>
        </w:rPr>
        <w:t>及追加了结亲交通费</w:t>
      </w:r>
      <w:r>
        <w:rPr>
          <w:rFonts w:ascii="仿宋_GB2312" w:eastAsia="仿宋_GB2312"/>
          <w:sz w:val="32"/>
          <w:szCs w:val="32"/>
        </w:rPr>
        <w:t>，</w:t>
      </w:r>
      <w:r>
        <w:rPr>
          <w:rFonts w:hint="eastAsia" w:ascii="仿宋_GB2312" w:eastAsia="仿宋_GB2312"/>
          <w:sz w:val="32"/>
          <w:szCs w:val="32"/>
        </w:rPr>
        <w:t>导致办公费及差旅费等</w:t>
      </w:r>
      <w:r>
        <w:rPr>
          <w:rFonts w:ascii="仿宋_GB2312" w:eastAsia="仿宋_GB2312"/>
          <w:sz w:val="32"/>
          <w:szCs w:val="32"/>
        </w:rPr>
        <w:t>公用经费增加。</w:t>
      </w:r>
    </w:p>
    <w:p>
      <w:pPr>
        <w:widowControl/>
        <w:ind w:firstLine="643" w:firstLineChars="200"/>
        <w:jc w:val="left"/>
        <w:outlineLvl w:val="2"/>
        <w:rPr>
          <w:rFonts w:ascii="黑体" w:eastAsia="黑体"/>
          <w:sz w:val="32"/>
          <w:szCs w:val="32"/>
        </w:rPr>
      </w:pPr>
      <w:r>
        <w:rPr>
          <w:rFonts w:ascii="黑体" w:eastAsia="黑体"/>
          <w:b/>
          <w:sz w:val="32"/>
          <w:szCs w:val="32"/>
        </w:rPr>
        <w:t>（二）政府采购情况</w:t>
      </w:r>
    </w:p>
    <w:p>
      <w:pPr>
        <w:widowControl/>
        <w:ind w:firstLine="640" w:firstLineChars="200"/>
        <w:rPr>
          <w:rFonts w:ascii="仿宋_GB2312" w:eastAsia="仿宋_GB2312"/>
          <w:sz w:val="32"/>
          <w:szCs w:val="32"/>
        </w:rPr>
      </w:pPr>
      <w:r>
        <w:rPr>
          <w:rFonts w:ascii="仿宋_GB2312" w:eastAsia="仿宋_GB2312"/>
          <w:sz w:val="32"/>
          <w:szCs w:val="32"/>
        </w:rPr>
        <w:t>2024年度政府采购支出总额26.35万元，其中：政府采购货物支出24.99万元、政府采购工程支出0.00万元、政府采购服务支出1.36万元。</w:t>
      </w:r>
    </w:p>
    <w:p>
      <w:pPr>
        <w:widowControl/>
        <w:ind w:firstLine="640" w:firstLineChars="200"/>
        <w:rPr>
          <w:rFonts w:ascii="仿宋_GB2312" w:eastAsia="仿宋_GB2312"/>
          <w:sz w:val="32"/>
          <w:szCs w:val="32"/>
        </w:rPr>
      </w:pPr>
      <w:r>
        <w:rPr>
          <w:rFonts w:ascii="仿宋_GB2312" w:eastAsia="仿宋_GB2312"/>
          <w:sz w:val="32"/>
          <w:szCs w:val="32"/>
        </w:rPr>
        <w:t>授予中小企业合同金额26.25万元，占政府采购支出总额的99.62%，其中：授予小微企业合同金额26.25万元，占政府采购支出总额的99.62%。</w:t>
      </w:r>
    </w:p>
    <w:p>
      <w:pPr>
        <w:widowControl/>
        <w:ind w:firstLine="643" w:firstLineChars="200"/>
        <w:jc w:val="left"/>
        <w:outlineLvl w:val="2"/>
        <w:rPr>
          <w:rFonts w:ascii="黑体" w:eastAsia="黑体"/>
          <w:sz w:val="32"/>
          <w:szCs w:val="32"/>
        </w:rPr>
      </w:pPr>
      <w:r>
        <w:rPr>
          <w:rFonts w:ascii="黑体" w:eastAsia="黑体"/>
          <w:b/>
          <w:sz w:val="32"/>
          <w:szCs w:val="32"/>
        </w:rPr>
        <w:t>（三）国有资产占用情况说明</w:t>
      </w:r>
    </w:p>
    <w:p>
      <w:pPr>
        <w:widowControl/>
        <w:ind w:firstLine="640" w:firstLineChars="200"/>
        <w:rPr>
          <w:rFonts w:ascii="仿宋_GB2312" w:eastAsia="仿宋_GB2312"/>
          <w:sz w:val="32"/>
          <w:szCs w:val="32"/>
        </w:rPr>
      </w:pPr>
      <w:r>
        <w:rPr>
          <w:rFonts w:ascii="仿宋_GB2312" w:eastAsia="仿宋_GB2312"/>
          <w:sz w:val="32"/>
          <w:szCs w:val="32"/>
        </w:rPr>
        <w:t>截至2024年12月31日，房屋8,867.41平方米，价值4,005.00万元。车辆2辆，价值57.51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评价项目2个，全年预算数111.00万元，全年执行数48.48万元，预算绩效管理取得的成效：一是积极落实并强化绩效意识，实现预算和绩效管理一体化，严格绩效目标管理，并开展绩效运行监控，针对发现项目开展过程中的问题及时处理；二是始终坚持厉行节约的原则，所有项目资金使用方向和列支科目均按照预算经济分类科目进行，项目资金的支出额度与申报预算额度基本一致，项目实施进度符合进度的要求，资金全部支出用于项目，做到了项目资金的专款专用；发现的问题及原因：一是预算内容不完整，追加预算无法纳入预算管理。因此不能全面反映预算单位的真实收支内容；下一步改进措施：一是从单位 管理层重视并学习预算绩效管理方法，组织内部培训学习及交流，强化并树立预算绩效管理意识，提升预算绩效管理水平；二是结合单位职能、业务及预算管理，科学制定预算绩效指标，有效促进项目的实施。具体</w:t>
      </w:r>
      <w:r>
        <w:rPr>
          <w:rFonts w:hint="eastAsia" w:ascii="仿宋_GB2312" w:eastAsia="仿宋_GB2312"/>
          <w:sz w:val="32"/>
          <w:szCs w:val="32"/>
          <w:lang w:eastAsia="zh-CN"/>
        </w:rPr>
        <w:t>项目自评情况</w:t>
      </w:r>
      <w:r>
        <w:rPr>
          <w:rFonts w:ascii="仿宋_GB2312" w:eastAsia="仿宋_GB2312"/>
          <w:sz w:val="32"/>
          <w:szCs w:val="32"/>
        </w:rPr>
        <w:t>附</w:t>
      </w:r>
      <w:bookmarkStart w:id="2" w:name="_GoBack"/>
      <w:bookmarkEnd w:id="2"/>
      <w:r>
        <w:rPr>
          <w:rFonts w:ascii="仿宋_GB2312" w:eastAsia="仿宋_GB2312"/>
          <w:sz w:val="32"/>
          <w:szCs w:val="32"/>
        </w:rPr>
        <w:t>绩效自评表。</w:t>
      </w:r>
    </w:p>
    <w:p>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pPr>
        <w:widowControl/>
        <w:ind w:firstLine="640" w:firstLineChars="200"/>
        <w:rPr>
          <w:rFonts w:ascii="仿宋_GB2312" w:eastAsia="仿宋_GB2312"/>
          <w:sz w:val="32"/>
          <w:szCs w:val="32"/>
        </w:rPr>
      </w:pPr>
      <w:r>
        <w:rPr>
          <w:rFonts w:ascii="仿宋_GB2312" w:eastAsia="仿宋_GB2312"/>
          <w:sz w:val="32"/>
          <w:szCs w:val="32"/>
        </w:rPr>
        <w:t>本单位无其他需说明事项。</w:t>
      </w:r>
    </w:p>
    <w:p>
      <w:pPr>
        <w:widowControl/>
        <w:ind w:firstLine="640" w:firstLineChars="200"/>
        <w:jc w:val="left"/>
        <w:rPr>
          <w:rFonts w:ascii="仿宋_GB2312" w:eastAsia="仿宋_GB2312"/>
          <w:sz w:val="32"/>
          <w:szCs w:val="32"/>
        </w:rPr>
      </w:pPr>
    </w:p>
    <w:p>
      <w:pPr>
        <w:widowControl/>
      </w:pPr>
      <w:r>
        <w:rPr>
          <w:sz w:val="0"/>
          <w:szCs w:val="0"/>
        </w:rPr>
        <w:br w:type="page"/>
      </w:r>
    </w:p>
    <w:p>
      <w:pPr>
        <w:widowControl/>
        <w:jc w:val="center"/>
        <w:outlineLvl w:val="0"/>
        <w:rPr>
          <w:rFonts w:ascii="黑体" w:eastAsia="黑体"/>
          <w:sz w:val="32"/>
          <w:szCs w:val="32"/>
        </w:rPr>
      </w:pPr>
      <w:r>
        <w:rPr>
          <w:rFonts w:ascii="黑体" w:eastAsia="黑体"/>
          <w:sz w:val="32"/>
          <w:szCs w:val="32"/>
        </w:rPr>
        <w:t>第三部分专业名词解释</w:t>
      </w:r>
    </w:p>
    <w:p>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pPr>
        <w:widowControl/>
      </w:pPr>
      <w:r>
        <w:rPr>
          <w:sz w:val="0"/>
          <w:szCs w:val="0"/>
        </w:rPr>
        <w:br w:type="page"/>
      </w:r>
    </w:p>
    <w:p>
      <w:pPr>
        <w:widowControl/>
        <w:jc w:val="center"/>
        <w:outlineLvl w:val="0"/>
        <w:rPr>
          <w:rFonts w:ascii="黑体" w:eastAsia="黑体"/>
          <w:sz w:val="32"/>
          <w:szCs w:val="32"/>
        </w:rPr>
      </w:pPr>
      <w:r>
        <w:rPr>
          <w:rFonts w:ascii="黑体" w:eastAsia="黑体"/>
          <w:sz w:val="32"/>
          <w:szCs w:val="32"/>
        </w:rPr>
        <w:t>第四部分部门决算报表（见附表）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05772F"/>
    <w:rsid w:val="0005772F"/>
    <w:rsid w:val="00092EF5"/>
    <w:rsid w:val="001A2B4F"/>
    <w:rsid w:val="006E1A4C"/>
    <w:rsid w:val="009A72AA"/>
    <w:rsid w:val="00AC1C90"/>
    <w:rsid w:val="088A7DAD"/>
    <w:rsid w:val="16F656DD"/>
    <w:rsid w:val="28956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sz w:val="18"/>
      <w:szCs w:val="18"/>
    </w:rPr>
  </w:style>
  <w:style w:type="character" w:customStyle="1" w:styleId="7">
    <w:name w:val="页脚 Char"/>
    <w:basedOn w:val="4"/>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Windows家族</Company>
  <Pages>13</Pages>
  <Words>925</Words>
  <Characters>5278</Characters>
  <Lines>43</Lines>
  <Paragraphs>12</Paragraphs>
  <TotalTime>1</TotalTime>
  <ScaleCrop>false</ScaleCrop>
  <LinksUpToDate>false</LinksUpToDate>
  <CharactersWithSpaces>6191</CharactersWithSpaces>
  <Application>WPS Office_10.8.2.7164_F1E327BC-269C-435d-A152-05C5408002CA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2025-08-18T10:02:00Z</dcterms:created>
  <dc:creator>Administrator</dc:creator>
  <cp:lastModifiedBy>Administrator</cp:lastModifiedBy>
  <dcterms:modified xsi:type="dcterms:W3CDTF">2025-08-27T09:23:23Z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A7C2B702F2DB479889DC0E6C7E7DC65E</vt:lpwstr>
  </property>
</Properties>
</file>