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w:t>
      </w:r>
      <w:r>
        <w:rPr>
          <w:rFonts w:hint="eastAsia" w:ascii="仿宋_GB2312" w:hAnsi="仿宋_GB2312" w:eastAsia="仿宋_GB2312" w:cs="仿宋_GB2312"/>
          <w:b w:val="0"/>
          <w:bCs/>
          <w:spacing w:val="0"/>
          <w:kern w:val="0"/>
          <w:sz w:val="32"/>
          <w:szCs w:val="32"/>
        </w:rPr>
        <w:t>自治区</w:t>
      </w:r>
      <w:r>
        <w:rPr>
          <w:rFonts w:hint="eastAsia" w:ascii="仿宋_GB2312" w:hAnsi="仿宋_GB2312" w:eastAsia="仿宋_GB2312" w:cs="仿宋_GB2312"/>
          <w:b w:val="0"/>
          <w:bCs/>
          <w:spacing w:val="0"/>
          <w:kern w:val="0"/>
          <w:sz w:val="32"/>
          <w:szCs w:val="32"/>
          <w:lang w:eastAsia="zh-CN"/>
        </w:rPr>
        <w:t>蜂业技术指导站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2025</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3</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项目支出绩效评价报告</w:t>
      </w:r>
    </w:p>
    <w:p>
      <w:pPr>
        <w:jc w:val="center"/>
        <w:rPr>
          <w:rFonts w:ascii="仿宋_GB2312"/>
          <w:szCs w:val="3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lang w:eastAsia="zh-CN"/>
        </w:rPr>
      </w:pPr>
      <w:r>
        <w:rPr>
          <w:rFonts w:hint="eastAsia" w:ascii="楷体" w:hAnsi="楷体" w:eastAsia="楷体" w:cs="楷体"/>
          <w:b/>
          <w:bCs/>
          <w:sz w:val="32"/>
          <w:szCs w:val="32"/>
        </w:rPr>
        <w:t>（一）项目概况。</w:t>
      </w:r>
      <w:r>
        <w:rPr>
          <w:rFonts w:hint="eastAsia" w:ascii="仿宋_GB2312"/>
          <w:b/>
          <w:bCs/>
          <w:sz w:val="32"/>
          <w:szCs w:val="32"/>
        </w:rPr>
        <w:t>项目背景、主要内容</w:t>
      </w:r>
      <w:r>
        <w:rPr>
          <w:rFonts w:hint="eastAsia" w:ascii="仿宋_GB2312"/>
          <w:b/>
          <w:bCs/>
          <w:sz w:val="32"/>
          <w:szCs w:val="32"/>
          <w:lang w:eastAsia="zh-CN"/>
        </w:rPr>
        <w:t>：</w:t>
      </w:r>
      <w:r>
        <w:rPr>
          <w:rFonts w:hint="eastAsia" w:ascii="Times New Roman" w:hAnsi="Times New Roman" w:eastAsia="仿宋_GB2312" w:cs="Times New Roman"/>
          <w:sz w:val="32"/>
          <w:szCs w:val="32"/>
          <w:lang w:val="en-US" w:eastAsia="zh-CN"/>
        </w:rPr>
        <w:t>根据</w:t>
      </w:r>
      <w:r>
        <w:rPr>
          <w:rFonts w:hint="eastAsia" w:ascii="Times New Roman" w:hAnsi="Times New Roman" w:eastAsia="仿宋_GB2312" w:cs="Times New Roman"/>
          <w:sz w:val="32"/>
          <w:szCs w:val="32"/>
        </w:rPr>
        <w:t>本单位“三定”方案中的职责职能</w:t>
      </w:r>
      <w:r>
        <w:rPr>
          <w:rFonts w:hint="eastAsia" w:ascii="Times New Roman" w:hAnsi="Times New Roman" w:eastAsia="仿宋_GB2312" w:cs="Times New Roman"/>
          <w:sz w:val="32"/>
          <w:szCs w:val="32"/>
          <w:lang w:eastAsia="zh-CN"/>
        </w:rPr>
        <w:t>开展蜜粉源植物调查工作；根据新人福</w:t>
      </w:r>
      <w:r>
        <w:rPr>
          <w:rFonts w:hint="eastAsia" w:ascii="Times New Roman" w:hAnsi="Times New Roman" w:eastAsia="仿宋_GB2312" w:cs="Times New Roman"/>
          <w:sz w:val="32"/>
          <w:szCs w:val="32"/>
          <w:lang w:val="en-US" w:eastAsia="zh-CN"/>
        </w:rPr>
        <w:t>[2000]200号文件</w:t>
      </w:r>
      <w:r>
        <w:rPr>
          <w:rFonts w:hint="eastAsia" w:ascii="Times New Roman" w:hAnsi="Times New Roman" w:eastAsia="仿宋_GB2312" w:cs="Times New Roman"/>
          <w:sz w:val="32"/>
          <w:szCs w:val="32"/>
          <w:lang w:eastAsia="zh-CN"/>
        </w:rPr>
        <w:t>规定支付我</w:t>
      </w:r>
      <w:r>
        <w:rPr>
          <w:rFonts w:hint="eastAsia" w:ascii="Times New Roman" w:hAnsi="Times New Roman" w:eastAsia="仿宋_GB2312" w:cs="Times New Roman"/>
          <w:sz w:val="32"/>
          <w:szCs w:val="32"/>
        </w:rPr>
        <w:t>单位刘旭东、陈福兵2位同志的因公伤残抚恤金</w:t>
      </w:r>
      <w:r>
        <w:rPr>
          <w:rFonts w:hint="eastAsia" w:ascii="Times New Roman" w:hAnsi="Times New Roman" w:eastAsia="仿宋_GB2312" w:cs="Times New Roman"/>
          <w:sz w:val="32"/>
          <w:szCs w:val="32"/>
          <w:lang w:eastAsia="zh-CN"/>
        </w:rPr>
        <w:t>；</w:t>
      </w:r>
      <w:r>
        <w:rPr>
          <w:rFonts w:hint="eastAsia" w:ascii="Times New Roman" w:hAnsi="Times New Roman" w:eastAsia="仿宋_GB2312"/>
          <w:sz w:val="32"/>
          <w:szCs w:val="32"/>
        </w:rPr>
        <w:t>支付单位缴纳残保金</w:t>
      </w:r>
      <w:r>
        <w:rPr>
          <w:rFonts w:hint="eastAsia" w:ascii="Times New Roman" w:hAnsi="Times New Roman" w:eastAsia="仿宋_GB2312"/>
          <w:sz w:val="32"/>
          <w:szCs w:val="32"/>
          <w:lang w:eastAsia="zh-CN"/>
        </w:rPr>
        <w:t>。</w:t>
      </w:r>
      <w:r>
        <w:rPr>
          <w:rFonts w:hint="default" w:ascii="Times New Roman" w:hAnsi="Times New Roman" w:eastAsia="仿宋_GB2312" w:cs="Times New Roman"/>
          <w:b/>
          <w:bCs/>
          <w:spacing w:val="0"/>
          <w:sz w:val="32"/>
          <w:szCs w:val="32"/>
        </w:rPr>
        <w:t>项目实施情况：</w:t>
      </w:r>
      <w:r>
        <w:rPr>
          <w:rFonts w:hint="default" w:ascii="Times New Roman" w:hAnsi="Times New Roman" w:eastAsia="仿宋_GB2312" w:cs="Times New Roman"/>
          <w:spacing w:val="0"/>
          <w:sz w:val="32"/>
          <w:szCs w:val="32"/>
        </w:rPr>
        <w:t>项目已经完成实际设立的目标，项目在实施过程中严格按照目标设立的各阶段任务进行开展工作，在前期立项过程中严格把质量关，建立安全防护机制，保证项目实施各阶段安全顺利进行。</w:t>
      </w:r>
      <w:r>
        <w:rPr>
          <w:rFonts w:hint="eastAsia" w:ascii="仿宋_GB2312"/>
          <w:b/>
          <w:bCs/>
          <w:sz w:val="32"/>
          <w:szCs w:val="32"/>
        </w:rPr>
        <w:t>资金投入和使用情况</w:t>
      </w:r>
      <w:r>
        <w:rPr>
          <w:rFonts w:hint="eastAsia" w:ascii="仿宋_GB2312"/>
          <w:b/>
          <w:bCs/>
          <w:sz w:val="32"/>
          <w:szCs w:val="32"/>
          <w:lang w:eastAsia="zh-CN"/>
        </w:rPr>
        <w:t>：</w:t>
      </w:r>
      <w:bookmarkStart w:id="0" w:name="_GoBack"/>
      <w:bookmarkEnd w:id="0"/>
      <w:r>
        <w:rPr>
          <w:rFonts w:hint="default" w:ascii="Times New Roman" w:hAnsi="Times New Roman" w:eastAsia="仿宋_GB2312" w:cs="Times New Roman"/>
          <w:spacing w:val="0"/>
          <w:sz w:val="32"/>
          <w:szCs w:val="32"/>
        </w:rPr>
        <w:t>本项目总投资</w:t>
      </w:r>
      <w:r>
        <w:rPr>
          <w:rFonts w:hint="eastAsia" w:ascii="Times New Roman" w:hAnsi="Times New Roman" w:cs="Times New Roman"/>
          <w:spacing w:val="0"/>
          <w:sz w:val="32"/>
          <w:szCs w:val="32"/>
          <w:lang w:val="en-US" w:eastAsia="zh-CN"/>
        </w:rPr>
        <w:t>16.21</w:t>
      </w:r>
      <w:r>
        <w:rPr>
          <w:rFonts w:hint="default" w:ascii="Times New Roman" w:hAnsi="Times New Roman" w:eastAsia="仿宋_GB2312" w:cs="Times New Roman"/>
          <w:spacing w:val="0"/>
          <w:sz w:val="32"/>
          <w:szCs w:val="32"/>
        </w:rPr>
        <w:t>万元，其中：财政本级资金</w:t>
      </w:r>
      <w:r>
        <w:rPr>
          <w:rFonts w:hint="default" w:ascii="Times New Roman" w:hAnsi="Times New Roman" w:eastAsia="仿宋_GB2312" w:cs="Times New Roman"/>
          <w:spacing w:val="0"/>
          <w:sz w:val="32"/>
          <w:szCs w:val="32"/>
          <w:lang w:val="en-US" w:eastAsia="zh-CN"/>
        </w:rPr>
        <w:t>0</w:t>
      </w:r>
      <w:r>
        <w:rPr>
          <w:rFonts w:hint="default" w:ascii="Times New Roman" w:hAnsi="Times New Roman" w:eastAsia="仿宋_GB2312" w:cs="Times New Roman"/>
          <w:spacing w:val="0"/>
          <w:sz w:val="32"/>
          <w:szCs w:val="32"/>
        </w:rPr>
        <w:t>万元</w:t>
      </w:r>
      <w:r>
        <w:rPr>
          <w:rFonts w:hint="eastAsia" w:ascii="Times New Roman" w:hAnsi="Times New Roman" w:cs="Times New Roman"/>
          <w:spacing w:val="0"/>
          <w:sz w:val="32"/>
          <w:szCs w:val="32"/>
          <w:lang w:eastAsia="zh-CN"/>
        </w:rPr>
        <w:t>，</w:t>
      </w:r>
      <w:r>
        <w:rPr>
          <w:rFonts w:hint="eastAsia" w:ascii="仿宋_GB2312" w:hAnsi="仿宋_GB2312" w:eastAsia="仿宋_GB2312" w:cs="仿宋_GB2312"/>
          <w:sz w:val="32"/>
          <w:szCs w:val="32"/>
        </w:rPr>
        <w:t>非财政预算16.2152万元，</w:t>
      </w:r>
      <w:r>
        <w:rPr>
          <w:rFonts w:hint="default" w:ascii="Times New Roman" w:hAnsi="Times New Roman" w:eastAsia="仿宋_GB2312" w:cs="Times New Roman"/>
          <w:spacing w:val="0"/>
          <w:sz w:val="32"/>
          <w:szCs w:val="32"/>
        </w:rPr>
        <w:t>项目实际支出</w:t>
      </w:r>
      <w:r>
        <w:rPr>
          <w:rFonts w:hint="eastAsia" w:ascii="Times New Roman" w:hAnsi="Times New Roman" w:cs="Times New Roman"/>
          <w:spacing w:val="0"/>
          <w:sz w:val="32"/>
          <w:szCs w:val="32"/>
          <w:lang w:val="en-US" w:eastAsia="zh-CN"/>
        </w:rPr>
        <w:t>15.88</w:t>
      </w:r>
      <w:r>
        <w:rPr>
          <w:rFonts w:hint="default" w:ascii="Times New Roman" w:hAnsi="Times New Roman" w:eastAsia="仿宋_GB2312" w:cs="Times New Roman"/>
          <w:spacing w:val="0"/>
          <w:sz w:val="32"/>
          <w:szCs w:val="32"/>
        </w:rPr>
        <w:t>万元，支出率为</w:t>
      </w:r>
      <w:r>
        <w:rPr>
          <w:rFonts w:hint="eastAsia" w:cs="Times New Roman"/>
          <w:spacing w:val="0"/>
          <w:sz w:val="32"/>
          <w:szCs w:val="32"/>
          <w:lang w:val="en-US" w:eastAsia="zh-CN"/>
        </w:rPr>
        <w:t>98</w:t>
      </w:r>
      <w:r>
        <w:rPr>
          <w:rFonts w:hint="default" w:ascii="Times New Roman" w:hAnsi="Times New Roman" w:eastAsia="仿宋_GB2312" w:cs="Times New Roman"/>
          <w:spacing w:val="0"/>
          <w:sz w:val="32"/>
          <w:szCs w:val="32"/>
        </w:rPr>
        <w:t>%</w:t>
      </w:r>
      <w:r>
        <w:rPr>
          <w:rFonts w:hint="eastAsia" w:cs="Times New Roman"/>
          <w:spacing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eastAsia" w:ascii="楷体" w:hAnsi="楷体" w:eastAsia="楷体" w:cs="楷体"/>
          <w:b/>
          <w:bCs/>
          <w:sz w:val="32"/>
          <w:szCs w:val="32"/>
        </w:rPr>
        <w:t>（二）项目绩效目标</w:t>
      </w:r>
      <w:r>
        <w:rPr>
          <w:rFonts w:hint="eastAsia" w:ascii="仿宋_GB2312"/>
          <w:b/>
          <w:bCs/>
          <w:sz w:val="32"/>
          <w:szCs w:val="32"/>
        </w:rPr>
        <w:t>。总体目标</w:t>
      </w:r>
      <w:r>
        <w:rPr>
          <w:rFonts w:hint="eastAsia" w:ascii="仿宋_GB2312"/>
          <w:b/>
          <w:bCs/>
          <w:sz w:val="32"/>
          <w:szCs w:val="32"/>
          <w:lang w:eastAsia="zh-CN"/>
        </w:rPr>
        <w:t>：</w:t>
      </w:r>
      <w:r>
        <w:rPr>
          <w:rFonts w:hint="eastAsia" w:ascii="仿宋_GB2312"/>
          <w:sz w:val="32"/>
          <w:szCs w:val="32"/>
          <w:lang w:eastAsia="zh-CN"/>
        </w:rPr>
        <w:t>在塔城各县市开展蜜粉源植物调查，准确掌握全区蜜粉源植物资源的类型、数量、分布区域以及现状，合理保护利用蜜粉源植物资源；支付我单位刘旭东、陈福兵2位同志的因公伤残抚恤金7.5万元；支付单位缴纳残保金1.2152万元。</w:t>
      </w:r>
      <w:r>
        <w:rPr>
          <w:rFonts w:hint="eastAsia" w:ascii="仿宋_GB2312"/>
          <w:b/>
          <w:bCs/>
          <w:sz w:val="32"/>
          <w:szCs w:val="32"/>
        </w:rPr>
        <w:t>阶段性目标</w:t>
      </w:r>
      <w:r>
        <w:rPr>
          <w:rFonts w:hint="eastAsia" w:ascii="仿宋_GB2312"/>
          <w:b/>
          <w:bCs/>
          <w:sz w:val="32"/>
          <w:szCs w:val="32"/>
          <w:lang w:eastAsia="zh-CN"/>
        </w:rPr>
        <w:t>：</w:t>
      </w:r>
      <w:r>
        <w:rPr>
          <w:rFonts w:hint="eastAsia" w:ascii="Times New Roman" w:hAnsi="Times New Roman" w:cs="Times New Roman"/>
          <w:spacing w:val="0"/>
          <w:sz w:val="32"/>
          <w:szCs w:val="32"/>
          <w:lang w:eastAsia="zh-CN"/>
        </w:rPr>
        <w:t>一是</w:t>
      </w:r>
      <w:r>
        <w:rPr>
          <w:rFonts w:hint="default" w:ascii="Times New Roman" w:hAnsi="Times New Roman" w:eastAsia="仿宋_GB2312" w:cs="Times New Roman"/>
          <w:spacing w:val="0"/>
          <w:sz w:val="32"/>
          <w:szCs w:val="32"/>
        </w:rPr>
        <w:t>前期准备</w:t>
      </w:r>
      <w:r>
        <w:rPr>
          <w:rFonts w:hint="eastAsia" w:ascii="Times New Roman" w:hAnsi="Times New Roman" w:cs="Times New Roman"/>
          <w:spacing w:val="0"/>
          <w:sz w:val="32"/>
          <w:szCs w:val="32"/>
          <w:lang w:eastAsia="zh-CN"/>
        </w:rPr>
        <w:t>，</w:t>
      </w:r>
      <w:r>
        <w:rPr>
          <w:rFonts w:hint="default" w:ascii="Times New Roman" w:hAnsi="Times New Roman" w:eastAsia="仿宋_GB2312" w:cs="Times New Roman"/>
          <w:spacing w:val="0"/>
          <w:sz w:val="32"/>
          <w:szCs w:val="32"/>
        </w:rPr>
        <w:t>通过制定项目实施方案，经项目负责人审核通过后，有序开展后续工作。</w:t>
      </w:r>
      <w:r>
        <w:rPr>
          <w:rFonts w:hint="eastAsia" w:ascii="Times New Roman" w:hAnsi="Times New Roman" w:cs="Times New Roman"/>
          <w:spacing w:val="0"/>
          <w:sz w:val="32"/>
          <w:szCs w:val="32"/>
          <w:lang w:eastAsia="zh-CN"/>
        </w:rPr>
        <w:t>二是</w:t>
      </w:r>
      <w:r>
        <w:rPr>
          <w:rFonts w:hint="default" w:ascii="Times New Roman" w:hAnsi="Times New Roman" w:eastAsia="仿宋_GB2312" w:cs="Times New Roman"/>
          <w:spacing w:val="0"/>
          <w:sz w:val="32"/>
          <w:szCs w:val="32"/>
        </w:rPr>
        <w:t>组织实施</w:t>
      </w:r>
      <w:r>
        <w:rPr>
          <w:rFonts w:hint="eastAsia" w:ascii="Times New Roman" w:hAnsi="Times New Roman" w:cs="Times New Roman"/>
          <w:spacing w:val="0"/>
          <w:sz w:val="32"/>
          <w:szCs w:val="32"/>
          <w:lang w:eastAsia="zh-CN"/>
        </w:rPr>
        <w:t>，</w:t>
      </w:r>
      <w:r>
        <w:rPr>
          <w:rFonts w:hint="default" w:ascii="Times New Roman" w:hAnsi="Times New Roman" w:eastAsia="仿宋_GB2312" w:cs="Times New Roman"/>
          <w:spacing w:val="0"/>
          <w:sz w:val="32"/>
          <w:szCs w:val="32"/>
        </w:rPr>
        <w:t>资金一到位，立即根据项目要求实施项目。项目责任人按照项目实施方案要求逐一进行项目部署安排，提高项目质量及效率性。</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1</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绩效评价的目的</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lang w:eastAsia="zh-CN"/>
        </w:rPr>
        <w:t>（</w:t>
      </w:r>
      <w:r>
        <w:rPr>
          <w:rFonts w:hint="default" w:ascii="Times New Roman" w:hAnsi="Times New Roman" w:eastAsia="仿宋_GB2312" w:cs="Times New Roman"/>
          <w:b w:val="0"/>
          <w:bCs/>
          <w:spacing w:val="0"/>
          <w:sz w:val="32"/>
          <w:szCs w:val="32"/>
          <w:lang w:val="en-US" w:eastAsia="zh-CN"/>
        </w:rPr>
        <w:t>1</w:t>
      </w:r>
      <w:r>
        <w:rPr>
          <w:rFonts w:hint="default" w:ascii="Times New Roman" w:hAnsi="Times New Roman" w:eastAsia="仿宋_GB2312" w:cs="Times New Roman"/>
          <w:b w:val="0"/>
          <w:bCs/>
          <w:spacing w:val="0"/>
          <w:sz w:val="32"/>
          <w:szCs w:val="32"/>
          <w:lang w:eastAsia="zh-CN"/>
        </w:rPr>
        <w:t>）</w:t>
      </w:r>
      <w:r>
        <w:rPr>
          <w:rFonts w:hint="default" w:ascii="Times New Roman" w:hAnsi="Times New Roman" w:eastAsia="仿宋_GB2312" w:cs="Times New Roman"/>
          <w:b w:val="0"/>
          <w:bCs/>
          <w:spacing w:val="0"/>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val="0"/>
          <w:bCs/>
          <w:spacing w:val="0"/>
          <w:sz w:val="32"/>
          <w:szCs w:val="32"/>
        </w:rPr>
        <w:t>综合来看，通过开展有效的财政支出绩效评价管理，达到改进预算管理、控制节约成本，提高预算资金使用效益的目的。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2</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绩效评价的对象</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kern w:val="0"/>
          <w:sz w:val="32"/>
          <w:szCs w:val="32"/>
        </w:rPr>
        <w:t>蜂业技术指导历年工作经费</w:t>
      </w:r>
      <w:r>
        <w:rPr>
          <w:rFonts w:hint="default" w:ascii="Times New Roman" w:hAnsi="Times New Roman" w:eastAsia="仿宋_GB2312" w:cs="Times New Roman"/>
          <w:b w:val="0"/>
          <w:bCs/>
          <w:spacing w:val="0"/>
          <w:sz w:val="32"/>
          <w:szCs w:val="32"/>
        </w:rPr>
        <w:t>项目所包含的全部项目内容。</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spacing w:val="0"/>
          <w:sz w:val="32"/>
          <w:szCs w:val="32"/>
        </w:rPr>
      </w:pPr>
      <w:r>
        <w:rPr>
          <w:rFonts w:hint="default" w:ascii="Times New Roman" w:hAnsi="Times New Roman" w:eastAsia="仿宋_GB2312" w:cs="Times New Roman"/>
          <w:b/>
          <w:bCs w:val="0"/>
          <w:spacing w:val="0"/>
          <w:sz w:val="32"/>
          <w:szCs w:val="32"/>
        </w:rPr>
        <w:t>3</w:t>
      </w:r>
      <w:r>
        <w:rPr>
          <w:rFonts w:hint="default" w:ascii="Times New Roman" w:hAnsi="Times New Roman" w:eastAsia="仿宋_GB2312" w:cs="Times New Roman"/>
          <w:b/>
          <w:bCs w:val="0"/>
          <w:spacing w:val="0"/>
          <w:sz w:val="32"/>
          <w:szCs w:val="32"/>
          <w:lang w:val="en-US" w:eastAsia="zh-CN"/>
        </w:rPr>
        <w:t>.</w:t>
      </w:r>
      <w:r>
        <w:rPr>
          <w:rFonts w:hint="default" w:ascii="Times New Roman" w:hAnsi="Times New Roman" w:eastAsia="仿宋_GB2312" w:cs="Times New Roman"/>
          <w:b/>
          <w:bCs w:val="0"/>
          <w:spacing w:val="0"/>
          <w:sz w:val="32"/>
          <w:szCs w:val="32"/>
        </w:rPr>
        <w:t>绩效评价的范围</w:t>
      </w:r>
      <w:r>
        <w:rPr>
          <w:rFonts w:hint="default" w:ascii="Times New Roman" w:hAnsi="Times New Roman" w:eastAsia="仿宋_GB2312" w:cs="Times New Roman"/>
          <w:b/>
          <w:bCs w:val="0"/>
          <w:spacing w:val="0"/>
          <w:sz w:val="32"/>
          <w:szCs w:val="32"/>
          <w:lang w:eastAsia="zh-CN"/>
        </w:rPr>
        <w:t>。</w:t>
      </w:r>
      <w:r>
        <w:rPr>
          <w:rFonts w:hint="default" w:ascii="Times New Roman" w:hAnsi="Times New Roman" w:eastAsia="仿宋_GB2312" w:cs="Times New Roman"/>
          <w:b w:val="0"/>
          <w:bCs/>
          <w:spacing w:val="0"/>
          <w:kern w:val="0"/>
          <w:sz w:val="32"/>
          <w:szCs w:val="32"/>
        </w:rPr>
        <w:t>蜂业技术指导历年工作经费</w:t>
      </w:r>
      <w:r>
        <w:rPr>
          <w:rFonts w:hint="default" w:ascii="Times New Roman" w:hAnsi="Times New Roman" w:eastAsia="仿宋_GB2312" w:cs="Times New Roman"/>
          <w:b w:val="0"/>
          <w:bCs/>
          <w:spacing w:val="0"/>
          <w:sz w:val="32"/>
          <w:szCs w:val="32"/>
        </w:rPr>
        <w:t>项目的决策、过程、产出、效益等。</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楷体_GB2312" w:cs="Times New Roman"/>
          <w:spacing w:val="0"/>
          <w:sz w:val="32"/>
          <w:szCs w:val="32"/>
        </w:rPr>
      </w:pPr>
      <w:r>
        <w:rPr>
          <w:rFonts w:hint="default" w:ascii="Times New Roman" w:hAnsi="Times New Roman" w:eastAsia="楷体_GB2312" w:cs="Times New Roman"/>
          <w:b/>
          <w:bCs/>
          <w:spacing w:val="0"/>
          <w:sz w:val="32"/>
          <w:szCs w:val="32"/>
        </w:rPr>
        <w:t>（二）绩效评价原则、评价指标体系（详情见表1）、评价方法、评价标准。</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color w:val="000000"/>
          <w:spacing w:val="0"/>
          <w:sz w:val="32"/>
          <w:szCs w:val="32"/>
        </w:rPr>
      </w:pPr>
      <w:r>
        <w:rPr>
          <w:rFonts w:hint="default" w:ascii="Times New Roman" w:hAnsi="Times New Roman" w:eastAsia="仿宋_GB2312" w:cs="Times New Roman"/>
          <w:b/>
          <w:bCs/>
          <w:spacing w:val="0"/>
          <w:sz w:val="32"/>
          <w:szCs w:val="32"/>
        </w:rPr>
        <w:t>1</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b/>
          <w:bCs/>
          <w:spacing w:val="0"/>
          <w:sz w:val="32"/>
          <w:szCs w:val="32"/>
        </w:rPr>
        <w:t>绩效评价原则</w:t>
      </w:r>
      <w:r>
        <w:rPr>
          <w:rFonts w:hint="default" w:ascii="Times New Roman" w:hAnsi="Times New Roman" w:eastAsia="仿宋_GB2312" w:cs="Times New Roman"/>
          <w:b/>
          <w:bCs/>
          <w:spacing w:val="0"/>
          <w:sz w:val="32"/>
          <w:szCs w:val="32"/>
          <w:lang w:val="en-US" w:eastAsia="zh-CN"/>
        </w:rPr>
        <w:t>。</w:t>
      </w:r>
      <w:r>
        <w:rPr>
          <w:rFonts w:hint="default" w:ascii="Times New Roman" w:hAnsi="Times New Roman" w:eastAsia="仿宋_GB2312" w:cs="Times New Roman"/>
          <w:b w:val="0"/>
          <w:bCs w:val="0"/>
          <w:color w:val="000000"/>
          <w:spacing w:val="0"/>
          <w:sz w:val="32"/>
          <w:szCs w:val="32"/>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（1）科学公正。</w:t>
      </w:r>
      <w:r>
        <w:rPr>
          <w:rFonts w:hint="default" w:ascii="Times New Roman" w:hAnsi="Times New Roman" w:eastAsia="仿宋_GB2312" w:cs="Times New Roman"/>
          <w:b w:val="0"/>
          <w:bCs w:val="0"/>
          <w:spacing w:val="0"/>
          <w:sz w:val="32"/>
          <w:szCs w:val="32"/>
        </w:rPr>
        <w:t>绩效评价应当运用科学合理的方法，按照规范的程序，对项目绩效进行客观、公正的反映。</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（2）统筹兼顾。</w:t>
      </w:r>
      <w:r>
        <w:rPr>
          <w:rFonts w:hint="default" w:ascii="Times New Roman" w:hAnsi="Times New Roman" w:eastAsia="仿宋_GB2312" w:cs="Times New Roman"/>
          <w:b w:val="0"/>
          <w:bCs w:val="0"/>
          <w:spacing w:val="0"/>
          <w:sz w:val="32"/>
          <w:szCs w:val="32"/>
        </w:rPr>
        <w:t>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（3）激励约束。</w:t>
      </w:r>
      <w:r>
        <w:rPr>
          <w:rFonts w:hint="default" w:ascii="Times New Roman" w:hAnsi="Times New Roman" w:eastAsia="仿宋_GB2312" w:cs="Times New Roman"/>
          <w:b w:val="0"/>
          <w:bCs w:val="0"/>
          <w:spacing w:val="0"/>
          <w:sz w:val="32"/>
          <w:szCs w:val="32"/>
        </w:rPr>
        <w:t>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bCs/>
          <w:spacing w:val="0"/>
          <w:sz w:val="32"/>
          <w:szCs w:val="32"/>
        </w:rPr>
        <w:t>（4）公开透明。</w:t>
      </w:r>
      <w:r>
        <w:rPr>
          <w:rFonts w:hint="default" w:ascii="Times New Roman" w:hAnsi="Times New Roman" w:eastAsia="仿宋_GB2312" w:cs="Times New Roman"/>
          <w:b w:val="0"/>
          <w:bCs w:val="0"/>
          <w:spacing w:val="0"/>
          <w:sz w:val="32"/>
          <w:szCs w:val="32"/>
        </w:rPr>
        <w:t>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2</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评价指标体系</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bCs/>
          <w:color w:val="000000"/>
          <w:spacing w:val="0"/>
          <w:sz w:val="32"/>
          <w:szCs w:val="32"/>
        </w:rPr>
        <w:t>（1）确定评价指标</w:t>
      </w:r>
      <w:r>
        <w:rPr>
          <w:rFonts w:hint="default" w:ascii="Times New Roman" w:hAnsi="Times New Roman" w:eastAsia="仿宋_GB2312" w:cs="Times New Roman"/>
          <w:b/>
          <w:bCs/>
          <w:color w:val="000000"/>
          <w:spacing w:val="0"/>
          <w:sz w:val="32"/>
          <w:szCs w:val="32"/>
          <w:lang w:eastAsia="zh-CN"/>
        </w:rPr>
        <w:t>。</w:t>
      </w:r>
      <w:r>
        <w:rPr>
          <w:rFonts w:hint="default" w:ascii="Times New Roman" w:hAnsi="Times New Roman" w:eastAsia="仿宋_GB2312" w:cs="Times New Roman"/>
          <w:color w:val="000000"/>
          <w:spacing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（2）确定权重</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（3）确定指标标准值</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color w:val="000000"/>
          <w:spacing w:val="0"/>
          <w:kern w:val="2"/>
          <w:sz w:val="32"/>
          <w:szCs w:val="32"/>
        </w:rPr>
      </w:pPr>
      <w:r>
        <w:rPr>
          <w:rFonts w:hint="default" w:ascii="Times New Roman" w:hAnsi="Times New Roman" w:eastAsia="仿宋_GB2312" w:cs="Times New Roman"/>
          <w:b w:val="0"/>
          <w:bCs w:val="0"/>
          <w:color w:val="000000"/>
          <w:spacing w:val="0"/>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000000"/>
          <w:spacing w:val="0"/>
          <w:sz w:val="32"/>
          <w:szCs w:val="32"/>
        </w:rPr>
      </w:pPr>
      <w:r>
        <w:rPr>
          <w:rFonts w:hint="default" w:ascii="Times New Roman" w:hAnsi="Times New Roman" w:eastAsia="仿宋_GB2312" w:cs="Times New Roman"/>
          <w:b w:val="0"/>
          <w:bCs w:val="0"/>
          <w:color w:val="000000"/>
          <w:spacing w:val="0"/>
          <w:sz w:val="32"/>
          <w:szCs w:val="32"/>
        </w:rPr>
        <w:t>具体评价指标体系详情见附件1</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3</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绩效评价方法</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（1）比较法</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通过对绩效目标与实施效果、历史与当期情况，综合分析绩效目标实现程度。对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
          <w:color w:val="000000"/>
          <w:spacing w:val="0"/>
          <w:sz w:val="32"/>
          <w:szCs w:val="32"/>
        </w:rPr>
        <w:t>（2）因素分析法</w:t>
      </w:r>
      <w:r>
        <w:rPr>
          <w:rFonts w:hint="default" w:ascii="Times New Roman" w:hAnsi="Times New Roman" w:eastAsia="仿宋_GB2312" w:cs="Times New Roman"/>
          <w:b/>
          <w:color w:val="000000"/>
          <w:spacing w:val="0"/>
          <w:sz w:val="32"/>
          <w:szCs w:val="32"/>
          <w:lang w:eastAsia="zh-CN"/>
        </w:rPr>
        <w:t>。</w:t>
      </w:r>
      <w:r>
        <w:rPr>
          <w:rFonts w:hint="default" w:ascii="Times New Roman" w:hAnsi="Times New Roman" w:eastAsia="仿宋_GB2312" w:cs="Times New Roman"/>
          <w:color w:val="000000"/>
          <w:spacing w:val="0"/>
          <w:sz w:val="32"/>
          <w:szCs w:val="32"/>
        </w:rPr>
        <w:t>通过综合分析影响绩效目标实现、实施效果的内外因素，评价绩效目标实现程度。通过对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的开展情况、项目产出数量、成本控制、资金拨付文件及自评报告等相关资料的收集和审核，综合分析各因素对绩效目标实现的影响。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2" w:firstLineChars="200"/>
        <w:jc w:val="both"/>
        <w:textAlignment w:val="auto"/>
        <w:outlineLvl w:val="9"/>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bCs w:val="0"/>
          <w:spacing w:val="0"/>
          <w:sz w:val="32"/>
          <w:szCs w:val="32"/>
        </w:rPr>
        <w:t>4</w:t>
      </w:r>
      <w:r>
        <w:rPr>
          <w:rFonts w:hint="default" w:ascii="Times New Roman" w:hAnsi="Times New Roman" w:eastAsia="仿宋_GB2312" w:cs="Times New Roman"/>
          <w:bCs w:val="0"/>
          <w:spacing w:val="0"/>
          <w:sz w:val="32"/>
          <w:szCs w:val="32"/>
          <w:lang w:val="en-US" w:eastAsia="zh-CN"/>
        </w:rPr>
        <w:t>.</w:t>
      </w:r>
      <w:r>
        <w:rPr>
          <w:rFonts w:hint="default" w:ascii="Times New Roman" w:hAnsi="Times New Roman" w:eastAsia="仿宋_GB2312" w:cs="Times New Roman"/>
          <w:bCs w:val="0"/>
          <w:spacing w:val="0"/>
          <w:sz w:val="32"/>
          <w:szCs w:val="32"/>
        </w:rPr>
        <w:t>评价标准</w:t>
      </w:r>
      <w:r>
        <w:rPr>
          <w:rFonts w:hint="default" w:ascii="Times New Roman" w:hAnsi="Times New Roman" w:eastAsia="仿宋_GB2312" w:cs="Times New Roman"/>
          <w:bCs w:val="0"/>
          <w:spacing w:val="0"/>
          <w:sz w:val="32"/>
          <w:szCs w:val="32"/>
          <w:lang w:eastAsia="zh-CN"/>
        </w:rPr>
        <w:t>。</w:t>
      </w:r>
      <w:r>
        <w:rPr>
          <w:rFonts w:hint="default" w:ascii="Times New Roman" w:hAnsi="Times New Roman" w:eastAsia="仿宋_GB2312" w:cs="Times New Roman"/>
          <w:b w:val="0"/>
          <w:bCs w:val="0"/>
          <w:color w:val="000000"/>
          <w:spacing w:val="0"/>
          <w:sz w:val="32"/>
          <w:szCs w:val="32"/>
        </w:rPr>
        <w:t>绩效评价标准通常包括计划标准、行业标准、历史标准等，用于对绩效指标完成情况进行比较。本次评价主要采用了计划标准和行业标准。</w:t>
      </w:r>
    </w:p>
    <w:p>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b/>
          <w:bCs/>
          <w:color w:val="000000"/>
          <w:spacing w:val="0"/>
          <w:sz w:val="32"/>
          <w:szCs w:val="32"/>
        </w:rPr>
      </w:pPr>
      <w:r>
        <w:rPr>
          <w:rFonts w:hint="default" w:ascii="Times New Roman" w:hAnsi="Times New Roman" w:eastAsia="楷体_GB2312" w:cs="Times New Roman"/>
          <w:b/>
          <w:bCs/>
          <w:color w:val="000000"/>
          <w:spacing w:val="0"/>
          <w:sz w:val="32"/>
          <w:szCs w:val="32"/>
          <w:lang w:eastAsia="zh-CN"/>
        </w:rPr>
        <w:t>（三）</w:t>
      </w:r>
      <w:r>
        <w:rPr>
          <w:rFonts w:hint="default" w:ascii="Times New Roman" w:hAnsi="Times New Roman" w:eastAsia="楷体_GB2312" w:cs="Times New Roman"/>
          <w:b/>
          <w:bCs/>
          <w:color w:val="000000"/>
          <w:spacing w:val="0"/>
          <w:sz w:val="32"/>
          <w:szCs w:val="3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Cs/>
          <w:spacing w:val="0"/>
          <w:sz w:val="32"/>
          <w:szCs w:val="32"/>
        </w:rPr>
      </w:pPr>
      <w:r>
        <w:rPr>
          <w:rFonts w:hint="default" w:ascii="Times New Roman" w:hAnsi="Times New Roman" w:eastAsia="仿宋_GB2312" w:cs="Times New Roman"/>
          <w:b/>
          <w:bCs/>
          <w:spacing w:val="0"/>
          <w:sz w:val="32"/>
          <w:szCs w:val="32"/>
          <w:lang w:val="en-US" w:eastAsia="zh-CN"/>
        </w:rPr>
        <w:t>1.</w:t>
      </w:r>
      <w:r>
        <w:rPr>
          <w:rFonts w:hint="default" w:ascii="Times New Roman" w:hAnsi="Times New Roman" w:eastAsia="仿宋_GB2312" w:cs="Times New Roman"/>
          <w:b/>
          <w:bCs/>
          <w:spacing w:val="0"/>
          <w:sz w:val="32"/>
          <w:szCs w:val="32"/>
        </w:rPr>
        <w:t>前期准备</w:t>
      </w:r>
      <w:r>
        <w:rPr>
          <w:rFonts w:hint="default" w:ascii="Times New Roman" w:hAnsi="Times New Roman" w:eastAsia="仿宋_GB2312" w:cs="Times New Roman"/>
          <w:bCs/>
          <w:spacing w:val="0"/>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Cs/>
          <w:spacing w:val="0"/>
          <w:sz w:val="32"/>
          <w:szCs w:val="32"/>
        </w:rPr>
      </w:pPr>
      <w:r>
        <w:rPr>
          <w:rFonts w:hint="default" w:ascii="Times New Roman" w:hAnsi="Times New Roman" w:eastAsia="仿宋_GB2312" w:cs="Times New Roman"/>
          <w:b/>
          <w:bCs/>
          <w:spacing w:val="0"/>
          <w:sz w:val="32"/>
          <w:szCs w:val="32"/>
          <w:lang w:val="en-US" w:eastAsia="zh-CN"/>
        </w:rPr>
        <w:t>2.</w:t>
      </w:r>
      <w:r>
        <w:rPr>
          <w:rFonts w:hint="default" w:ascii="Times New Roman" w:hAnsi="Times New Roman" w:eastAsia="仿宋_GB2312" w:cs="Times New Roman"/>
          <w:b/>
          <w:bCs/>
          <w:spacing w:val="0"/>
          <w:sz w:val="32"/>
          <w:szCs w:val="32"/>
        </w:rPr>
        <w:t>组织实施</w:t>
      </w:r>
      <w:r>
        <w:rPr>
          <w:rFonts w:hint="default" w:ascii="Times New Roman" w:hAnsi="Times New Roman" w:eastAsia="仿宋_GB2312" w:cs="Times New Roman"/>
          <w:bCs/>
          <w:spacing w:val="0"/>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spacing w:val="0"/>
          <w:sz w:val="32"/>
          <w:szCs w:val="32"/>
          <w:lang w:val="en-US" w:eastAsia="zh-CN"/>
        </w:rPr>
        <w:t>3.</w:t>
      </w:r>
      <w:r>
        <w:rPr>
          <w:rFonts w:hint="default" w:ascii="Times New Roman" w:hAnsi="Times New Roman" w:eastAsia="仿宋_GB2312" w:cs="Times New Roman"/>
          <w:b/>
          <w:bCs/>
          <w:spacing w:val="0"/>
          <w:sz w:val="32"/>
          <w:szCs w:val="32"/>
        </w:rPr>
        <w:t>分析评价</w:t>
      </w:r>
      <w:r>
        <w:rPr>
          <w:rFonts w:hint="default" w:ascii="Times New Roman" w:hAnsi="Times New Roman" w:eastAsia="仿宋_GB2312" w:cs="Times New Roman"/>
          <w:bCs/>
          <w:spacing w:val="0"/>
          <w:sz w:val="32"/>
          <w:szCs w:val="32"/>
        </w:rPr>
        <w:t>。根据收集梳理的资料围绕项目立项、资金落实、业务管理、财务管理、项目产出、项目效益等内容，对照已确定的绩效评价指标进行详细全面的分析评价，逐项打分并形成绩效评价最终结果。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40" w:firstLineChars="200"/>
        <w:rPr>
          <w:rFonts w:ascii="仿宋_GB2312"/>
          <w:sz w:val="32"/>
          <w:szCs w:val="32"/>
        </w:rPr>
      </w:pPr>
      <w:r>
        <w:rPr>
          <w:rFonts w:hint="eastAsia" w:ascii="黑体" w:hAnsi="黑体" w:eastAsia="黑体"/>
          <w:sz w:val="32"/>
          <w:szCs w:val="32"/>
        </w:rPr>
        <w:t>三、综合评价情况及评价结论</w:t>
      </w:r>
      <w:r>
        <w:rPr>
          <w:rFonts w:hint="eastAsia" w:ascii="仿宋_GB2312"/>
          <w:sz w:val="32"/>
          <w:szCs w:val="32"/>
        </w:rPr>
        <w:t>（附相关评分表）</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 w:cs="Times New Roman"/>
          <w:color w:val="auto"/>
          <w:spacing w:val="0"/>
          <w:sz w:val="32"/>
          <w:szCs w:val="32"/>
        </w:rPr>
      </w:pPr>
      <w:r>
        <w:rPr>
          <w:rFonts w:hint="default" w:ascii="Times New Roman" w:hAnsi="Times New Roman" w:eastAsia="仿宋_GB2312" w:cs="Times New Roman"/>
          <w:b w:val="0"/>
          <w:bCs w:val="0"/>
          <w:color w:val="auto"/>
          <w:spacing w:val="0"/>
          <w:sz w:val="32"/>
          <w:szCs w:val="32"/>
        </w:rPr>
        <w:t>对</w:t>
      </w:r>
      <w:r>
        <w:rPr>
          <w:rFonts w:hint="default" w:ascii="Times New Roman" w:hAnsi="Times New Roman" w:eastAsia="仿宋_GB2312" w:cs="Times New Roman"/>
          <w:b w:val="0"/>
          <w:bCs/>
          <w:spacing w:val="0"/>
          <w:kern w:val="0"/>
          <w:sz w:val="32"/>
          <w:szCs w:val="32"/>
        </w:rPr>
        <w:t>蜂业技术指导历年工作经费</w:t>
      </w:r>
      <w:r>
        <w:rPr>
          <w:rFonts w:hint="default" w:ascii="Times New Roman" w:hAnsi="Times New Roman" w:eastAsia="仿宋_GB2312" w:cs="Times New Roman"/>
          <w:b w:val="0"/>
          <w:bCs w:val="0"/>
          <w:color w:val="auto"/>
          <w:spacing w:val="0"/>
          <w:sz w:val="32"/>
          <w:szCs w:val="32"/>
        </w:rPr>
        <w:t>项目进行客观评价，最终评分结果：总得分为</w:t>
      </w:r>
      <w:r>
        <w:rPr>
          <w:rFonts w:hint="eastAsia" w:ascii="Times New Roman" w:hAnsi="Times New Roman" w:eastAsia="仿宋_GB2312" w:cs="Times New Roman"/>
          <w:b w:val="0"/>
          <w:bCs w:val="0"/>
          <w:color w:val="auto"/>
          <w:spacing w:val="0"/>
          <w:sz w:val="32"/>
          <w:szCs w:val="32"/>
          <w:lang w:val="en-US" w:eastAsia="zh-CN"/>
        </w:rPr>
        <w:t>99.8</w:t>
      </w:r>
      <w:r>
        <w:rPr>
          <w:rFonts w:hint="default" w:ascii="Times New Roman" w:hAnsi="Times New Roman" w:eastAsia="仿宋_GB2312" w:cs="Times New Roman"/>
          <w:b w:val="0"/>
          <w:bCs w:val="0"/>
          <w:color w:val="auto"/>
          <w:spacing w:val="0"/>
          <w:sz w:val="32"/>
          <w:szCs w:val="32"/>
        </w:rPr>
        <w:t>分，属于“优”。其中，项目决策类指标权重为5分，得分为 5分，得分率为100%。项目过程类指标权重为5分，得分为</w:t>
      </w:r>
      <w:r>
        <w:rPr>
          <w:rFonts w:hint="eastAsia" w:ascii="Times New Roman" w:hAnsi="Times New Roman" w:eastAsia="仿宋_GB2312" w:cs="Times New Roman"/>
          <w:b w:val="0"/>
          <w:bCs w:val="0"/>
          <w:color w:val="auto"/>
          <w:spacing w:val="0"/>
          <w:sz w:val="32"/>
          <w:szCs w:val="32"/>
          <w:lang w:val="en-US" w:eastAsia="zh-CN"/>
        </w:rPr>
        <w:t>4.98</w:t>
      </w:r>
      <w:r>
        <w:rPr>
          <w:rFonts w:hint="default" w:ascii="Times New Roman" w:hAnsi="Times New Roman" w:eastAsia="仿宋_GB2312" w:cs="Times New Roman"/>
          <w:b w:val="0"/>
          <w:bCs w:val="0"/>
          <w:color w:val="auto"/>
          <w:spacing w:val="0"/>
          <w:sz w:val="32"/>
          <w:szCs w:val="32"/>
        </w:rPr>
        <w:t>分，得分率为100%。项目产出类指标权重为</w:t>
      </w:r>
      <w:r>
        <w:rPr>
          <w:rFonts w:hint="eastAsia" w:ascii="Times New Roman" w:hAnsi="Times New Roman" w:eastAsia="仿宋_GB2312" w:cs="Times New Roman"/>
          <w:b w:val="0"/>
          <w:bCs w:val="0"/>
          <w:color w:val="auto"/>
          <w:spacing w:val="0"/>
          <w:sz w:val="32"/>
          <w:szCs w:val="32"/>
          <w:lang w:val="en-US" w:eastAsia="zh-CN"/>
        </w:rPr>
        <w:t>60</w:t>
      </w:r>
      <w:r>
        <w:rPr>
          <w:rFonts w:hint="default" w:ascii="Times New Roman" w:hAnsi="Times New Roman" w:eastAsia="仿宋_GB2312" w:cs="Times New Roman"/>
          <w:b w:val="0"/>
          <w:bCs w:val="0"/>
          <w:color w:val="auto"/>
          <w:spacing w:val="0"/>
          <w:sz w:val="32"/>
          <w:szCs w:val="32"/>
        </w:rPr>
        <w:t>分，得分为</w:t>
      </w:r>
      <w:r>
        <w:rPr>
          <w:rFonts w:hint="eastAsia" w:ascii="Times New Roman" w:hAnsi="Times New Roman" w:eastAsia="仿宋_GB2312" w:cs="Times New Roman"/>
          <w:b w:val="0"/>
          <w:bCs w:val="0"/>
          <w:color w:val="auto"/>
          <w:spacing w:val="0"/>
          <w:sz w:val="32"/>
          <w:szCs w:val="32"/>
          <w:lang w:val="en-US" w:eastAsia="zh-CN"/>
        </w:rPr>
        <w:t>60</w:t>
      </w:r>
      <w:r>
        <w:rPr>
          <w:rFonts w:hint="default" w:ascii="Times New Roman" w:hAnsi="Times New Roman" w:eastAsia="仿宋_GB2312" w:cs="Times New Roman"/>
          <w:b w:val="0"/>
          <w:bCs w:val="0"/>
          <w:color w:val="auto"/>
          <w:spacing w:val="0"/>
          <w:sz w:val="32"/>
          <w:szCs w:val="32"/>
        </w:rPr>
        <w:t>分，得分率为</w:t>
      </w:r>
      <w:r>
        <w:rPr>
          <w:rFonts w:hint="eastAsia" w:ascii="Times New Roman" w:hAnsi="Times New Roman" w:eastAsia="仿宋_GB2312" w:cs="Times New Roman"/>
          <w:b w:val="0"/>
          <w:bCs w:val="0"/>
          <w:color w:val="auto"/>
          <w:spacing w:val="0"/>
          <w:sz w:val="32"/>
          <w:szCs w:val="32"/>
          <w:lang w:val="en-US" w:eastAsia="zh-CN"/>
        </w:rPr>
        <w:t>100</w:t>
      </w:r>
      <w:r>
        <w:rPr>
          <w:rFonts w:hint="default" w:ascii="Times New Roman" w:hAnsi="Times New Roman" w:eastAsia="仿宋_GB2312" w:cs="Times New Roman"/>
          <w:b w:val="0"/>
          <w:bCs w:val="0"/>
          <w:color w:val="auto"/>
          <w:spacing w:val="0"/>
          <w:sz w:val="32"/>
          <w:szCs w:val="32"/>
        </w:rPr>
        <w:t>%。项目效益类指标权重为</w:t>
      </w:r>
      <w:r>
        <w:rPr>
          <w:rFonts w:hint="eastAsia" w:ascii="Times New Roman" w:hAnsi="Times New Roman" w:eastAsia="仿宋_GB2312" w:cs="Times New Roman"/>
          <w:b w:val="0"/>
          <w:bCs w:val="0"/>
          <w:color w:val="auto"/>
          <w:spacing w:val="0"/>
          <w:sz w:val="32"/>
          <w:szCs w:val="32"/>
          <w:lang w:val="en-US" w:eastAsia="zh-CN"/>
        </w:rPr>
        <w:t>3</w:t>
      </w:r>
      <w:r>
        <w:rPr>
          <w:rFonts w:hint="default" w:ascii="Times New Roman" w:hAnsi="Times New Roman" w:eastAsia="仿宋_GB2312" w:cs="Times New Roman"/>
          <w:b w:val="0"/>
          <w:bCs w:val="0"/>
          <w:color w:val="auto"/>
          <w:spacing w:val="0"/>
          <w:sz w:val="32"/>
          <w:szCs w:val="32"/>
        </w:rPr>
        <w:t>0分，得分为</w:t>
      </w:r>
      <w:r>
        <w:rPr>
          <w:rFonts w:hint="eastAsia" w:ascii="Times New Roman" w:hAnsi="Times New Roman" w:eastAsia="仿宋_GB2312" w:cs="Times New Roman"/>
          <w:b w:val="0"/>
          <w:bCs w:val="0"/>
          <w:color w:val="auto"/>
          <w:spacing w:val="0"/>
          <w:sz w:val="32"/>
          <w:szCs w:val="32"/>
          <w:lang w:val="en-US" w:eastAsia="zh-CN"/>
        </w:rPr>
        <w:t>3</w:t>
      </w:r>
      <w:r>
        <w:rPr>
          <w:rFonts w:hint="default" w:ascii="Times New Roman" w:hAnsi="Times New Roman" w:eastAsia="仿宋_GB2312" w:cs="Times New Roman"/>
          <w:b w:val="0"/>
          <w:bCs w:val="0"/>
          <w:color w:val="auto"/>
          <w:spacing w:val="0"/>
          <w:sz w:val="32"/>
          <w:szCs w:val="32"/>
        </w:rPr>
        <w:t>0分，得分率为100%。</w:t>
      </w:r>
    </w:p>
    <w:p>
      <w:pPr>
        <w:rPr>
          <w:rFonts w:hint="default"/>
        </w:rPr>
      </w:pPr>
    </w:p>
    <w:p>
      <w:pPr>
        <w:pStyle w:val="2"/>
        <w:keepNext w:val="0"/>
        <w:keepLines w:val="0"/>
        <w:pageBreakBefore w:val="0"/>
        <w:widowControl/>
        <w:kinsoku/>
        <w:wordWrap/>
        <w:overflowPunct/>
        <w:topLinePunct w:val="0"/>
        <w:autoSpaceDE/>
        <w:autoSpaceDN/>
        <w:bidi w:val="0"/>
        <w:adjustRightInd/>
        <w:snapToGrid/>
        <w:spacing w:before="0" w:after="0" w:line="560" w:lineRule="exact"/>
        <w:textAlignment w:val="auto"/>
        <w:outlineLvl w:val="9"/>
        <w:rPr>
          <w:rFonts w:hint="eastAsia" w:ascii="仿宋_GB2312" w:hAnsi="仿宋_GB2312" w:eastAsia="仿宋_GB2312" w:cs="仿宋_GB2312"/>
          <w:b/>
          <w:bCs/>
          <w:spacing w:val="0"/>
        </w:rPr>
      </w:pPr>
      <w:r>
        <w:rPr>
          <w:rFonts w:hint="eastAsia" w:ascii="仿宋_GB2312" w:hAnsi="仿宋_GB2312" w:eastAsia="仿宋_GB2312" w:cs="仿宋_GB2312"/>
          <w:b/>
          <w:bCs/>
          <w:spacing w:val="0"/>
        </w:rPr>
        <w:t>表1综合评分表</w:t>
      </w:r>
    </w:p>
    <w:p>
      <w:pPr>
        <w:rPr>
          <w:rFonts w:hint="default"/>
        </w:rPr>
      </w:pPr>
    </w:p>
    <w:tbl>
      <w:tblPr>
        <w:tblStyle w:val="5"/>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blHeader/>
        </w:trPr>
        <w:tc>
          <w:tcPr>
            <w:tcW w:w="1104"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一级指标</w:t>
            </w:r>
          </w:p>
        </w:tc>
        <w:tc>
          <w:tcPr>
            <w:tcW w:w="990"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分值</w:t>
            </w:r>
          </w:p>
        </w:tc>
        <w:tc>
          <w:tcPr>
            <w:tcW w:w="1283"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二级指标</w:t>
            </w:r>
          </w:p>
        </w:tc>
        <w:tc>
          <w:tcPr>
            <w:tcW w:w="1707"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三级指标</w:t>
            </w:r>
          </w:p>
        </w:tc>
        <w:tc>
          <w:tcPr>
            <w:tcW w:w="727" w:type="dxa"/>
            <w:shd w:val="clear" w:color="auto" w:fill="BFBFB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权重</w:t>
            </w:r>
          </w:p>
        </w:tc>
        <w:tc>
          <w:tcPr>
            <w:tcW w:w="1044"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目标值</w:t>
            </w:r>
          </w:p>
        </w:tc>
        <w:tc>
          <w:tcPr>
            <w:tcW w:w="924"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业绩值</w:t>
            </w:r>
          </w:p>
        </w:tc>
        <w:tc>
          <w:tcPr>
            <w:tcW w:w="1215"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得分率</w:t>
            </w:r>
          </w:p>
        </w:tc>
        <w:tc>
          <w:tcPr>
            <w:tcW w:w="960" w:type="dxa"/>
            <w:shd w:val="clear" w:color="auto" w:fill="BFBFBF"/>
            <w:vAlign w:val="center"/>
          </w:tcPr>
          <w:p>
            <w:pPr>
              <w:keepNext w:val="0"/>
              <w:keepLines w:val="0"/>
              <w:pageBreakBefore w:val="0"/>
              <w:widowControl/>
              <w:suppressLineNumbers w:val="0"/>
              <w:tabs>
                <w:tab w:val="left" w:pos="1333"/>
                <w:tab w:val="center" w:pos="3623"/>
              </w:tabs>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spacing w:val="0"/>
                <w:kern w:val="0"/>
                <w:sz w:val="22"/>
                <w:szCs w:val="22"/>
              </w:rPr>
              <w:t>5分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立项依据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立项程序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资金投入</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预算编制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资金分配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spacing w:val="0"/>
                <w:kern w:val="0"/>
                <w:sz w:val="22"/>
                <w:szCs w:val="22"/>
              </w:rPr>
              <w:t>5分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cs="Times New Roman"/>
                <w:color w:val="000000"/>
                <w:spacing w:val="0"/>
                <w:kern w:val="0"/>
                <w:sz w:val="22"/>
                <w:szCs w:val="22"/>
                <w:lang w:val="en-US" w:eastAsia="zh-CN"/>
              </w:rPr>
              <w:t>98</w:t>
            </w:r>
            <w:r>
              <w:rPr>
                <w:rFonts w:hint="default" w:ascii="Times New Roman" w:hAnsi="Times New Roman" w:cs="Times New Roman"/>
                <w:color w:val="000000"/>
                <w:spacing w:val="0"/>
                <w:kern w:val="0"/>
                <w:sz w:val="22"/>
                <w:szCs w:val="22"/>
              </w:rPr>
              <w:t>%</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Times New Roman"/>
                <w:color w:val="000000"/>
                <w:spacing w:val="0"/>
                <w:kern w:val="0"/>
                <w:sz w:val="22"/>
                <w:szCs w:val="22"/>
                <w:lang w:val="en-US" w:eastAsia="zh-CN"/>
              </w:rPr>
            </w:pPr>
            <w:r>
              <w:rPr>
                <w:rFonts w:hint="eastAsia" w:cs="Times New Roman"/>
                <w:color w:val="000000"/>
                <w:spacing w:val="0"/>
                <w:kern w:val="0"/>
                <w:sz w:val="22"/>
                <w:szCs w:val="22"/>
                <w:lang w:val="en-US" w:eastAsia="zh-CN"/>
              </w:rPr>
              <w:t>0.98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合规性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合格</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合格</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组织实施</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管理制度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制度执行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spacing w:val="0"/>
                <w:kern w:val="0"/>
                <w:sz w:val="22"/>
                <w:szCs w:val="22"/>
                <w:lang w:val="en-US" w:eastAsia="zh-CN"/>
              </w:rPr>
              <w:t>6</w:t>
            </w:r>
            <w:r>
              <w:rPr>
                <w:rFonts w:hint="default" w:ascii="Times New Roman" w:hAnsi="Times New Roman" w:cs="Times New Roman"/>
                <w:spacing w:val="0"/>
                <w:kern w:val="0"/>
                <w:sz w:val="22"/>
                <w:szCs w:val="22"/>
              </w:rPr>
              <w:t>0分</w:t>
            </w: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产出数量</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18</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100</w:t>
            </w:r>
            <w:r>
              <w:rPr>
                <w:rFonts w:hint="default" w:ascii="Times New Roman" w:hAnsi="Times New Roman" w:cs="Times New Roman"/>
                <w:color w:val="000000"/>
                <w:spacing w:val="0"/>
                <w:kern w:val="0"/>
                <w:sz w:val="22"/>
                <w:szCs w:val="22"/>
              </w:rPr>
              <w:t>%</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产出质量</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产出时效</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完成及时性</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color w:val="000000"/>
                <w:spacing w:val="0"/>
                <w:kern w:val="0"/>
                <w:sz w:val="22"/>
                <w:szCs w:val="22"/>
                <w:lang w:val="en-US" w:eastAsia="zh-CN"/>
              </w:rPr>
            </w:pPr>
            <w:r>
              <w:rPr>
                <w:rFonts w:hint="default" w:ascii="Times New Roman" w:hAnsi="Times New Roman" w:cs="Times New Roman"/>
                <w:color w:val="000000"/>
                <w:spacing w:val="0"/>
                <w:kern w:val="0"/>
                <w:sz w:val="22"/>
                <w:szCs w:val="22"/>
              </w:rPr>
              <w:t>1</w:t>
            </w:r>
            <w:r>
              <w:rPr>
                <w:rFonts w:hint="eastAsia" w:ascii="Times New Roman" w:hAnsi="Times New Roman" w:cs="Times New Roman"/>
                <w:color w:val="000000"/>
                <w:spacing w:val="0"/>
                <w:kern w:val="0"/>
                <w:sz w:val="22"/>
                <w:szCs w:val="22"/>
                <w:lang w:val="en-US" w:eastAsia="zh-CN"/>
              </w:rPr>
              <w:t>2</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及时</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及时</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w:t>
            </w:r>
            <w:r>
              <w:rPr>
                <w:rFonts w:hint="eastAsia" w:ascii="Times New Roman" w:hAnsi="Times New Roman" w:cs="Times New Roman"/>
                <w:color w:val="000000"/>
                <w:spacing w:val="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产出成本</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成本节约率</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效益</w:t>
            </w:r>
          </w:p>
        </w:tc>
        <w:tc>
          <w:tcPr>
            <w:tcW w:w="990"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3</w:t>
            </w:r>
            <w:r>
              <w:rPr>
                <w:rFonts w:hint="default" w:ascii="Times New Roman" w:hAnsi="Times New Roman" w:cs="Times New Roman"/>
                <w:color w:val="000000"/>
                <w:spacing w:val="0"/>
                <w:kern w:val="0"/>
                <w:sz w:val="22"/>
                <w:szCs w:val="22"/>
              </w:rPr>
              <w:t>0分</w:t>
            </w:r>
          </w:p>
        </w:tc>
        <w:tc>
          <w:tcPr>
            <w:tcW w:w="1283" w:type="dxa"/>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项目效益</w:t>
            </w: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实施效益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（社会效益、经济效益、可持续效益）</w:t>
            </w:r>
          </w:p>
        </w:tc>
        <w:tc>
          <w:tcPr>
            <w:tcW w:w="72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000000"/>
                <w:spacing w:val="0"/>
                <w:kern w:val="0"/>
                <w:sz w:val="22"/>
                <w:szCs w:val="22"/>
                <w:lang w:val="en-US" w:eastAsia="zh-CN"/>
              </w:rPr>
            </w:pPr>
            <w:r>
              <w:rPr>
                <w:rFonts w:hint="eastAsia" w:ascii="Times New Roman" w:hAnsi="Times New Roman" w:cs="Times New Roman"/>
                <w:color w:val="000000"/>
                <w:spacing w:val="0"/>
                <w:kern w:val="0"/>
                <w:sz w:val="22"/>
                <w:szCs w:val="22"/>
                <w:lang w:val="en-US" w:eastAsia="zh-CN"/>
              </w:rPr>
              <w:t>20</w:t>
            </w:r>
          </w:p>
        </w:tc>
        <w:tc>
          <w:tcPr>
            <w:tcW w:w="104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924"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w:t>
            </w:r>
          </w:p>
        </w:tc>
        <w:tc>
          <w:tcPr>
            <w:tcW w:w="1215"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eastAsia" w:ascii="Times New Roman" w:hAnsi="Times New Roman" w:cs="Times New Roman"/>
                <w:color w:val="000000"/>
                <w:spacing w:val="0"/>
                <w:kern w:val="0"/>
                <w:sz w:val="22"/>
                <w:szCs w:val="22"/>
                <w:lang w:val="en-US" w:eastAsia="zh-CN"/>
              </w:rPr>
              <w:t>2</w:t>
            </w:r>
            <w:r>
              <w:rPr>
                <w:rFonts w:hint="default" w:ascii="Times New Roman" w:hAnsi="Times New Roman" w:cs="Times New Roman"/>
                <w:color w:val="000000"/>
                <w:spacing w:val="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990"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color w:val="000000"/>
                <w:spacing w:val="0"/>
                <w:kern w:val="0"/>
                <w:sz w:val="22"/>
                <w:szCs w:val="22"/>
              </w:rPr>
            </w:pPr>
          </w:p>
        </w:tc>
        <w:tc>
          <w:tcPr>
            <w:tcW w:w="1283" w:type="dxa"/>
            <w:vMerge w:val="continue"/>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p>
        </w:tc>
        <w:tc>
          <w:tcPr>
            <w:tcW w:w="1707" w:type="dxa"/>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满意度</w:t>
            </w:r>
          </w:p>
        </w:tc>
        <w:tc>
          <w:tcPr>
            <w:tcW w:w="727"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c>
          <w:tcPr>
            <w:tcW w:w="104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≥90%</w:t>
            </w:r>
          </w:p>
        </w:tc>
        <w:tc>
          <w:tcPr>
            <w:tcW w:w="924"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1215"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100%</w:t>
            </w:r>
          </w:p>
        </w:tc>
        <w:tc>
          <w:tcPr>
            <w:tcW w:w="960" w:type="dxa"/>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10</w:t>
            </w:r>
          </w:p>
        </w:tc>
      </w:tr>
    </w:tbl>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楷体_GB2312" w:cs="Times New Roman"/>
          <w:spacing w:val="0"/>
          <w:sz w:val="32"/>
          <w:szCs w:val="32"/>
        </w:rPr>
        <w:t>（一）项目决策情况</w:t>
      </w:r>
      <w:r>
        <w:rPr>
          <w:rFonts w:hint="default" w:ascii="Times New Roman" w:hAnsi="Times New Roman" w:eastAsia="楷体_GB2312" w:cs="Times New Roman"/>
          <w:spacing w:val="0"/>
          <w:sz w:val="32"/>
          <w:szCs w:val="32"/>
          <w:lang w:eastAsia="zh-CN"/>
        </w:rPr>
        <w:t>。</w:t>
      </w:r>
      <w:r>
        <w:rPr>
          <w:rFonts w:hint="default" w:ascii="Times New Roman" w:hAnsi="Times New Roman" w:eastAsia="仿宋_GB2312" w:cs="Times New Roman"/>
          <w:b w:val="0"/>
          <w:bCs w:val="0"/>
          <w:spacing w:val="0"/>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仿宋" w:cs="Times New Roman"/>
          <w:spacing w:val="0"/>
          <w:sz w:val="32"/>
          <w:szCs w:val="32"/>
        </w:rPr>
      </w:pPr>
      <w:r>
        <w:rPr>
          <w:rFonts w:hint="default" w:ascii="Times New Roman" w:hAnsi="Times New Roman" w:eastAsia="楷体_GB2312" w:cs="Times New Roman"/>
          <w:spacing w:val="0"/>
          <w:sz w:val="32"/>
          <w:szCs w:val="32"/>
          <w:lang w:eastAsia="zh-CN"/>
        </w:rPr>
        <w:t>（二）</w:t>
      </w:r>
      <w:r>
        <w:rPr>
          <w:rFonts w:hint="default" w:ascii="Times New Roman" w:hAnsi="Times New Roman" w:eastAsia="楷体_GB2312" w:cs="Times New Roman"/>
          <w:spacing w:val="0"/>
          <w:sz w:val="32"/>
          <w:szCs w:val="32"/>
        </w:rPr>
        <w:t>项目过程情况</w:t>
      </w:r>
      <w:r>
        <w:rPr>
          <w:rFonts w:hint="default" w:ascii="Times New Roman" w:hAnsi="Times New Roman" w:eastAsia="楷体_GB2312" w:cs="Times New Roman"/>
          <w:spacing w:val="0"/>
          <w:sz w:val="32"/>
          <w:szCs w:val="32"/>
          <w:lang w:eastAsia="zh-CN"/>
        </w:rPr>
        <w:t>。</w:t>
      </w:r>
      <w:r>
        <w:rPr>
          <w:rFonts w:hint="default" w:ascii="Times New Roman" w:hAnsi="Times New Roman" w:eastAsia="仿宋_GB2312" w:cs="Times New Roman"/>
          <w:b w:val="0"/>
          <w:bCs w:val="0"/>
          <w:spacing w:val="0"/>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4"/>
        <w:keepNext w:val="0"/>
        <w:keepLines w:val="0"/>
        <w:pageBreakBefore w:val="0"/>
        <w:numPr>
          <w:ilvl w:val="0"/>
          <w:numId w:val="0"/>
        </w:numPr>
        <w:kinsoku/>
        <w:wordWrap/>
        <w:overflowPunct/>
        <w:topLinePunct w:val="0"/>
        <w:autoSpaceDE/>
        <w:autoSpaceDN/>
        <w:bidi w:val="0"/>
        <w:adjustRightInd/>
        <w:snapToGrid/>
        <w:spacing w:after="0" w:line="560" w:lineRule="exact"/>
        <w:ind w:firstLine="642" w:firstLineChars="200"/>
        <w:textAlignment w:val="auto"/>
        <w:rPr>
          <w:rFonts w:hint="eastAsia" w:ascii="Times New Roman" w:hAnsi="Times New Roman" w:eastAsia="楷体_GB2312" w:cs="Times New Roman"/>
          <w:b/>
          <w:bCs/>
          <w:spacing w:val="0"/>
          <w:sz w:val="32"/>
          <w:szCs w:val="32"/>
          <w:lang w:eastAsia="zh-CN"/>
        </w:rPr>
      </w:pPr>
      <w:r>
        <w:rPr>
          <w:rFonts w:hint="default" w:ascii="Times New Roman" w:hAnsi="Times New Roman" w:eastAsia="楷体_GB2312" w:cs="Times New Roman"/>
          <w:b/>
          <w:bCs/>
          <w:spacing w:val="0"/>
          <w:sz w:val="32"/>
          <w:szCs w:val="32"/>
          <w:lang w:eastAsia="zh-CN"/>
        </w:rPr>
        <w:t>（三）</w:t>
      </w:r>
      <w:r>
        <w:rPr>
          <w:rFonts w:hint="default" w:ascii="Times New Roman" w:hAnsi="Times New Roman" w:eastAsia="楷体_GB2312" w:cs="Times New Roman"/>
          <w:b/>
          <w:bCs/>
          <w:spacing w:val="0"/>
          <w:sz w:val="32"/>
          <w:szCs w:val="32"/>
        </w:rPr>
        <w:t>项目产出</w:t>
      </w:r>
      <w:r>
        <w:rPr>
          <w:rFonts w:hint="eastAsia" w:ascii="Times New Roman" w:hAnsi="Times New Roman" w:eastAsia="楷体_GB2312" w:cs="Times New Roman"/>
          <w:b/>
          <w:bCs/>
          <w:spacing w:val="0"/>
          <w:sz w:val="32"/>
          <w:szCs w:val="32"/>
          <w:lang w:eastAsia="zh-CN"/>
        </w:rPr>
        <w:t>情况</w:t>
      </w:r>
    </w:p>
    <w:p>
      <w:pPr>
        <w:pStyle w:val="4"/>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仿宋_GB2312" w:cs="Times New Roman"/>
          <w:spacing w:val="0"/>
          <w:sz w:val="32"/>
          <w:szCs w:val="32"/>
          <w:lang w:val="en-US" w:eastAsia="zh-CN"/>
        </w:rPr>
      </w:pPr>
      <w:r>
        <w:rPr>
          <w:rStyle w:val="7"/>
          <w:rFonts w:hint="default" w:ascii="Times New Roman" w:hAnsi="Times New Roman" w:eastAsia="仿宋_GB2312" w:cs="Times New Roman"/>
          <w:b w:val="0"/>
          <w:spacing w:val="0"/>
          <w:sz w:val="32"/>
          <w:szCs w:val="32"/>
        </w:rPr>
        <w:t>数量指标方面</w:t>
      </w:r>
      <w:r>
        <w:rPr>
          <w:rStyle w:val="7"/>
          <w:rFonts w:hint="eastAsia" w:ascii="Times New Roman" w:hAnsi="Times New Roman" w:cs="Times New Roman"/>
          <w:b w:val="0"/>
          <w:spacing w:val="0"/>
          <w:sz w:val="32"/>
          <w:szCs w:val="32"/>
          <w:lang w:eastAsia="zh-CN"/>
        </w:rPr>
        <w:t>：</w:t>
      </w:r>
      <w:r>
        <w:rPr>
          <w:rStyle w:val="7"/>
          <w:rFonts w:hint="default" w:ascii="Times New Roman" w:hAnsi="Times New Roman" w:eastAsia="仿宋_GB2312" w:cs="Times New Roman"/>
          <w:b w:val="0"/>
          <w:spacing w:val="0"/>
          <w:sz w:val="32"/>
          <w:szCs w:val="32"/>
        </w:rPr>
        <w:t>蜜粉源植物调查地州次数</w:t>
      </w:r>
      <w:r>
        <w:rPr>
          <w:rStyle w:val="7"/>
          <w:rFonts w:hint="eastAsia" w:eastAsia="仿宋_GB2312" w:cs="Times New Roman"/>
          <w:b w:val="0"/>
          <w:spacing w:val="0"/>
          <w:sz w:val="32"/>
          <w:szCs w:val="32"/>
          <w:lang w:val="en-US" w:eastAsia="zh-CN"/>
        </w:rPr>
        <w:t>1次，为塔城地区。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8"/>
          <w:rFonts w:hint="default" w:ascii="Times New Roman" w:hAnsi="Times New Roman" w:eastAsia="仿宋_GB2312" w:cs="Times New Roman"/>
          <w:color w:val="auto"/>
          <w:spacing w:val="0"/>
          <w:sz w:val="32"/>
          <w:szCs w:val="32"/>
          <w:lang w:val="en-US" w:eastAsia="zh-CN"/>
        </w:rPr>
      </w:pPr>
      <w:r>
        <w:rPr>
          <w:rStyle w:val="8"/>
          <w:rFonts w:hint="default" w:ascii="Times New Roman" w:hAnsi="Times New Roman" w:eastAsia="仿宋_GB2312" w:cs="Times New Roman"/>
          <w:color w:val="auto"/>
          <w:spacing w:val="0"/>
          <w:sz w:val="32"/>
          <w:szCs w:val="32"/>
        </w:rPr>
        <w:t>质量指标方面</w:t>
      </w:r>
      <w:r>
        <w:rPr>
          <w:rStyle w:val="7"/>
          <w:rFonts w:hint="eastAsia" w:ascii="Times New Roman" w:hAnsi="Times New Roman" w:cs="Times New Roman"/>
          <w:b w:val="0"/>
          <w:spacing w:val="0"/>
          <w:sz w:val="32"/>
          <w:szCs w:val="32"/>
          <w:lang w:eastAsia="zh-CN"/>
        </w:rPr>
        <w:t>：</w:t>
      </w:r>
      <w:r>
        <w:rPr>
          <w:rStyle w:val="8"/>
          <w:rFonts w:hint="default" w:ascii="Times New Roman" w:hAnsi="Times New Roman" w:eastAsia="仿宋_GB2312" w:cs="Times New Roman"/>
          <w:color w:val="auto"/>
          <w:spacing w:val="0"/>
          <w:sz w:val="32"/>
          <w:szCs w:val="32"/>
          <w:lang w:val="en-US" w:eastAsia="zh-CN"/>
        </w:rPr>
        <w:t>蜜粉源植物调查县市面积覆盖率</w:t>
      </w:r>
      <w:r>
        <w:rPr>
          <w:rStyle w:val="8"/>
          <w:rFonts w:hint="eastAsia" w:eastAsia="仿宋_GB2312" w:cs="Times New Roman"/>
          <w:color w:val="auto"/>
          <w:spacing w:val="0"/>
          <w:sz w:val="32"/>
          <w:szCs w:val="32"/>
          <w:lang w:val="en-US" w:eastAsia="zh-CN"/>
        </w:rPr>
        <w:t>20%</w:t>
      </w:r>
      <w:r>
        <w:rPr>
          <w:rStyle w:val="8"/>
          <w:rFonts w:hint="default" w:ascii="Times New Roman" w:hAnsi="Times New Roman" w:eastAsia="仿宋_GB2312" w:cs="Times New Roman"/>
          <w:color w:val="auto"/>
          <w:spacing w:val="0"/>
          <w:sz w:val="32"/>
          <w:szCs w:val="32"/>
          <w:lang w:val="en-US" w:eastAsia="zh-CN"/>
        </w:rPr>
        <w:t>。</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spacing w:val="0"/>
          <w:sz w:val="32"/>
          <w:szCs w:val="32"/>
          <w:lang w:val="en-US" w:eastAsia="zh-CN"/>
        </w:rPr>
      </w:pPr>
      <w:r>
        <w:rPr>
          <w:rStyle w:val="8"/>
          <w:rFonts w:hint="default" w:ascii="Times New Roman" w:hAnsi="Times New Roman" w:eastAsia="仿宋_GB2312" w:cs="Times New Roman"/>
          <w:b w:val="0"/>
          <w:bCs w:val="0"/>
          <w:color w:val="auto"/>
          <w:spacing w:val="0"/>
          <w:sz w:val="32"/>
          <w:szCs w:val="32"/>
        </w:rPr>
        <w:t>成本指标方面</w:t>
      </w:r>
      <w:r>
        <w:rPr>
          <w:rStyle w:val="8"/>
          <w:rFonts w:hint="eastAsia" w:ascii="Times New Roman" w:hAnsi="Times New Roman" w:eastAsia="仿宋_GB2312" w:cs="Times New Roman"/>
          <w:b w:val="0"/>
          <w:bCs w:val="0"/>
          <w:color w:val="auto"/>
          <w:spacing w:val="0"/>
          <w:sz w:val="32"/>
          <w:szCs w:val="32"/>
          <w:lang w:eastAsia="zh-CN"/>
        </w:rPr>
        <w:t>：</w:t>
      </w:r>
      <w:r>
        <w:rPr>
          <w:rStyle w:val="8"/>
          <w:rFonts w:hint="default" w:ascii="Times New Roman" w:hAnsi="Times New Roman" w:eastAsia="仿宋_GB2312" w:cs="Times New Roman"/>
          <w:b w:val="0"/>
          <w:bCs w:val="0"/>
          <w:color w:val="auto"/>
          <w:spacing w:val="0"/>
          <w:sz w:val="32"/>
          <w:szCs w:val="32"/>
        </w:rPr>
        <w:t>蜜粉源植物调查</w:t>
      </w:r>
      <w:r>
        <w:rPr>
          <w:rStyle w:val="8"/>
          <w:rFonts w:hint="eastAsia" w:ascii="Times New Roman" w:hAnsi="Times New Roman" w:eastAsia="仿宋_GB2312" w:cs="Times New Roman"/>
          <w:b w:val="0"/>
          <w:bCs w:val="0"/>
          <w:color w:val="auto"/>
          <w:spacing w:val="0"/>
          <w:sz w:val="32"/>
          <w:szCs w:val="32"/>
          <w:lang w:eastAsia="zh-CN"/>
        </w:rPr>
        <w:t>费用为</w:t>
      </w:r>
      <w:r>
        <w:rPr>
          <w:rStyle w:val="8"/>
          <w:rFonts w:hint="eastAsia" w:ascii="Times New Roman" w:hAnsi="Times New Roman" w:eastAsia="仿宋_GB2312" w:cs="Times New Roman"/>
          <w:b w:val="0"/>
          <w:bCs w:val="0"/>
          <w:color w:val="auto"/>
          <w:spacing w:val="0"/>
          <w:sz w:val="32"/>
          <w:szCs w:val="32"/>
          <w:lang w:val="en-US" w:eastAsia="zh-CN"/>
        </w:rPr>
        <w:t>7.45万元，支付因公伤残抚恤金7.21万元，支付单位缴纳残保金1.22万元。</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Style w:val="8"/>
          <w:rFonts w:hint="default" w:ascii="Times New Roman" w:hAnsi="Times New Roman" w:eastAsia="仿宋_GB2312" w:cs="Times New Roman"/>
          <w:b w:val="0"/>
          <w:bCs w:val="0"/>
          <w:color w:val="auto"/>
          <w:spacing w:val="0"/>
          <w:sz w:val="32"/>
          <w:szCs w:val="32"/>
          <w:lang w:val="en-US" w:eastAsia="zh-CN"/>
        </w:rPr>
      </w:pPr>
      <w:r>
        <w:rPr>
          <w:rStyle w:val="8"/>
          <w:rFonts w:hint="default" w:ascii="Times New Roman" w:hAnsi="Times New Roman" w:eastAsia="仿宋_GB2312" w:cs="Times New Roman"/>
          <w:b w:val="0"/>
          <w:bCs w:val="0"/>
          <w:color w:val="auto"/>
          <w:spacing w:val="0"/>
          <w:sz w:val="32"/>
          <w:szCs w:val="32"/>
        </w:rPr>
        <w:t>时效指标方面：蜜粉源植物调查开始时间</w:t>
      </w:r>
      <w:r>
        <w:rPr>
          <w:rStyle w:val="8"/>
          <w:rFonts w:hint="eastAsia" w:ascii="Times New Roman" w:hAnsi="Times New Roman" w:eastAsia="仿宋_GB2312" w:cs="Times New Roman"/>
          <w:b w:val="0"/>
          <w:bCs w:val="0"/>
          <w:color w:val="auto"/>
          <w:spacing w:val="0"/>
          <w:sz w:val="32"/>
          <w:szCs w:val="32"/>
          <w:lang w:eastAsia="zh-CN"/>
        </w:rPr>
        <w:t>为</w:t>
      </w:r>
      <w:r>
        <w:rPr>
          <w:rStyle w:val="8"/>
          <w:rFonts w:hint="eastAsia" w:ascii="Times New Roman" w:hAnsi="Times New Roman" w:eastAsia="仿宋_GB2312" w:cs="Times New Roman"/>
          <w:b w:val="0"/>
          <w:bCs w:val="0"/>
          <w:color w:val="auto"/>
          <w:spacing w:val="0"/>
          <w:sz w:val="32"/>
          <w:szCs w:val="32"/>
          <w:lang w:val="en-US" w:eastAsia="zh-CN"/>
        </w:rPr>
        <w:t>2024年7月20日。</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2"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Style w:val="8"/>
          <w:rFonts w:hint="default" w:ascii="Times New Roman" w:hAnsi="Times New Roman" w:eastAsia="仿宋_GB2312" w:cs="Times New Roman"/>
          <w:color w:val="auto"/>
          <w:spacing w:val="0"/>
          <w:sz w:val="32"/>
          <w:szCs w:val="32"/>
        </w:rPr>
      </w:pPr>
      <w:r>
        <w:rPr>
          <w:rStyle w:val="8"/>
          <w:rFonts w:hint="default" w:ascii="Times New Roman" w:hAnsi="Times New Roman" w:eastAsia="仿宋_GB2312" w:cs="Times New Roman"/>
          <w:color w:val="auto"/>
          <w:spacing w:val="0"/>
          <w:sz w:val="32"/>
          <w:szCs w:val="32"/>
        </w:rPr>
        <w:t>社会效益指标方面：</w:t>
      </w:r>
      <w:r>
        <w:rPr>
          <w:rStyle w:val="8"/>
          <w:rFonts w:hint="default" w:ascii="Times New Roman" w:hAnsi="Times New Roman" w:eastAsia="仿宋_GB2312" w:cs="Times New Roman"/>
          <w:color w:val="auto"/>
          <w:spacing w:val="0"/>
          <w:sz w:val="32"/>
          <w:szCs w:val="32"/>
          <w:lang w:val="en-US" w:eastAsia="zh-CN"/>
        </w:rPr>
        <w:t>准确掌握调查区域蜜粉源植物资源的类型、数量、分布区域以及现状，为当地充分利用蜜粉源植物资源，推广授粉技术提供数据支撑。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sz w:val="32"/>
          <w:szCs w:val="32"/>
        </w:rPr>
      </w:pPr>
      <w:r>
        <w:rPr>
          <w:rStyle w:val="8"/>
          <w:rFonts w:hint="default" w:ascii="Times New Roman" w:hAnsi="Times New Roman" w:eastAsia="仿宋_GB2312" w:cs="Times New Roman"/>
          <w:color w:val="auto"/>
          <w:spacing w:val="0"/>
          <w:sz w:val="32"/>
          <w:szCs w:val="32"/>
        </w:rPr>
        <w:t>满意度指标方面：</w:t>
      </w:r>
      <w:r>
        <w:rPr>
          <w:rStyle w:val="8"/>
          <w:rFonts w:hint="default" w:ascii="Times New Roman" w:hAnsi="Times New Roman" w:eastAsia="仿宋_GB2312" w:cs="Times New Roman"/>
          <w:color w:val="auto"/>
          <w:spacing w:val="0"/>
          <w:sz w:val="32"/>
          <w:szCs w:val="32"/>
          <w:lang w:eastAsia="zh-CN"/>
        </w:rPr>
        <w:t>职工满意度</w:t>
      </w:r>
      <w:r>
        <w:rPr>
          <w:rStyle w:val="8"/>
          <w:rFonts w:hint="eastAsia" w:ascii="Times New Roman" w:hAnsi="Times New Roman" w:eastAsia="仿宋_GB2312" w:cs="Times New Roman"/>
          <w:color w:val="auto"/>
          <w:spacing w:val="0"/>
          <w:sz w:val="32"/>
          <w:szCs w:val="32"/>
          <w:lang w:val="en-US" w:eastAsia="zh-CN"/>
        </w:rPr>
        <w:t>90</w:t>
      </w:r>
      <w:r>
        <w:rPr>
          <w:rStyle w:val="8"/>
          <w:rFonts w:hint="default" w:ascii="Times New Roman" w:hAnsi="Times New Roman" w:eastAsia="仿宋_GB2312" w:cs="Times New Roman"/>
          <w:color w:val="auto"/>
          <w:spacing w:val="0"/>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pacing w:val="0"/>
          <w:sz w:val="32"/>
          <w:szCs w:val="32"/>
        </w:rPr>
      </w:pPr>
      <w:r>
        <w:rPr>
          <w:rFonts w:hint="default" w:ascii="Times New Roman" w:hAnsi="Times New Roman" w:eastAsia="楷体_GB2312" w:cs="Times New Roman"/>
          <w:b/>
          <w:spacing w:val="0"/>
          <w:sz w:val="32"/>
          <w:szCs w:val="32"/>
        </w:rPr>
        <w:t>（一）主要经验及做法</w:t>
      </w:r>
      <w:r>
        <w:rPr>
          <w:rFonts w:hint="default" w:ascii="Times New Roman" w:hAnsi="Times New Roman" w:eastAsia="楷体_GB2312" w:cs="Times New Roman"/>
          <w:b/>
          <w:spacing w:val="0"/>
          <w:sz w:val="32"/>
          <w:szCs w:val="32"/>
          <w:lang w:eastAsia="zh-CN"/>
        </w:rPr>
        <w:t>。</w:t>
      </w:r>
      <w:r>
        <w:rPr>
          <w:rFonts w:hint="default" w:ascii="Times New Roman" w:hAnsi="Times New Roman" w:eastAsia="仿宋_GB2312" w:cs="Times New Roman"/>
          <w:spacing w:val="0"/>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pPr>
        <w:pStyle w:val="2"/>
        <w:keepNext w:val="0"/>
        <w:keepLines w:val="0"/>
        <w:pageBreakBefore w:val="0"/>
        <w:kinsoku/>
        <w:wordWrap/>
        <w:overflowPunct/>
        <w:topLinePunct w:val="0"/>
        <w:autoSpaceDE/>
        <w:autoSpaceDN/>
        <w:bidi w:val="0"/>
        <w:adjustRightInd/>
        <w:snapToGrid/>
        <w:spacing w:before="0" w:after="0" w:line="560" w:lineRule="exact"/>
        <w:ind w:firstLine="642" w:firstLineChars="200"/>
        <w:jc w:val="both"/>
        <w:textAlignment w:val="auto"/>
        <w:rPr>
          <w:rFonts w:hint="eastAsia" w:ascii="黑体" w:hAnsi="黑体" w:eastAsia="黑体"/>
          <w:sz w:val="32"/>
          <w:szCs w:val="32"/>
          <w:lang w:eastAsia="zh-CN"/>
        </w:rPr>
      </w:pPr>
      <w:r>
        <w:rPr>
          <w:rFonts w:hint="default" w:ascii="Times New Roman" w:hAnsi="Times New Roman" w:eastAsia="楷体_GB2312" w:cs="Times New Roman"/>
          <w:b/>
          <w:bCs w:val="0"/>
          <w:spacing w:val="0"/>
          <w:kern w:val="2"/>
          <w:sz w:val="32"/>
          <w:szCs w:val="32"/>
          <w:lang w:val="en-US" w:eastAsia="zh-CN" w:bidi="ar-SA"/>
        </w:rPr>
        <w:t>（二）存在的问题及原因分析。</w:t>
      </w:r>
      <w:r>
        <w:rPr>
          <w:rFonts w:hint="default" w:ascii="Times New Roman" w:hAnsi="Times New Roman" w:eastAsia="仿宋_GB2312" w:cs="Times New Roman"/>
          <w:b w:val="0"/>
          <w:bCs w:val="0"/>
          <w:spacing w:val="0"/>
          <w:kern w:val="2"/>
          <w:sz w:val="32"/>
          <w:szCs w:val="32"/>
        </w:rPr>
        <w:t>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rPr>
      </w:pPr>
      <w:r>
        <w:rPr>
          <w:rFonts w:hint="default" w:ascii="Times New Roman" w:hAnsi="Times New Roman" w:eastAsia="仿宋_GB2312" w:cs="Times New Roman"/>
          <w:spacing w:val="0"/>
          <w:sz w:val="32"/>
          <w:szCs w:val="32"/>
        </w:rPr>
        <w:t>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pPr>
        <w:numPr>
          <w:ilvl w:val="0"/>
          <w:numId w:val="0"/>
        </w:numPr>
        <w:spacing w:line="600" w:lineRule="exact"/>
        <w:ind w:firstLine="640" w:firstLineChars="200"/>
        <w:rPr>
          <w:rFonts w:hint="eastAsia"/>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numPr>
          <w:ilvl w:val="0"/>
          <w:numId w:val="0"/>
        </w:numPr>
        <w:spacing w:line="600" w:lineRule="exact"/>
        <w:ind w:firstLine="640" w:firstLineChars="200"/>
        <w:rPr>
          <w:rFonts w:hint="default" w:ascii="Times New Roman" w:hAnsi="Times New Roman" w:eastAsia="仿宋_GB2312" w:cs="Times New Roman"/>
          <w:b w:val="0"/>
          <w:bCs w:val="0"/>
          <w:spacing w:val="0"/>
          <w:kern w:val="2"/>
          <w:sz w:val="32"/>
          <w:szCs w:val="32"/>
        </w:rPr>
        <w:sectPr>
          <w:pgSz w:w="11906" w:h="16838"/>
          <w:pgMar w:top="1928" w:right="1531" w:bottom="1701" w:left="1531" w:header="737" w:footer="851" w:gutter="0"/>
          <w:cols w:space="720" w:num="1"/>
          <w:docGrid w:type="lines" w:linePitch="408" w:charSpace="0"/>
        </w:sectPr>
      </w:pPr>
      <w:r>
        <w:rPr>
          <w:rFonts w:hint="default" w:ascii="Times New Roman" w:hAnsi="Times New Roman" w:eastAsia="仿宋_GB2312" w:cs="Times New Roman"/>
          <w:b w:val="0"/>
          <w:bCs w:val="0"/>
          <w:spacing w:val="0"/>
          <w:kern w:val="2"/>
          <w:sz w:val="32"/>
          <w:szCs w:val="32"/>
        </w:rPr>
        <w:t>无</w:t>
      </w:r>
    </w:p>
    <w:p>
      <w:pPr>
        <w:pStyle w:val="2"/>
        <w:ind w:left="0" w:leftChars="0" w:right="0" w:rightChars="0" w:firstLine="0" w:firstLineChars="0"/>
        <w:jc w:val="both"/>
        <w:rPr>
          <w:rFonts w:hint="eastAsia" w:ascii="黑体" w:hAnsi="黑体" w:eastAsia="黑体" w:cs="黑体"/>
          <w:b w:val="0"/>
          <w:bCs w:val="0"/>
          <w:lang w:val="en-US" w:eastAsia="zh-CN"/>
        </w:rPr>
      </w:pPr>
      <w:r>
        <w:rPr>
          <w:rFonts w:hint="eastAsia" w:ascii="黑体" w:hAnsi="黑体" w:eastAsia="黑体" w:cs="黑体"/>
          <w:b w:val="0"/>
          <w:bCs w:val="0"/>
          <w:lang w:eastAsia="zh-CN"/>
        </w:rPr>
        <w:t>附件</w:t>
      </w:r>
      <w:r>
        <w:rPr>
          <w:rFonts w:hint="eastAsia" w:ascii="黑体" w:hAnsi="黑体" w:eastAsia="黑体" w:cs="黑体"/>
          <w:b w:val="0"/>
          <w:bCs w:val="0"/>
          <w:lang w:val="en-US" w:eastAsia="zh-CN"/>
        </w:rPr>
        <w:t>1：</w:t>
      </w:r>
    </w:p>
    <w:tbl>
      <w:tblPr>
        <w:tblStyle w:val="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02"/>
        <w:gridCol w:w="823"/>
        <w:gridCol w:w="937"/>
        <w:gridCol w:w="2526"/>
        <w:gridCol w:w="5569"/>
        <w:gridCol w:w="1395"/>
        <w:gridCol w:w="14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一级指标</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二级指标</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三级指标</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指标解释</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指标说明</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权重</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318"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　</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立项依据</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充分性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①项目立项是否符合国家法律法规、国民经济发展规划和相关政策；</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②项目立项是否符合行业发展规划和政策要求；</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③项目立项是否与部门职责范围相符，属于部门履职所需；</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④项目是否属于公共财政支持范围，是否符合中央、地方事权支出责任划分原则；</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⑤项目是否与相关部门同类项目或部门内部相关项目重复。</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立项程序</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规范性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项目申请、设立过程是否符合相关要求，用以反映和考核项目立项的规范情况。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①项目是否按照规定的程序申请设立；</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②审批文件、材料是否符合相关要求；</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③事前是否已经过必要的可行性研究、专家论证、风险评估、绩效评估、集体决策。</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919"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评价要点：（如未设定预算绩效目标，也可考核其他工作任务目标）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①项目是否有绩效目标；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②项目绩效目标与实际工作内容是否具有相关性；</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③项目预期产出效益和效果是否符合正常的业绩水平；</w:t>
            </w:r>
          </w:p>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④是否与预算确定的项目投资额或资金量相匹配。</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决策　</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绩效目标</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绩效指标</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明确性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①是否将项目绩效目标细化分解为具体的绩效指标；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②是否通过清晰、可衡量的指标值予以体现；</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③是否与项目目标任务数或计划数相对应。</w:t>
            </w:r>
            <w:r>
              <w:rPr>
                <w:rFonts w:hint="default" w:ascii="Times New Roman" w:hAnsi="Times New Roman" w:cs="Times New Roman"/>
                <w:color w:val="000000"/>
                <w:spacing w:val="0"/>
                <w:kern w:val="0"/>
                <w:sz w:val="22"/>
                <w:szCs w:val="22"/>
              </w:rPr>
              <w:br w:type="textWrapping"/>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942"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资金投入</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预算编制</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科学性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①预算编制是否经过科学论证；</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②预算内容与项目内容是否匹配；</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③预算额度测算依据是否充分，是否按照标准编制；</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④预算确定的项目投资额或资金量是否与工作任务相匹配。</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资金分配</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合理性</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w w:val="95"/>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①预算资金分配依据是否充分；</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②资金分配额度是否合理，与项目单位或地方实际是否相适应。</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415" w:hRule="atLeast"/>
          <w:jc w:val="center"/>
        </w:trPr>
        <w:tc>
          <w:tcPr>
            <w:tcW w:w="331" w:type="pct"/>
            <w:vMerge w:val="restart"/>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资金到位率=（实际到位资金/预算资金）×100%。</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实际到位资金：一定时期（本年度或项目期）内落实到具体项目的资金。</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预算资金：一定时期（本年度或项目期）内预算安排到具体项目的资金。</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项目预算资金是否按照计划执行，用以反映或考核项目预算执行情况。</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预算执行率=（实际支出资金/实际到位资金）×100%。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实际支出资金：一定时期（本年度或项目期）内项目实际拨付的资金。</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仿宋_GB2312" w:cs="Times New Roman"/>
                <w:b/>
                <w:bCs/>
                <w:color w:val="000000"/>
                <w:spacing w:val="0"/>
                <w:kern w:val="0"/>
                <w:sz w:val="22"/>
                <w:szCs w:val="22"/>
                <w:lang w:val="en-US" w:eastAsia="zh-CN"/>
              </w:rPr>
            </w:pPr>
            <w:r>
              <w:rPr>
                <w:rFonts w:hint="eastAsia" w:cs="Times New Roman"/>
                <w:b/>
                <w:bCs/>
                <w:color w:val="000000"/>
                <w:spacing w:val="0"/>
                <w:kern w:val="0"/>
                <w:sz w:val="22"/>
                <w:szCs w:val="22"/>
                <w:lang w:val="en-US" w:eastAsia="zh-CN"/>
              </w:rPr>
              <w:t>0.98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076"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过程　</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资金管理</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资金使用</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合规性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①是否符合国家财经法规和财务管理制度以及有关专项资金管理办法的规定；</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②资金的拨付是否有完整的审批程序和手续；</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③是否符合项目预算批复或合同规定的用途；</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④是否存在截留、挤占、挪用、虚列支出等情况。</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组织实施</w:t>
            </w:r>
          </w:p>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管理制度</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健全性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①是否已制定或具有相应的财务和业务管理制度；</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②财务和业务管理制度是否合法、合规、完整。</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69"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制度执行</w:t>
            </w:r>
          </w:p>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有效性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项目实施是否符合相关管理规定，用以反映和考核相关管理制度的有效执行情况。</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评价要点：</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①是否遵守相关法律法规和相关管理规定；</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②项目调整及支出调整手续是否完备；</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③项目合同书、验收报告、技术鉴定等资料是否齐全并及时归档；</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④项目实施的人员条件、场地设备、信息支撑等是否落实到位。</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产出数量</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实际完成率=（实际产出数/计划产出数）×100%。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实际产出数：一定时期（本年度或项目期）内项目实际产出的产品或提供的服务数量。</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eastAsia" w:ascii="Times New Roman" w:hAnsi="Times New Roman" w:eastAsia="宋体" w:cs="Times New Roman"/>
                <w:b/>
                <w:bCs/>
                <w:color w:val="000000"/>
                <w:spacing w:val="0"/>
                <w:kern w:val="0"/>
                <w:sz w:val="22"/>
                <w:szCs w:val="22"/>
                <w:lang w:val="en-US" w:eastAsia="zh-CN"/>
              </w:rPr>
            </w:pPr>
            <w:r>
              <w:rPr>
                <w:rFonts w:hint="default" w:ascii="Times New Roman" w:hAnsi="Times New Roman" w:cs="Times New Roman"/>
                <w:b/>
                <w:bCs/>
                <w:color w:val="000000"/>
                <w:spacing w:val="0"/>
                <w:kern w:val="0"/>
                <w:sz w:val="22"/>
                <w:szCs w:val="22"/>
              </w:rPr>
              <w:t>1</w:t>
            </w:r>
            <w:r>
              <w:rPr>
                <w:rFonts w:hint="eastAsia" w:ascii="Times New Roman" w:hAnsi="Times New Roman" w:cs="Times New Roman"/>
                <w:b/>
                <w:bCs/>
                <w:color w:val="000000"/>
                <w:spacing w:val="0"/>
                <w:kern w:val="0"/>
                <w:sz w:val="22"/>
                <w:szCs w:val="22"/>
                <w:lang w:val="en-US" w:eastAsia="zh-CN"/>
              </w:rPr>
              <w:t>8</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18"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w:t>
            </w: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产出质量</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质量达标率=（质量达标产出数/实际产出数）×100%。</w:t>
            </w:r>
          </w:p>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产出时效</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完成及时性</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项目实际完成时间与计划完成时间的比较，用以反映和考核项目产出时效目标的实现程度。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实际完成时间：项目实施单位完成该项目实际所耗用的时间。</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计划完成时间：按照项目实施计划或相关规定完成该项目所需的时间。</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eastAsia" w:ascii="Times New Roman" w:hAnsi="Times New Roman" w:eastAsia="宋体" w:cs="Times New Roman"/>
                <w:b/>
                <w:bCs/>
                <w:color w:val="000000"/>
                <w:spacing w:val="0"/>
                <w:kern w:val="0"/>
                <w:sz w:val="22"/>
                <w:szCs w:val="22"/>
                <w:lang w:eastAsia="zh-CN"/>
              </w:rPr>
            </w:pPr>
            <w:r>
              <w:rPr>
                <w:rFonts w:hint="default" w:ascii="Times New Roman" w:hAnsi="Times New Roman" w:cs="Times New Roman"/>
                <w:b/>
                <w:bCs/>
                <w:color w:val="000000"/>
                <w:spacing w:val="0"/>
                <w:kern w:val="0"/>
                <w:sz w:val="22"/>
                <w:szCs w:val="22"/>
              </w:rPr>
              <w:t>1</w:t>
            </w:r>
            <w:r>
              <w:rPr>
                <w:rFonts w:hint="eastAsia" w:ascii="Times New Roman" w:hAnsi="Times New Roman" w:cs="Times New Roman"/>
                <w:b/>
                <w:bCs/>
                <w:color w:val="000000"/>
                <w:spacing w:val="0"/>
                <w:kern w:val="0"/>
                <w:sz w:val="22"/>
                <w:szCs w:val="22"/>
                <w:lang w:val="en-US" w:eastAsia="zh-CN"/>
              </w:rPr>
              <w:t>2</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076"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产出成本</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成本节约率</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成本节约率=[（计划成本-实际成本）/计划成本]×100%。</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实际成本：项目实施单位如期、保质、保量完成既定工作目标实际所耗费的支出。</w:t>
            </w:r>
            <w:r>
              <w:rPr>
                <w:rFonts w:hint="default" w:ascii="Times New Roman" w:hAnsi="Times New Roman" w:cs="Times New Roman"/>
                <w:color w:val="000000"/>
                <w:spacing w:val="0"/>
                <w:kern w:val="0"/>
                <w:sz w:val="22"/>
                <w:szCs w:val="22"/>
              </w:rPr>
              <w:br w:type="textWrapping"/>
            </w:r>
            <w:r>
              <w:rPr>
                <w:rFonts w:hint="default" w:ascii="Times New Roman" w:hAnsi="Times New Roman" w:cs="Times New Roman"/>
                <w:color w:val="000000"/>
                <w:spacing w:val="0"/>
                <w:kern w:val="0"/>
                <w:sz w:val="22"/>
                <w:szCs w:val="22"/>
              </w:rPr>
              <w:t>计划成本：项目实施单位为完成工作目标计划安排的支出，一般以项目预算为参考。</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效益　</w:t>
            </w:r>
          </w:p>
        </w:tc>
        <w:tc>
          <w:tcPr>
            <w:tcW w:w="302" w:type="pct"/>
            <w:vMerge w:val="restar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项目效益　</w:t>
            </w: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实施效益</w:t>
            </w:r>
          </w:p>
        </w:tc>
        <w:tc>
          <w:tcPr>
            <w:tcW w:w="927" w:type="pct"/>
            <w:shd w:val="clear" w:color="auto" w:fill="FFFFFF"/>
            <w:vAlign w:val="center"/>
          </w:tcPr>
          <w:p>
            <w:pPr>
              <w:keepNext w:val="0"/>
              <w:keepLines w:val="0"/>
              <w:widowControl/>
              <w:suppressLineNumbers w:val="0"/>
              <w:spacing w:before="0" w:beforeAutospacing="0" w:after="0" w:afterAutospacing="0" w:line="0" w:lineRule="atLeast"/>
              <w:ind w:left="0" w:right="0"/>
              <w:jc w:val="left"/>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项目实施所产生的效益。</w:t>
            </w:r>
          </w:p>
        </w:tc>
        <w:tc>
          <w:tcPr>
            <w:tcW w:w="2044" w:type="pct"/>
            <w:shd w:val="clear" w:color="auto"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c>
          <w:tcPr>
            <w:tcW w:w="537"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eastAsia="宋体" w:cs="Times New Roman"/>
                <w:b/>
                <w:bCs/>
                <w:color w:val="000000"/>
                <w:spacing w:val="0"/>
                <w:kern w:val="0"/>
                <w:sz w:val="22"/>
                <w:szCs w:val="22"/>
                <w:lang w:val="en-US" w:eastAsia="zh-CN"/>
              </w:rPr>
            </w:pPr>
            <w:r>
              <w:rPr>
                <w:rFonts w:hint="eastAsia" w:ascii="Times New Roman" w:hAnsi="Times New Roman" w:cs="Times New Roman"/>
                <w:b/>
                <w:bCs/>
                <w:color w:val="000000"/>
                <w:spacing w:val="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137" w:hRule="atLeast"/>
          <w:jc w:val="center"/>
        </w:trPr>
        <w:tc>
          <w:tcPr>
            <w:tcW w:w="331"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02" w:type="pct"/>
            <w:vMerge w:val="continue"/>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p>
        </w:tc>
        <w:tc>
          <w:tcPr>
            <w:tcW w:w="344" w:type="pct"/>
            <w:shd w:val="clear" w:color="auto"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满意度</w:t>
            </w:r>
          </w:p>
        </w:tc>
        <w:tc>
          <w:tcPr>
            <w:tcW w:w="927"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社会公众或服务对象对项目实施效果的满意程度。</w:t>
            </w:r>
          </w:p>
        </w:tc>
        <w:tc>
          <w:tcPr>
            <w:tcW w:w="2044" w:type="pct"/>
            <w:shd w:val="clear" w:color="000000" w:fill="FFFFFF"/>
            <w:vAlign w:val="center"/>
          </w:tcPr>
          <w:p>
            <w:pPr>
              <w:keepNext w:val="0"/>
              <w:keepLines w:val="0"/>
              <w:widowControl/>
              <w:suppressLineNumbers w:val="0"/>
              <w:spacing w:before="0" w:beforeAutospacing="0" w:after="0" w:afterAutospacing="0" w:line="0" w:lineRule="atLeast"/>
              <w:ind w:left="0" w:right="0"/>
              <w:rPr>
                <w:rFonts w:hint="default" w:ascii="Times New Roman" w:hAnsi="Times New Roman" w:cs="Times New Roman"/>
                <w:color w:val="000000"/>
                <w:spacing w:val="0"/>
                <w:kern w:val="0"/>
                <w:sz w:val="22"/>
                <w:szCs w:val="22"/>
              </w:rPr>
            </w:pPr>
            <w:r>
              <w:rPr>
                <w:rFonts w:hint="default" w:ascii="Times New Roman" w:hAnsi="Times New Roman" w:cs="Times New Roman"/>
                <w:color w:val="000000"/>
                <w:spacing w:val="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c>
          <w:tcPr>
            <w:tcW w:w="537" w:type="pct"/>
            <w:shd w:val="clear" w:color="000000" w:fill="FFFFFF"/>
            <w:vAlign w:val="center"/>
          </w:tcPr>
          <w:p>
            <w:pPr>
              <w:keepNext w:val="0"/>
              <w:keepLines w:val="0"/>
              <w:widowControl/>
              <w:suppressLineNumbers w:val="0"/>
              <w:spacing w:before="0" w:beforeAutospacing="0" w:after="0" w:afterAutospacing="0" w:line="0" w:lineRule="atLeast"/>
              <w:ind w:left="0" w:right="0"/>
              <w:jc w:val="center"/>
              <w:rPr>
                <w:rFonts w:hint="default" w:ascii="Times New Roman" w:hAnsi="Times New Roman" w:cs="Times New Roman"/>
                <w:b/>
                <w:bCs/>
                <w:color w:val="000000"/>
                <w:spacing w:val="0"/>
                <w:kern w:val="0"/>
                <w:sz w:val="22"/>
                <w:szCs w:val="22"/>
              </w:rPr>
            </w:pPr>
            <w:r>
              <w:rPr>
                <w:rFonts w:hint="default" w:ascii="Times New Roman" w:hAnsi="Times New Roman" w:cs="Times New Roman"/>
                <w:b/>
                <w:bCs/>
                <w:color w:val="000000"/>
                <w:spacing w:val="0"/>
                <w:kern w:val="0"/>
                <w:sz w:val="22"/>
                <w:szCs w:val="22"/>
              </w:rPr>
              <w:t>10</w:t>
            </w:r>
          </w:p>
        </w:tc>
      </w:tr>
    </w:tbl>
    <w:p>
      <w:pPr>
        <w:pStyle w:val="2"/>
        <w:jc w:val="both"/>
        <w:rPr>
          <w:rFonts w:hint="eastAsia" w:ascii="黑体" w:hAnsi="黑体" w:eastAsia="黑体" w:cs="黑体"/>
          <w:b/>
          <w:bCs/>
          <w:lang w:val="en-US" w:eastAsia="zh-CN"/>
        </w:rPr>
      </w:pPr>
    </w:p>
    <w:sectPr>
      <w:pgSz w:w="16838" w:h="11906" w:orient="landscape"/>
      <w:pgMar w:top="1531" w:right="1037" w:bottom="1205" w:left="8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98DC4"/>
    <w:multiLevelType w:val="singleLevel"/>
    <w:tmpl w:val="ADF98DC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D4082"/>
    <w:rsid w:val="13FFCD6D"/>
    <w:rsid w:val="1F0B55D3"/>
    <w:rsid w:val="45EC0627"/>
    <w:rsid w:val="46876249"/>
    <w:rsid w:val="47FD3F07"/>
    <w:rsid w:val="4EFF33DB"/>
    <w:rsid w:val="53B4E485"/>
    <w:rsid w:val="6F4155A5"/>
    <w:rsid w:val="7AFA3E01"/>
    <w:rsid w:val="7EF7CDFF"/>
    <w:rsid w:val="E86FE495"/>
    <w:rsid w:val="F7AD7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w:basedOn w:val="1"/>
    <w:qFormat/>
    <w:uiPriority w:val="0"/>
    <w:pPr>
      <w:spacing w:after="120"/>
    </w:pPr>
  </w:style>
  <w:style w:type="paragraph" w:styleId="4">
    <w:name w:val="Body Text First Indent"/>
    <w:basedOn w:val="3"/>
    <w:qFormat/>
    <w:uiPriority w:val="0"/>
    <w:pPr>
      <w:spacing w:after="0"/>
      <w:ind w:firstLine="200" w:firstLineChars="200"/>
    </w:pPr>
  </w:style>
  <w:style w:type="character" w:styleId="7">
    <w:name w:val="Strong"/>
    <w:basedOn w:val="6"/>
    <w:qFormat/>
    <w:uiPriority w:val="0"/>
    <w:rPr>
      <w:b/>
      <w:bCs/>
    </w:rPr>
  </w:style>
  <w:style w:type="character" w:customStyle="1" w:styleId="8">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Words>
  <Characters>266</Characters>
  <Lines>0</Lines>
  <Paragraphs>0</Paragraphs>
  <TotalTime>88</TotalTime>
  <ScaleCrop>false</ScaleCrop>
  <LinksUpToDate>false</LinksUpToDate>
  <CharactersWithSpaces>266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2024-03-06T05:11:00Z</dcterms:created>
  <dc:creator>Administrator</dc:creator>
  <cp:lastModifiedBy>user</cp:lastModifiedBy>
  <cp:lastPrinted>2025-02-21T03:08:00Z</cp:lastPrinted>
  <dcterms:modified xsi:type="dcterms:W3CDTF">2025-03-04T13:00:04Z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4CBA51F098A84EE1BF0E059B495C134A</vt:lpwstr>
  </property>
</Properties>
</file>