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default" w:asciiTheme="minorEastAsia" w:hAnsiTheme="minorEastAsia" w:eastAsiaTheme="minorEastAsia" w:cstheme="minorEastAsia"/>
          <w:color w:val="333333"/>
          <w:sz w:val="24"/>
          <w:szCs w:val="24"/>
          <w:lang w:val="en-US" w:eastAsia="zh-CN" w:bidi="ar"/>
        </w:rPr>
      </w:pPr>
      <w:r>
        <w:rPr>
          <w:rFonts w:hint="eastAsia" w:asciiTheme="minorEastAsia" w:hAnsiTheme="minorEastAsia" w:eastAsiaTheme="minorEastAsia" w:cstheme="minorEastAsia"/>
          <w:color w:val="333333"/>
          <w:sz w:val="24"/>
          <w:szCs w:val="24"/>
          <w:lang w:eastAsia="zh-CN" w:bidi="ar"/>
        </w:rPr>
        <w:t>附件</w:t>
      </w:r>
      <w:r>
        <w:rPr>
          <w:rFonts w:hint="eastAsia" w:asciiTheme="minorEastAsia" w:hAnsiTheme="minorEastAsia" w:eastAsiaTheme="minorEastAsia" w:cstheme="minorEastAsia"/>
          <w:color w:val="333333"/>
          <w:sz w:val="24"/>
          <w:szCs w:val="24"/>
          <w:lang w:val="en-US" w:eastAsia="zh-CN" w:bidi="ar"/>
        </w:rPr>
        <w:t>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hint="eastAsia"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rPr>
        <w:t>自治区部门单位</w:t>
      </w:r>
      <w:r>
        <w:rPr>
          <w:rFonts w:hint="eastAsia" w:ascii="方正小标宋简体" w:hAnsi="方正小标宋简体" w:eastAsia="方正小标宋简体" w:cs="方正小标宋简体"/>
          <w:b/>
          <w:kern w:val="0"/>
          <w:sz w:val="48"/>
          <w:szCs w:val="48"/>
          <w:lang w:eastAsia="zh-CN"/>
        </w:rPr>
        <w:t>项目</w:t>
      </w:r>
      <w:r>
        <w:rPr>
          <w:rFonts w:hint="eastAsia" w:ascii="方正小标宋简体" w:hAnsi="方正小标宋简体" w:eastAsia="方正小标宋简体" w:cs="方正小标宋简体"/>
          <w:b/>
          <w:kern w:val="0"/>
          <w:sz w:val="48"/>
          <w:szCs w:val="48"/>
        </w:rPr>
        <w:t>支出绩效</w:t>
      </w:r>
    </w:p>
    <w:p>
      <w:pPr>
        <w:spacing w:line="540" w:lineRule="exact"/>
        <w:jc w:val="center"/>
        <w:rPr>
          <w:rFonts w:hint="eastAsia"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lang w:eastAsia="zh-CN"/>
        </w:rPr>
        <w:t>评价</w:t>
      </w:r>
      <w:r>
        <w:rPr>
          <w:rFonts w:hint="eastAsia" w:ascii="方正小标宋简体" w:hAnsi="方正小标宋简体" w:eastAsia="方正小标宋简体" w:cs="方正小标宋简体"/>
          <w:b/>
          <w:kern w:val="0"/>
          <w:sz w:val="48"/>
          <w:szCs w:val="48"/>
        </w:rPr>
        <w:t>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Fonts w:hint="eastAsia" w:hAnsi="宋体" w:cs="宋体"/>
          <w:kern w:val="0"/>
          <w:sz w:val="36"/>
          <w:szCs w:val="36"/>
          <w:lang w:val="en-US" w:eastAsia="zh-CN"/>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int="eastAsia" w:hAnsi="宋体" w:eastAsia="仿宋_GB2312" w:cs="宋体"/>
          <w:kern w:val="0"/>
          <w:sz w:val="30"/>
          <w:szCs w:val="30"/>
          <w:lang w:eastAsia="zh-CN"/>
        </w:rPr>
      </w:pPr>
      <w:r>
        <w:rPr>
          <w:rFonts w:hint="eastAsia" w:ascii="方正小标宋_GBK" w:hAnsi="宋体" w:eastAsia="方正小标宋_GBK" w:cs="宋体"/>
          <w:kern w:val="0"/>
          <w:sz w:val="36"/>
          <w:szCs w:val="36"/>
          <w:lang w:val="en-US" w:eastAsia="zh-CN"/>
        </w:rPr>
        <w:t xml:space="preserve"> </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849" w:firstLineChars="236"/>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部门单位名称（公章）：</w:t>
      </w:r>
      <w:r>
        <w:rPr>
          <w:rFonts w:hint="eastAsia" w:hAnsi="宋体" w:cs="宋体"/>
          <w:kern w:val="0"/>
          <w:sz w:val="36"/>
          <w:szCs w:val="36"/>
          <w:lang w:val="en-US" w:eastAsia="zh-CN"/>
        </w:rPr>
        <w:t>新疆农业职业技术学院</w:t>
      </w:r>
      <w:bookmarkStart w:id="1" w:name="_GoBack"/>
      <w:bookmarkEnd w:id="1"/>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 xml:space="preserve">填报时间：  </w:t>
      </w:r>
      <w:r>
        <w:rPr>
          <w:rFonts w:hint="eastAsia" w:hAnsi="宋体" w:cs="宋体"/>
          <w:kern w:val="0"/>
          <w:sz w:val="36"/>
          <w:szCs w:val="36"/>
          <w:lang w:val="en-US" w:eastAsia="zh-CN"/>
        </w:rPr>
        <w:t xml:space="preserve">2025  </w:t>
      </w:r>
      <w:r>
        <w:rPr>
          <w:rFonts w:hint="eastAsia" w:hAnsi="宋体" w:eastAsia="仿宋_GB2312" w:cs="宋体"/>
          <w:kern w:val="0"/>
          <w:sz w:val="36"/>
          <w:szCs w:val="36"/>
        </w:rPr>
        <w:t xml:space="preserve">年 </w:t>
      </w:r>
      <w:r>
        <w:rPr>
          <w:rFonts w:hint="eastAsia" w:hAnsi="宋体" w:cs="宋体"/>
          <w:kern w:val="0"/>
          <w:sz w:val="36"/>
          <w:szCs w:val="36"/>
          <w:lang w:val="en-US" w:eastAsia="zh-CN"/>
        </w:rPr>
        <w:t>3</w:t>
      </w:r>
      <w:r>
        <w:rPr>
          <w:rFonts w:hint="eastAsia" w:hAnsi="宋体" w:eastAsia="仿宋_GB2312" w:cs="宋体"/>
          <w:kern w:val="0"/>
          <w:sz w:val="36"/>
          <w:szCs w:val="36"/>
        </w:rPr>
        <w:t xml:space="preserve"> 月  </w:t>
      </w:r>
      <w:r>
        <w:rPr>
          <w:rFonts w:hint="eastAsia" w:hAnsi="宋体" w:cs="宋体"/>
          <w:kern w:val="0"/>
          <w:sz w:val="36"/>
          <w:szCs w:val="36"/>
          <w:lang w:val="en-US" w:eastAsia="zh-CN"/>
        </w:rPr>
        <w:t>4</w:t>
      </w:r>
      <w:r>
        <w:rPr>
          <w:rFonts w:hint="eastAsia" w:hAnsi="宋体" w:eastAsia="仿宋_GB2312" w:cs="宋体"/>
          <w:kern w:val="0"/>
          <w:sz w:val="36"/>
          <w:szCs w:val="36"/>
        </w:rPr>
        <w:t xml:space="preserve"> 日</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Theme="minorEastAsia" w:hAnsiTheme="minorEastAsia" w:eastAsiaTheme="minorEastAsia" w:cstheme="minorEastAsia"/>
          <w:color w:val="333333"/>
          <w:sz w:val="24"/>
          <w:szCs w:val="24"/>
          <w:lang w:eastAsia="zh-CN" w:bidi="ar"/>
        </w:rPr>
      </w:pP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Theme="minorEastAsia" w:hAnsiTheme="minorEastAsia" w:eastAsiaTheme="minorEastAsia" w:cstheme="minorEastAsia"/>
          <w:color w:val="333333"/>
          <w:sz w:val="24"/>
          <w:szCs w:val="24"/>
          <w:lang w:eastAsia="zh-CN" w:bidi="ar"/>
        </w:rPr>
      </w:pP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Theme="minorEastAsia" w:hAnsiTheme="minorEastAsia" w:eastAsiaTheme="minorEastAsia" w:cstheme="minorEastAsia"/>
          <w:color w:val="333333"/>
          <w:sz w:val="24"/>
          <w:szCs w:val="24"/>
          <w:lang w:eastAsia="zh-CN" w:bidi="ar"/>
        </w:rPr>
      </w:pPr>
    </w:p>
    <w:p>
      <w:pPr>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kern w:val="0"/>
          <w:sz w:val="44"/>
          <w:szCs w:val="44"/>
          <w:lang w:val="en-US" w:eastAsia="zh-CN"/>
        </w:rPr>
      </w:pPr>
      <w:r>
        <w:rPr>
          <w:rFonts w:hint="eastAsia" w:ascii="方正小标宋简体" w:hAnsi="方正小标宋简体" w:eastAsia="方正小标宋简体" w:cs="方正小标宋简体"/>
          <w:kern w:val="0"/>
          <w:sz w:val="44"/>
          <w:szCs w:val="44"/>
          <w:lang w:val="en-US" w:eastAsia="zh-CN"/>
        </w:rPr>
        <w:t>项目支出绩效评价报告</w:t>
      </w:r>
    </w:p>
    <w:p>
      <w:pPr>
        <w:pageBreakBefore w:val="0"/>
        <w:kinsoku/>
        <w:wordWrap/>
        <w:overflowPunct/>
        <w:topLinePunct w:val="0"/>
        <w:autoSpaceDE/>
        <w:autoSpaceDN/>
        <w:bidi w:val="0"/>
        <w:adjustRightInd/>
        <w:snapToGrid/>
        <w:spacing w:line="560" w:lineRule="exact"/>
        <w:jc w:val="center"/>
        <w:textAlignment w:val="auto"/>
        <w:rPr>
          <w:rFonts w:ascii="仿宋_GB2312"/>
          <w:szCs w:val="30"/>
        </w:rPr>
      </w:pPr>
    </w:p>
    <w:p>
      <w:pPr>
        <w:pageBreakBefore w:val="0"/>
        <w:kinsoku/>
        <w:wordWrap/>
        <w:overflowPunct/>
        <w:topLinePunct w:val="0"/>
        <w:autoSpaceDE/>
        <w:autoSpaceDN/>
        <w:bidi w:val="0"/>
        <w:adjustRightInd/>
        <w:snapToGrid/>
        <w:spacing w:line="560" w:lineRule="exact"/>
        <w:jc w:val="center"/>
        <w:textAlignment w:val="auto"/>
        <w:rPr>
          <w:rFonts w:ascii="仿宋_GB2312"/>
          <w:szCs w:val="30"/>
        </w:rPr>
      </w:pPr>
    </w:p>
    <w:p>
      <w:pPr>
        <w:pageBreakBefore w:val="0"/>
        <w:numPr>
          <w:ilvl w:val="0"/>
          <w:numId w:val="1"/>
        </w:numPr>
        <w:kinsoku/>
        <w:wordWrap/>
        <w:overflowPunct/>
        <w:topLinePunct w:val="0"/>
        <w:autoSpaceDE/>
        <w:autoSpaceDN/>
        <w:bidi w:val="0"/>
        <w:adjustRightInd/>
        <w:snapToGrid/>
        <w:spacing w:line="560" w:lineRule="exact"/>
        <w:ind w:firstLine="640"/>
        <w:textAlignment w:val="auto"/>
        <w:rPr>
          <w:rStyle w:val="11"/>
          <w:rFonts w:ascii="楷体" w:hAnsi="楷体" w:eastAsia="楷体" w:cstheme="minorBidi"/>
          <w:spacing w:val="-4"/>
          <w:sz w:val="32"/>
          <w:szCs w:val="32"/>
        </w:rPr>
      </w:pPr>
      <w:r>
        <w:rPr>
          <w:rStyle w:val="11"/>
          <w:rFonts w:hint="eastAsia" w:ascii="黑体" w:hAnsi="黑体" w:eastAsia="黑体"/>
          <w:b w:val="0"/>
          <w:spacing w:val="-4"/>
          <w:sz w:val="32"/>
          <w:szCs w:val="32"/>
        </w:rPr>
        <w:t>项目概况</w:t>
      </w:r>
    </w:p>
    <w:p>
      <w:pPr>
        <w:pageBreakBefore w:val="0"/>
        <w:numPr>
          <w:ilvl w:val="0"/>
          <w:numId w:val="0"/>
        </w:numPr>
        <w:kinsoku/>
        <w:wordWrap/>
        <w:overflowPunct/>
        <w:topLinePunct w:val="0"/>
        <w:autoSpaceDE/>
        <w:autoSpaceDN/>
        <w:bidi w:val="0"/>
        <w:adjustRightInd/>
        <w:snapToGrid/>
        <w:spacing w:line="560" w:lineRule="exact"/>
        <w:ind w:firstLine="627" w:firstLineChars="200"/>
        <w:textAlignment w:val="auto"/>
        <w:rPr>
          <w:rStyle w:val="11"/>
          <w:rFonts w:ascii="楷体" w:hAnsi="楷体" w:eastAsia="楷体" w:cstheme="minorBidi"/>
          <w:spacing w:val="-4"/>
          <w:sz w:val="32"/>
          <w:szCs w:val="32"/>
        </w:rPr>
      </w:pPr>
      <w:r>
        <w:rPr>
          <w:rStyle w:val="11"/>
          <w:rFonts w:hint="eastAsia" w:ascii="楷体" w:hAnsi="楷体" w:eastAsia="楷体" w:cstheme="minorBidi"/>
          <w:spacing w:val="-4"/>
          <w:sz w:val="32"/>
          <w:szCs w:val="32"/>
          <w:lang w:eastAsia="zh-CN"/>
        </w:rPr>
        <w:t>（</w:t>
      </w:r>
      <w:r>
        <w:rPr>
          <w:rStyle w:val="11"/>
          <w:rFonts w:hint="eastAsia" w:ascii="楷体" w:hAnsi="楷体" w:eastAsia="楷体" w:cstheme="minorBidi"/>
          <w:spacing w:val="-4"/>
          <w:sz w:val="32"/>
          <w:szCs w:val="32"/>
          <w:lang w:val="en-US" w:eastAsia="zh-CN"/>
        </w:rPr>
        <w:t>一）</w:t>
      </w:r>
      <w:r>
        <w:rPr>
          <w:rStyle w:val="11"/>
          <w:rFonts w:hint="eastAsia" w:ascii="楷体" w:hAnsi="楷体" w:eastAsia="楷体" w:cstheme="minorBidi"/>
          <w:spacing w:val="-4"/>
          <w:sz w:val="32"/>
          <w:szCs w:val="32"/>
        </w:rPr>
        <w:t>项目背景及立项依据</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000000"/>
          <w:sz w:val="32"/>
          <w:szCs w:val="32"/>
          <w:lang w:val="en-US" w:eastAsia="zh-CN"/>
        </w:rPr>
      </w:pPr>
      <w:r>
        <w:rPr>
          <w:rFonts w:hint="eastAsia" w:ascii="仿宋" w:hAnsi="仿宋" w:eastAsia="仿宋"/>
          <w:bCs/>
          <w:color w:val="000000"/>
          <w:sz w:val="32"/>
          <w:szCs w:val="32"/>
          <w:lang w:val="en-US" w:eastAsia="zh-CN"/>
        </w:rPr>
        <w:t>新疆农业职业技术学院是新疆维吾尔自治区人民政府批准独立设置的以举办高等职业技术教育为主的普通全日制高等学校，隶属于自治区农业厅，规格相当副厅级。</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bCs/>
          <w:color w:val="000000"/>
          <w:sz w:val="32"/>
          <w:szCs w:val="32"/>
          <w:lang w:val="en-US" w:eastAsia="zh-CN"/>
        </w:rPr>
      </w:pPr>
      <w:r>
        <w:rPr>
          <w:rFonts w:hint="eastAsia" w:ascii="仿宋" w:hAnsi="仿宋" w:eastAsia="仿宋"/>
          <w:bCs/>
          <w:color w:val="000000"/>
          <w:sz w:val="32"/>
          <w:szCs w:val="32"/>
          <w:lang w:val="en-US" w:eastAsia="zh-CN"/>
        </w:rPr>
        <w:t>学院是全国首批28所国家示范性高职院校，是新疆首批“高等职业教育与本科教育联合培养应用本科人才”试点高职院校。学院是自治区唯一一所开展“中国特色高水平职业院校”和“中国特色高水平专业群”的高校，正积极申办本科层次职业教育。</w:t>
      </w:r>
    </w:p>
    <w:p>
      <w:pPr>
        <w:pageBreakBefore w:val="0"/>
        <w:kinsoku/>
        <w:wordWrap/>
        <w:overflowPunct/>
        <w:topLinePunct w:val="0"/>
        <w:autoSpaceDE/>
        <w:autoSpaceDN/>
        <w:bidi w:val="0"/>
        <w:adjustRightInd/>
        <w:snapToGrid/>
        <w:spacing w:line="560" w:lineRule="exact"/>
        <w:ind w:firstLine="640" w:firstLineChars="200"/>
        <w:textAlignment w:val="auto"/>
        <w:rPr>
          <w:rFonts w:ascii="仿宋" w:hAnsi="仿宋" w:eastAsia="仿宋"/>
          <w:bCs/>
          <w:color w:val="000000"/>
          <w:sz w:val="32"/>
          <w:szCs w:val="32"/>
        </w:rPr>
      </w:pPr>
      <w:r>
        <w:rPr>
          <w:rFonts w:hint="eastAsia" w:ascii="仿宋" w:hAnsi="仿宋" w:eastAsia="仿宋"/>
          <w:bCs/>
          <w:color w:val="000000"/>
          <w:sz w:val="32"/>
          <w:szCs w:val="32"/>
        </w:rPr>
        <w:t>政策依据：</w:t>
      </w:r>
      <w:r>
        <w:rPr>
          <w:rFonts w:hint="eastAsia" w:ascii="仿宋" w:hAnsi="仿宋" w:eastAsia="仿宋"/>
          <w:bCs/>
          <w:color w:val="000000"/>
          <w:sz w:val="32"/>
          <w:szCs w:val="32"/>
          <w:lang w:val="en-US" w:eastAsia="zh-CN"/>
        </w:rPr>
        <w:t>根据国家、自治区人事政策及学院相关管理办法文件精神</w:t>
      </w:r>
      <w:r>
        <w:rPr>
          <w:rFonts w:hint="eastAsia" w:ascii="仿宋" w:hAnsi="仿宋" w:eastAsia="仿宋"/>
          <w:bCs/>
          <w:color w:val="000000"/>
          <w:sz w:val="32"/>
          <w:szCs w:val="32"/>
        </w:rPr>
        <w:t>。</w:t>
      </w:r>
    </w:p>
    <w:p>
      <w:pPr>
        <w:pStyle w:val="2"/>
        <w:pageBreakBefore w:val="0"/>
        <w:numPr>
          <w:ilvl w:val="0"/>
          <w:numId w:val="0"/>
        </w:numPr>
        <w:kinsoku/>
        <w:wordWrap/>
        <w:overflowPunct/>
        <w:topLinePunct w:val="0"/>
        <w:autoSpaceDE/>
        <w:autoSpaceDN/>
        <w:bidi w:val="0"/>
        <w:adjustRightInd/>
        <w:snapToGrid/>
        <w:spacing w:before="0" w:after="0" w:line="560" w:lineRule="exact"/>
        <w:ind w:left="900" w:leftChars="0"/>
        <w:jc w:val="both"/>
        <w:textAlignment w:val="auto"/>
        <w:rPr>
          <w:rFonts w:ascii="Times New Roman" w:hAnsi="Times New Roman" w:eastAsia="仿宋_GB2312"/>
          <w:color w:val="auto"/>
          <w:kern w:val="2"/>
        </w:rPr>
      </w:pPr>
      <w:r>
        <w:rPr>
          <w:rFonts w:hint="eastAsia" w:ascii="Times New Roman" w:hAnsi="Times New Roman" w:eastAsia="仿宋_GB2312"/>
          <w:color w:val="auto"/>
          <w:kern w:val="2"/>
          <w:lang w:val="en-US" w:eastAsia="zh-CN"/>
        </w:rPr>
        <w:t>1.</w:t>
      </w:r>
      <w:r>
        <w:rPr>
          <w:rFonts w:ascii="Times New Roman" w:hAnsi="Times New Roman" w:eastAsia="仿宋_GB2312"/>
          <w:color w:val="auto"/>
          <w:kern w:val="2"/>
        </w:rPr>
        <w:t>项目主要内容：</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color w:val="auto"/>
          <w:sz w:val="32"/>
          <w:szCs w:val="32"/>
          <w:lang w:val="en-US" w:eastAsia="zh-CN"/>
        </w:rPr>
      </w:pPr>
      <w:r>
        <w:rPr>
          <w:rFonts w:hint="eastAsia" w:ascii="仿宋_GB2312" w:hAnsi="仿宋_GB2312" w:eastAsia="仿宋_GB2312" w:cs="仿宋_GB2312"/>
          <w:bCs/>
          <w:color w:val="auto"/>
          <w:sz w:val="32"/>
          <w:szCs w:val="32"/>
          <w:lang w:val="en-US" w:eastAsia="zh-CN"/>
        </w:rPr>
        <w:t>为保障学校正常运行、完成教育教学活动和其他工作任务，根据国家、自治区人事政策和学院相关文件精神及管理办法，规范各种项目经费支出，按照标准发放各类人员经费，改善教职工生活质量，提升其满意度，增强广大教职工的获得感、幸福感和归属感，提高教师队伍稳定性，促进学院更好地发展。</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color w:val="auto"/>
          <w:sz w:val="32"/>
          <w:szCs w:val="32"/>
          <w:lang w:val="en-US" w:eastAsia="zh-CN"/>
        </w:rPr>
      </w:pPr>
      <w:r>
        <w:rPr>
          <w:rFonts w:hint="eastAsia" w:ascii="仿宋_GB2312" w:hAnsi="仿宋_GB2312" w:eastAsia="仿宋_GB2312" w:cs="仿宋_GB2312"/>
          <w:bCs/>
          <w:color w:val="auto"/>
          <w:sz w:val="32"/>
          <w:szCs w:val="32"/>
          <w:lang w:val="en-US" w:eastAsia="zh-CN"/>
        </w:rPr>
        <w:t>项目实施情况：目前已经完成实际设立的目标，在实施过程中能够严格按照目标设立的各阶段任务开展工作，做到及时准确发放相关费用，保证项目实施各阶段顺利进行。</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color w:val="auto"/>
          <w:sz w:val="32"/>
          <w:szCs w:val="32"/>
          <w:lang w:val="en-US" w:eastAsia="zh-CN"/>
        </w:rPr>
      </w:pPr>
      <w:r>
        <w:rPr>
          <w:rFonts w:hint="eastAsia" w:ascii="仿宋_GB2312" w:hAnsi="仿宋_GB2312" w:eastAsia="仿宋_GB2312" w:cs="仿宋_GB2312"/>
          <w:bCs/>
          <w:color w:val="auto"/>
          <w:sz w:val="32"/>
          <w:szCs w:val="32"/>
          <w:lang w:val="en-US" w:eastAsia="zh-CN"/>
        </w:rPr>
        <w:t>本项目总投资</w:t>
      </w:r>
      <w:r>
        <w:rPr>
          <w:rFonts w:hint="eastAsia" w:ascii="仿宋_GB2312" w:hAnsi="仿宋_GB2312" w:cs="仿宋_GB2312"/>
          <w:bCs/>
          <w:color w:val="auto"/>
          <w:sz w:val="32"/>
          <w:szCs w:val="32"/>
          <w:lang w:val="en-US" w:eastAsia="zh-CN"/>
        </w:rPr>
        <w:t>816.98</w:t>
      </w:r>
      <w:r>
        <w:rPr>
          <w:rFonts w:hint="eastAsia" w:ascii="仿宋_GB2312" w:hAnsi="仿宋_GB2312" w:eastAsia="仿宋_GB2312" w:cs="仿宋_GB2312"/>
          <w:bCs/>
          <w:color w:val="auto"/>
          <w:sz w:val="32"/>
          <w:szCs w:val="32"/>
          <w:lang w:val="en-US" w:eastAsia="zh-CN"/>
        </w:rPr>
        <w:t>万元，其中：财政本级资金0万元。项目实际支出</w:t>
      </w:r>
      <w:r>
        <w:rPr>
          <w:rFonts w:hint="eastAsia" w:ascii="仿宋_GB2312" w:hAnsi="仿宋_GB2312" w:cs="仿宋_GB2312"/>
          <w:bCs/>
          <w:color w:val="auto"/>
          <w:sz w:val="32"/>
          <w:szCs w:val="32"/>
          <w:lang w:val="en-US" w:eastAsia="zh-CN"/>
        </w:rPr>
        <w:t>721</w:t>
      </w:r>
      <w:r>
        <w:rPr>
          <w:rFonts w:hint="eastAsia" w:ascii="仿宋_GB2312" w:hAnsi="仿宋_GB2312" w:eastAsia="仿宋_GB2312" w:cs="仿宋_GB2312"/>
          <w:bCs/>
          <w:color w:val="auto"/>
          <w:sz w:val="32"/>
          <w:szCs w:val="32"/>
          <w:lang w:val="en-US" w:eastAsia="zh-CN"/>
        </w:rPr>
        <w:t>万元，支出率为</w:t>
      </w:r>
      <w:r>
        <w:rPr>
          <w:rFonts w:hint="eastAsia" w:ascii="仿宋_GB2312" w:hAnsi="仿宋_GB2312" w:cs="仿宋_GB2312"/>
          <w:bCs/>
          <w:color w:val="auto"/>
          <w:sz w:val="32"/>
          <w:szCs w:val="32"/>
          <w:lang w:val="en-US" w:eastAsia="zh-CN"/>
        </w:rPr>
        <w:t>88.3</w:t>
      </w:r>
      <w:r>
        <w:rPr>
          <w:rFonts w:hint="eastAsia" w:ascii="仿宋_GB2312" w:hAnsi="仿宋_GB2312" w:eastAsia="仿宋_GB2312" w:cs="仿宋_GB2312"/>
          <w:bCs/>
          <w:color w:val="auto"/>
          <w:sz w:val="32"/>
          <w:szCs w:val="32"/>
          <w:lang w:val="en-US" w:eastAsia="zh-CN"/>
        </w:rPr>
        <w:t>%。</w:t>
      </w:r>
    </w:p>
    <w:p>
      <w:pPr>
        <w:pageBreakBefore w:val="0"/>
        <w:kinsoku/>
        <w:wordWrap/>
        <w:overflowPunct/>
        <w:topLinePunct w:val="0"/>
        <w:autoSpaceDE/>
        <w:autoSpaceDN/>
        <w:bidi w:val="0"/>
        <w:adjustRightInd/>
        <w:snapToGrid/>
        <w:spacing w:line="560" w:lineRule="exact"/>
        <w:ind w:firstLine="643" w:firstLineChars="200"/>
        <w:textAlignment w:val="auto"/>
        <w:rPr>
          <w:rFonts w:eastAsia="仿宋_GB2312"/>
          <w:b/>
          <w:bCs/>
          <w:color w:val="auto"/>
          <w:sz w:val="32"/>
          <w:szCs w:val="32"/>
        </w:rPr>
      </w:pPr>
      <w:r>
        <w:rPr>
          <w:rFonts w:hint="eastAsia"/>
          <w:b/>
          <w:bCs/>
          <w:color w:val="auto"/>
          <w:sz w:val="32"/>
          <w:szCs w:val="32"/>
          <w:lang w:val="en-US" w:eastAsia="zh-CN"/>
        </w:rPr>
        <w:t>2.</w:t>
      </w:r>
      <w:r>
        <w:rPr>
          <w:rFonts w:eastAsia="仿宋_GB2312"/>
          <w:b/>
          <w:bCs/>
          <w:color w:val="auto"/>
          <w:sz w:val="32"/>
          <w:szCs w:val="32"/>
        </w:rPr>
        <w:t>资金投入和使用情况</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项目总投资</w:t>
      </w:r>
      <w:r>
        <w:rPr>
          <w:rFonts w:hint="eastAsia" w:ascii="仿宋_GB2312" w:hAnsi="仿宋_GB2312" w:cs="仿宋_GB2312"/>
          <w:bCs/>
          <w:color w:val="auto"/>
          <w:sz w:val="32"/>
          <w:szCs w:val="32"/>
          <w:lang w:val="en-US" w:eastAsia="zh-CN"/>
        </w:rPr>
        <w:t>816.98</w:t>
      </w:r>
      <w:r>
        <w:rPr>
          <w:rFonts w:hint="eastAsia" w:ascii="仿宋_GB2312" w:hAnsi="仿宋_GB2312" w:eastAsia="仿宋_GB2312" w:cs="仿宋_GB2312"/>
          <w:color w:val="auto"/>
          <w:sz w:val="32"/>
          <w:szCs w:val="32"/>
        </w:rPr>
        <w:t>万元，按照单位财务制度等相关规定，资金支出符合</w:t>
      </w:r>
      <w:r>
        <w:rPr>
          <w:rFonts w:hint="eastAsia" w:ascii="仿宋_GB2312" w:hAnsi="仿宋_GB2312" w:eastAsia="仿宋_GB2312" w:cs="仿宋_GB2312"/>
          <w:color w:val="auto"/>
          <w:sz w:val="32"/>
          <w:szCs w:val="32"/>
          <w:lang w:val="en-US" w:eastAsia="zh-CN"/>
        </w:rPr>
        <w:t>人员运行保障</w:t>
      </w:r>
      <w:r>
        <w:rPr>
          <w:rFonts w:hint="eastAsia" w:ascii="仿宋_GB2312" w:hAnsi="仿宋_GB2312" w:eastAsia="仿宋_GB2312" w:cs="仿宋_GB2312"/>
          <w:color w:val="auto"/>
          <w:sz w:val="32"/>
          <w:szCs w:val="32"/>
        </w:rPr>
        <w:t>专项资金费用范围，做到了专款专用。在项目资金拨付和使用过程中，为确保项目资金的安全性，提高项目资金使用效率，严格遵循的</w:t>
      </w:r>
      <w:r>
        <w:rPr>
          <w:rFonts w:hint="eastAsia" w:ascii="仿宋_GB2312" w:hAnsi="仿宋_GB2312" w:eastAsia="仿宋_GB2312" w:cs="仿宋_GB2312"/>
          <w:color w:val="auto"/>
          <w:sz w:val="32"/>
          <w:szCs w:val="32"/>
          <w:lang w:val="en-US" w:eastAsia="zh-CN"/>
        </w:rPr>
        <w:t>人员运行保障资金的</w:t>
      </w:r>
      <w:r>
        <w:rPr>
          <w:rFonts w:hint="eastAsia" w:ascii="仿宋_GB2312" w:hAnsi="仿宋_GB2312" w:eastAsia="仿宋_GB2312" w:cs="仿宋_GB2312"/>
          <w:color w:val="auto"/>
          <w:sz w:val="32"/>
          <w:szCs w:val="32"/>
        </w:rPr>
        <w:t>拨付程序，认真审核项目实施各阶段的相关材料和手续，根据项目实施进展情况拨付资金。</w:t>
      </w:r>
    </w:p>
    <w:p>
      <w:pPr>
        <w:pStyle w:val="2"/>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ascii="Times New Roman" w:hAnsi="Times New Roman" w:eastAsia="仿宋_GB2312"/>
          <w:b w:val="0"/>
          <w:bCs w:val="0"/>
          <w:color w:val="auto"/>
          <w:kern w:val="2"/>
          <w:sz w:val="32"/>
          <w:szCs w:val="32"/>
        </w:rPr>
      </w:pPr>
      <w:r>
        <w:rPr>
          <w:rFonts w:hint="eastAsia" w:ascii="仿宋_GB2312" w:hAnsi="仿宋_GB2312" w:eastAsia="仿宋_GB2312" w:cs="仿宋_GB2312"/>
          <w:b w:val="0"/>
          <w:bCs w:val="0"/>
          <w:color w:val="auto"/>
          <w:kern w:val="2"/>
          <w:sz w:val="32"/>
          <w:szCs w:val="32"/>
        </w:rPr>
        <w:t>项目预算资金来源于</w:t>
      </w:r>
      <w:r>
        <w:rPr>
          <w:rFonts w:hint="eastAsia" w:ascii="仿宋_GB2312" w:hAnsi="仿宋_GB2312" w:eastAsia="仿宋_GB2312" w:cs="仿宋_GB2312"/>
          <w:b w:val="0"/>
          <w:bCs w:val="0"/>
          <w:color w:val="auto"/>
          <w:kern w:val="2"/>
          <w:sz w:val="32"/>
          <w:szCs w:val="32"/>
          <w:highlight w:val="none"/>
        </w:rPr>
        <w:t>学院自筹资金</w:t>
      </w:r>
      <w:r>
        <w:rPr>
          <w:rFonts w:hint="eastAsia" w:ascii="仿宋_GB2312" w:hAnsi="仿宋_GB2312" w:eastAsia="仿宋_GB2312" w:cs="仿宋_GB2312"/>
          <w:b w:val="0"/>
          <w:bCs w:val="0"/>
          <w:color w:val="auto"/>
          <w:kern w:val="2"/>
          <w:sz w:val="32"/>
          <w:szCs w:val="32"/>
        </w:rPr>
        <w:t>，项目资金到位</w:t>
      </w:r>
      <w:r>
        <w:rPr>
          <w:rFonts w:hint="eastAsia" w:ascii="仿宋_GB2312" w:hAnsi="仿宋_GB2312" w:eastAsia="仿宋_GB2312" w:cs="仿宋_GB2312"/>
          <w:b w:val="0"/>
          <w:bCs w:val="0"/>
          <w:color w:val="auto"/>
          <w:sz w:val="32"/>
          <w:szCs w:val="32"/>
          <w:lang w:val="en-US" w:eastAsia="zh-CN"/>
        </w:rPr>
        <w:t>816.98</w:t>
      </w:r>
      <w:r>
        <w:rPr>
          <w:rFonts w:hint="eastAsia" w:ascii="仿宋_GB2312" w:hAnsi="仿宋_GB2312" w:eastAsia="仿宋_GB2312" w:cs="仿宋_GB2312"/>
          <w:b w:val="0"/>
          <w:bCs w:val="0"/>
          <w:color w:val="auto"/>
          <w:kern w:val="2"/>
          <w:sz w:val="32"/>
          <w:szCs w:val="32"/>
        </w:rPr>
        <w:t>万元，用于支付项目实施进程中的各项费用。</w:t>
      </w:r>
    </w:p>
    <w:p>
      <w:pPr>
        <w:pageBreakBefore w:val="0"/>
        <w:numPr>
          <w:ilvl w:val="0"/>
          <w:numId w:val="0"/>
        </w:numPr>
        <w:kinsoku/>
        <w:wordWrap/>
        <w:overflowPunct/>
        <w:topLinePunct w:val="0"/>
        <w:autoSpaceDE/>
        <w:autoSpaceDN/>
        <w:bidi w:val="0"/>
        <w:adjustRightInd/>
        <w:snapToGrid/>
        <w:spacing w:line="560" w:lineRule="exact"/>
        <w:ind w:firstLine="627" w:firstLineChars="200"/>
        <w:textAlignment w:val="auto"/>
        <w:rPr>
          <w:rStyle w:val="11"/>
          <w:rFonts w:ascii="楷体" w:hAnsi="楷体" w:eastAsia="楷体" w:cstheme="minorBidi"/>
          <w:spacing w:val="-4"/>
          <w:sz w:val="32"/>
          <w:szCs w:val="32"/>
        </w:rPr>
      </w:pPr>
      <w:r>
        <w:rPr>
          <w:rStyle w:val="11"/>
          <w:rFonts w:hint="eastAsia" w:ascii="楷体" w:hAnsi="楷体" w:eastAsia="楷体" w:cstheme="minorBidi"/>
          <w:spacing w:val="-4"/>
          <w:sz w:val="32"/>
          <w:szCs w:val="32"/>
          <w:lang w:val="en-US" w:eastAsia="zh-CN"/>
        </w:rPr>
        <w:t>3.</w:t>
      </w:r>
      <w:r>
        <w:rPr>
          <w:rStyle w:val="11"/>
          <w:rFonts w:hint="eastAsia" w:ascii="楷体" w:hAnsi="楷体" w:eastAsia="楷体" w:cstheme="minorBidi"/>
          <w:spacing w:val="-4"/>
          <w:sz w:val="32"/>
          <w:szCs w:val="32"/>
        </w:rPr>
        <w:t>项目组织架构及分工</w:t>
      </w:r>
    </w:p>
    <w:p>
      <w:pPr>
        <w:pageBreakBefore w:val="0"/>
        <w:kinsoku/>
        <w:wordWrap/>
        <w:overflowPunct/>
        <w:topLinePunct w:val="0"/>
        <w:autoSpaceDE/>
        <w:autoSpaceDN/>
        <w:bidi w:val="0"/>
        <w:adjustRightInd/>
        <w:snapToGrid/>
        <w:spacing w:line="560" w:lineRule="exact"/>
        <w:ind w:firstLine="624" w:firstLineChars="200"/>
        <w:textAlignment w:val="auto"/>
        <w:rPr>
          <w:rStyle w:val="11"/>
          <w:rFonts w:ascii="楷体" w:hAnsi="楷体" w:eastAsia="楷体" w:cstheme="minorBidi"/>
          <w:spacing w:val="-4"/>
          <w:sz w:val="32"/>
          <w:szCs w:val="32"/>
        </w:rPr>
      </w:pPr>
      <w:r>
        <w:rPr>
          <w:rStyle w:val="11"/>
          <w:rFonts w:hint="eastAsia" w:ascii="仿宋" w:hAnsi="仿宋" w:eastAsia="仿宋"/>
          <w:b w:val="0"/>
          <w:spacing w:val="-4"/>
          <w:sz w:val="32"/>
          <w:szCs w:val="32"/>
          <w:lang w:val="en-US" w:eastAsia="zh-CN"/>
        </w:rPr>
        <w:t>人事处牵头，负责与自治区相关部门及上级部门对接政策法规，按标准进行核算，计划财务处负责发放金额，纪检监察部门负责监督检查。</w:t>
      </w:r>
    </w:p>
    <w:p>
      <w:pPr>
        <w:pageBreakBefore w:val="0"/>
        <w:kinsoku/>
        <w:wordWrap/>
        <w:overflowPunct/>
        <w:topLinePunct w:val="0"/>
        <w:autoSpaceDE/>
        <w:autoSpaceDN/>
        <w:bidi w:val="0"/>
        <w:adjustRightInd/>
        <w:snapToGrid/>
        <w:spacing w:line="560" w:lineRule="exact"/>
        <w:ind w:firstLine="627" w:firstLineChars="200"/>
        <w:textAlignment w:val="auto"/>
        <w:rPr>
          <w:rStyle w:val="11"/>
          <w:rFonts w:ascii="楷体" w:hAnsi="楷体" w:eastAsia="楷体"/>
          <w:spacing w:val="-4"/>
          <w:sz w:val="32"/>
          <w:szCs w:val="32"/>
        </w:rPr>
      </w:pPr>
      <w:r>
        <w:rPr>
          <w:rStyle w:val="11"/>
          <w:rFonts w:hint="eastAsia" w:ascii="楷体" w:hAnsi="楷体" w:eastAsia="楷体"/>
          <w:spacing w:val="-4"/>
          <w:sz w:val="32"/>
          <w:szCs w:val="32"/>
          <w:lang w:val="en-US" w:eastAsia="zh-CN"/>
        </w:rPr>
        <w:t>（二）</w:t>
      </w:r>
      <w:r>
        <w:rPr>
          <w:rStyle w:val="11"/>
          <w:rFonts w:hint="eastAsia" w:ascii="楷体" w:hAnsi="楷体" w:eastAsia="楷体"/>
          <w:spacing w:val="-4"/>
          <w:sz w:val="32"/>
          <w:szCs w:val="32"/>
        </w:rPr>
        <w:t>项目预算</w:t>
      </w:r>
      <w:r>
        <w:rPr>
          <w:rStyle w:val="11"/>
          <w:rFonts w:ascii="楷体" w:hAnsi="楷体" w:eastAsia="楷体"/>
          <w:spacing w:val="-4"/>
          <w:sz w:val="32"/>
          <w:szCs w:val="32"/>
        </w:rPr>
        <w:t>绩效目标</w:t>
      </w:r>
      <w:r>
        <w:rPr>
          <w:rStyle w:val="11"/>
          <w:rFonts w:hint="eastAsia" w:ascii="楷体" w:hAnsi="楷体" w:eastAsia="楷体"/>
          <w:spacing w:val="-4"/>
          <w:sz w:val="32"/>
          <w:szCs w:val="32"/>
        </w:rPr>
        <w:t>设定情况</w:t>
      </w:r>
    </w:p>
    <w:p>
      <w:pPr>
        <w:pageBreakBefore w:val="0"/>
        <w:kinsoku/>
        <w:wordWrap/>
        <w:overflowPunct/>
        <w:topLinePunct w:val="0"/>
        <w:autoSpaceDE/>
        <w:autoSpaceDN/>
        <w:bidi w:val="0"/>
        <w:adjustRightInd/>
        <w:snapToGrid/>
        <w:spacing w:line="560" w:lineRule="exact"/>
        <w:ind w:firstLine="624" w:firstLineChars="200"/>
        <w:textAlignment w:val="auto"/>
        <w:rPr>
          <w:rStyle w:val="11"/>
          <w:rFonts w:ascii="仿宋" w:hAnsi="仿宋" w:eastAsia="仿宋"/>
          <w:b w:val="0"/>
          <w:spacing w:val="-4"/>
          <w:sz w:val="32"/>
          <w:szCs w:val="32"/>
        </w:rPr>
      </w:pPr>
      <w:r>
        <w:rPr>
          <w:rStyle w:val="11"/>
          <w:rFonts w:hint="eastAsia" w:ascii="仿宋" w:hAnsi="仿宋" w:eastAsia="仿宋"/>
          <w:b w:val="0"/>
          <w:spacing w:val="-4"/>
          <w:sz w:val="32"/>
          <w:szCs w:val="32"/>
        </w:rPr>
        <w:t>（包括立项的政策依据；预期目标及阶段性目标；项目基本性质、用途和主要内容、涉及范围等）</w:t>
      </w:r>
    </w:p>
    <w:p>
      <w:pPr>
        <w:pageBreakBefore w:val="0"/>
        <w:kinsoku/>
        <w:wordWrap/>
        <w:overflowPunct/>
        <w:topLinePunct w:val="0"/>
        <w:autoSpaceDE/>
        <w:autoSpaceDN/>
        <w:bidi w:val="0"/>
        <w:adjustRightInd/>
        <w:snapToGrid/>
        <w:spacing w:line="560" w:lineRule="exact"/>
        <w:ind w:firstLine="640" w:firstLineChars="200"/>
        <w:textAlignment w:val="auto"/>
        <w:rPr>
          <w:rStyle w:val="11"/>
          <w:rFonts w:hint="eastAsia" w:ascii="仿宋" w:hAnsi="仿宋" w:eastAsia="仿宋"/>
          <w:b w:val="0"/>
          <w:spacing w:val="-4"/>
          <w:sz w:val="32"/>
          <w:szCs w:val="32"/>
        </w:rPr>
      </w:pPr>
      <w:r>
        <w:rPr>
          <w:rFonts w:hint="eastAsia" w:ascii="仿宋" w:hAnsi="仿宋" w:eastAsia="仿宋"/>
          <w:bCs/>
          <w:color w:val="000000"/>
          <w:sz w:val="32"/>
          <w:szCs w:val="32"/>
        </w:rPr>
        <w:t>政策依</w:t>
      </w:r>
      <w:r>
        <w:rPr>
          <w:rStyle w:val="11"/>
          <w:rFonts w:hint="eastAsia" w:ascii="仿宋" w:hAnsi="仿宋" w:eastAsia="仿宋"/>
          <w:b w:val="0"/>
          <w:spacing w:val="-4"/>
          <w:sz w:val="32"/>
          <w:szCs w:val="32"/>
        </w:rPr>
        <w:t>据：</w:t>
      </w:r>
      <w:r>
        <w:rPr>
          <w:rStyle w:val="11"/>
          <w:rFonts w:hint="eastAsia" w:ascii="仿宋" w:hAnsi="仿宋" w:eastAsia="仿宋"/>
          <w:b w:val="0"/>
          <w:spacing w:val="-4"/>
          <w:sz w:val="32"/>
          <w:szCs w:val="32"/>
          <w:lang w:val="en-US" w:eastAsia="zh-CN"/>
        </w:rPr>
        <w:t>《新疆农业职业技术学院工勤岗位劳务派遣人员使用管理办法》、《新疆农业职业技术学院退休人员返聘工作管理暂行办法》、《新疆维吾尔自治区人口与计划生育条例》（2017年7月28日新疆维吾尔自治区第十二届人民代表大会常务委员会第三十次会议第四次修正）、关于调整自治区机关事业单位工作人员死亡后遗属生活困难补助标准的通知》（新人社发〔2021〕20号）、《关于贯彻执行《国务院关于职工探亲待遇的规定》的具体规定》（新政发[1981]184号）、《关于重新修订自治区城镇职工探亲待遇有关问题的通知》（新人发字[2001]2号）、《新疆维吾尔自治区事业单位工作人员考核办法（试行）》（新人社发〔2022〕16 号）《新疆农业职业技术学院教职工考核管理办法（试行）》（新农职政〔2022〕63 号）、《自治区驻内地教育协调工作小组组长内派教师选派及管理办法》（新党厅字〔2018〕12号）、《中华人民共和国残疾人保障法》、《新疆维吾尔自治区残疾人就业保障金征收使用管理办法》等文件。</w:t>
      </w:r>
    </w:p>
    <w:p>
      <w:pPr>
        <w:pageBreakBefore w:val="0"/>
        <w:kinsoku/>
        <w:wordWrap/>
        <w:overflowPunct/>
        <w:topLinePunct w:val="0"/>
        <w:autoSpaceDE/>
        <w:autoSpaceDN/>
        <w:bidi w:val="0"/>
        <w:adjustRightInd/>
        <w:snapToGrid/>
        <w:spacing w:line="560" w:lineRule="exact"/>
        <w:ind w:firstLine="643" w:firstLineChars="200"/>
        <w:textAlignment w:val="auto"/>
        <w:rPr>
          <w:rFonts w:ascii="仿宋" w:hAnsi="仿宋" w:eastAsia="仿宋"/>
          <w:b/>
          <w:color w:val="000000"/>
          <w:sz w:val="32"/>
          <w:szCs w:val="32"/>
        </w:rPr>
      </w:pPr>
      <w:r>
        <w:rPr>
          <w:rFonts w:hint="eastAsia" w:ascii="仿宋" w:hAnsi="仿宋" w:eastAsia="仿宋"/>
          <w:b/>
          <w:color w:val="000000"/>
          <w:sz w:val="32"/>
          <w:szCs w:val="32"/>
        </w:rPr>
        <w:t>预期目标及阶段性目标：</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bCs/>
          <w:color w:val="000000"/>
          <w:sz w:val="32"/>
          <w:szCs w:val="32"/>
          <w:lang w:val="en-US" w:eastAsia="zh-CN"/>
        </w:rPr>
      </w:pPr>
      <w:r>
        <w:rPr>
          <w:rFonts w:hint="eastAsia" w:ascii="仿宋" w:hAnsi="仿宋" w:eastAsia="仿宋"/>
          <w:bCs/>
          <w:color w:val="000000"/>
          <w:sz w:val="32"/>
          <w:szCs w:val="32"/>
        </w:rPr>
        <w:t>预期目标</w:t>
      </w:r>
      <w:r>
        <w:rPr>
          <w:rFonts w:hint="eastAsia" w:ascii="仿宋" w:hAnsi="仿宋" w:eastAsia="仿宋"/>
          <w:bCs/>
          <w:color w:val="000000"/>
          <w:sz w:val="32"/>
          <w:szCs w:val="32"/>
          <w:lang w:eastAsia="zh-CN"/>
        </w:rPr>
        <w:t>：</w:t>
      </w:r>
      <w:r>
        <w:rPr>
          <w:rFonts w:hint="eastAsia" w:ascii="仿宋_GB2312" w:eastAsia="仿宋_GB2312" w:cs="Times New Roman"/>
          <w:sz w:val="32"/>
          <w:szCs w:val="32"/>
          <w:lang w:val="en-US" w:eastAsia="zh-CN"/>
        </w:rPr>
        <w:t>到2024年底，90%完成项目。</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bCs/>
          <w:color w:val="000000"/>
          <w:sz w:val="32"/>
          <w:szCs w:val="32"/>
          <w:lang w:val="en-US" w:eastAsia="zh-CN"/>
        </w:rPr>
      </w:pPr>
      <w:r>
        <w:rPr>
          <w:rFonts w:hint="eastAsia" w:ascii="仿宋" w:hAnsi="仿宋" w:eastAsia="仿宋"/>
          <w:bCs/>
          <w:color w:val="000000"/>
          <w:sz w:val="32"/>
          <w:szCs w:val="32"/>
          <w:lang w:val="en-US" w:eastAsia="zh-CN"/>
        </w:rPr>
        <w:t>阶段性目标：</w:t>
      </w:r>
      <w:r>
        <w:rPr>
          <w:rFonts w:hint="eastAsia" w:ascii="仿宋_GB2312" w:eastAsia="仿宋_GB2312" w:cs="Times New Roman"/>
          <w:sz w:val="32"/>
          <w:szCs w:val="32"/>
          <w:lang w:val="en-US" w:eastAsia="zh-CN"/>
        </w:rPr>
        <w:t>按月完成相关资金支出。</w:t>
      </w:r>
    </w:p>
    <w:p>
      <w:pPr>
        <w:pageBreakBefore w:val="0"/>
        <w:kinsoku/>
        <w:wordWrap/>
        <w:overflowPunct/>
        <w:topLinePunct w:val="0"/>
        <w:autoSpaceDE/>
        <w:autoSpaceDN/>
        <w:bidi w:val="0"/>
        <w:adjustRightInd/>
        <w:snapToGrid/>
        <w:spacing w:line="560" w:lineRule="exact"/>
        <w:ind w:firstLine="627" w:firstLineChars="200"/>
        <w:textAlignment w:val="auto"/>
        <w:rPr>
          <w:rFonts w:hint="default" w:ascii="仿宋_GB2312" w:eastAsia="仿宋_GB2312" w:cs="Times New Roman"/>
          <w:sz w:val="32"/>
          <w:szCs w:val="32"/>
          <w:lang w:val="en-US" w:eastAsia="zh-CN"/>
        </w:rPr>
      </w:pPr>
      <w:r>
        <w:rPr>
          <w:rStyle w:val="11"/>
          <w:rFonts w:hint="eastAsia" w:ascii="仿宋" w:hAnsi="仿宋" w:eastAsia="仿宋"/>
          <w:bCs w:val="0"/>
          <w:spacing w:val="-4"/>
          <w:sz w:val="32"/>
          <w:szCs w:val="32"/>
        </w:rPr>
        <w:t>项目基本性质、用途、主要内容、涉及范围等</w:t>
      </w:r>
      <w:r>
        <w:rPr>
          <w:rFonts w:hint="eastAsia" w:ascii="仿宋" w:hAnsi="仿宋" w:eastAsia="仿宋" w:cs="仿宋"/>
          <w:b/>
          <w:sz w:val="32"/>
          <w:szCs w:val="32"/>
        </w:rPr>
        <w:t>：</w:t>
      </w:r>
    </w:p>
    <w:p>
      <w:pPr>
        <w:pageBreakBefore w:val="0"/>
        <w:kinsoku/>
        <w:wordWrap/>
        <w:overflowPunct/>
        <w:topLinePunct w:val="0"/>
        <w:autoSpaceDE/>
        <w:autoSpaceDN/>
        <w:bidi w:val="0"/>
        <w:adjustRightInd/>
        <w:snapToGrid/>
        <w:spacing w:line="560" w:lineRule="exact"/>
        <w:ind w:firstLine="600" w:firstLineChars="200"/>
        <w:textAlignment w:val="auto"/>
        <w:rPr>
          <w:rFonts w:ascii="黑体" w:hAnsi="黑体" w:eastAsia="黑体"/>
        </w:rPr>
      </w:pPr>
      <w:r>
        <w:rPr>
          <w:rFonts w:hint="eastAsia" w:ascii="黑体" w:hAnsi="黑体" w:eastAsia="黑体"/>
        </w:rPr>
        <w:t>二、绩效评价工作开展情况</w:t>
      </w:r>
    </w:p>
    <w:p>
      <w:pPr>
        <w:pageBreakBefore w:val="0"/>
        <w:kinsoku/>
        <w:wordWrap/>
        <w:overflowPunct/>
        <w:topLinePunct w:val="0"/>
        <w:autoSpaceDE/>
        <w:autoSpaceDN/>
        <w:bidi w:val="0"/>
        <w:adjustRightInd/>
        <w:snapToGrid/>
        <w:spacing w:line="560" w:lineRule="exact"/>
        <w:ind w:firstLine="627" w:firstLineChars="200"/>
        <w:textAlignment w:val="auto"/>
        <w:rPr>
          <w:rFonts w:hint="eastAsia" w:ascii="仿宋_GB2312" w:hAnsi="Times New Roman" w:eastAsia="仿宋_GB2312" w:cs="Times New Roman"/>
          <w:sz w:val="32"/>
          <w:szCs w:val="32"/>
          <w:lang w:val="en-US" w:eastAsia="zh-CN"/>
        </w:rPr>
      </w:pPr>
      <w:r>
        <w:rPr>
          <w:rStyle w:val="11"/>
          <w:rFonts w:hint="eastAsia" w:ascii="楷体" w:hAnsi="楷体" w:eastAsia="楷体" w:cstheme="minorBidi"/>
          <w:spacing w:val="-4"/>
          <w:sz w:val="32"/>
          <w:szCs w:val="32"/>
          <w:lang w:val="en-US" w:eastAsia="zh-CN"/>
        </w:rPr>
        <w:t>（一）评价目的</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本次绩效评价旨在全面、客观、公正地评估人员运行经费项目支出的合理性、有效性和效率，衡量经费使用是否达成预定目标，为优化资源配置、提升经费管理水平、完善后续预算编制与执行提供科学依据。通过评价，发现经费使用过程中存在的问题与不足，总结经验，促进人事处工作的高质量开展，更好地服务于学校的教学、科研和管理工作。</w:t>
      </w:r>
    </w:p>
    <w:p>
      <w:pPr>
        <w:pageBreakBefore w:val="0"/>
        <w:kinsoku/>
        <w:wordWrap/>
        <w:overflowPunct/>
        <w:topLinePunct w:val="0"/>
        <w:autoSpaceDE/>
        <w:autoSpaceDN/>
        <w:bidi w:val="0"/>
        <w:adjustRightInd/>
        <w:snapToGrid/>
        <w:spacing w:line="560" w:lineRule="exact"/>
        <w:ind w:firstLine="627" w:firstLineChars="200"/>
        <w:textAlignment w:val="auto"/>
        <w:rPr>
          <w:rFonts w:hint="eastAsia" w:ascii="仿宋_GB2312" w:hAnsi="Times New Roman" w:eastAsia="仿宋_GB2312" w:cs="Times New Roman"/>
          <w:sz w:val="32"/>
          <w:szCs w:val="32"/>
          <w:lang w:val="en-US" w:eastAsia="zh-CN"/>
        </w:rPr>
      </w:pPr>
      <w:r>
        <w:rPr>
          <w:rStyle w:val="11"/>
          <w:rFonts w:hint="eastAsia" w:ascii="楷体" w:hAnsi="楷体" w:eastAsia="楷体" w:cstheme="minorBidi"/>
          <w:spacing w:val="-4"/>
          <w:sz w:val="32"/>
          <w:szCs w:val="32"/>
          <w:lang w:val="en-US" w:eastAsia="zh-CN"/>
        </w:rPr>
        <w:t>（二）评价对象和范围</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 xml:space="preserve">评价对象为人事处人员运行经费项目支出。涵盖人事处用于劳务派遣用工经费、退休返聘及兼职外聘教师经费、独生子女保健费、遗属生活困难补助、教职工探亲费、教职工表彰奖励经费、教育派驻教师交通补助费、南疆工作意外伤害保险、残疾人用工保障金经费、在攻读博士学位资助经费及其他与人员工作开展直接相关的经费支出。 </w:t>
      </w:r>
    </w:p>
    <w:p>
      <w:pPr>
        <w:pageBreakBefore w:val="0"/>
        <w:kinsoku/>
        <w:wordWrap/>
        <w:overflowPunct/>
        <w:topLinePunct w:val="0"/>
        <w:autoSpaceDE/>
        <w:autoSpaceDN/>
        <w:bidi w:val="0"/>
        <w:adjustRightInd/>
        <w:snapToGrid/>
        <w:spacing w:line="560" w:lineRule="exact"/>
        <w:ind w:firstLine="627" w:firstLineChars="200"/>
        <w:textAlignment w:val="auto"/>
        <w:rPr>
          <w:rFonts w:hint="eastAsia" w:ascii="仿宋_GB2312" w:hAnsi="Times New Roman" w:eastAsia="仿宋_GB2312" w:cs="Times New Roman"/>
          <w:sz w:val="32"/>
          <w:szCs w:val="32"/>
          <w:lang w:val="en-US" w:eastAsia="zh-CN"/>
        </w:rPr>
      </w:pPr>
      <w:r>
        <w:rPr>
          <w:rStyle w:val="11"/>
          <w:rFonts w:hint="eastAsia" w:ascii="楷体" w:hAnsi="楷体" w:eastAsia="楷体" w:cstheme="minorBidi"/>
          <w:spacing w:val="-4"/>
          <w:sz w:val="32"/>
          <w:szCs w:val="32"/>
          <w:lang w:val="en-US" w:eastAsia="zh-CN"/>
        </w:rPr>
        <w:t>（三）评价依据</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政策法规：依据国家和地方有关财政预算管理、教育经费管理的法律法规，如《中华人民共和国预算法》《高等学校财务制度》等，确保评价工作符合政策要求。</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学校制度：遵循学校内部制定的预算管理办法、人事管理制度、经费审批报销流程等文件，这些制度规定了人事处人员运行经费的预算编制原则、使用规范和审批程序 ，为评价提供校内制度层面的标准。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项目资料：参考人事处人员运行经费项目的预算申报文本、经费支出明细账、相关会议纪要、工作记录等资料，从实际执行层面获取评价数据与信息。</w:t>
      </w:r>
    </w:p>
    <w:p>
      <w:pPr>
        <w:pageBreakBefore w:val="0"/>
        <w:kinsoku/>
        <w:wordWrap/>
        <w:overflowPunct/>
        <w:topLinePunct w:val="0"/>
        <w:autoSpaceDE/>
        <w:autoSpaceDN/>
        <w:bidi w:val="0"/>
        <w:adjustRightInd/>
        <w:snapToGrid/>
        <w:spacing w:line="560" w:lineRule="exact"/>
        <w:ind w:firstLine="627" w:firstLineChars="200"/>
        <w:textAlignment w:val="auto"/>
        <w:rPr>
          <w:rFonts w:hint="eastAsia" w:ascii="仿宋_GB2312" w:hAnsi="Times New Roman" w:eastAsia="仿宋_GB2312" w:cs="Times New Roman"/>
          <w:sz w:val="32"/>
          <w:szCs w:val="32"/>
          <w:lang w:val="en-US" w:eastAsia="zh-CN"/>
        </w:rPr>
      </w:pPr>
      <w:r>
        <w:rPr>
          <w:rStyle w:val="11"/>
          <w:rFonts w:hint="eastAsia" w:ascii="楷体" w:hAnsi="楷体" w:eastAsia="楷体" w:cstheme="minorBidi"/>
          <w:spacing w:val="-4"/>
          <w:sz w:val="32"/>
          <w:szCs w:val="32"/>
          <w:lang w:val="en-US" w:eastAsia="zh-CN"/>
        </w:rPr>
        <w:t xml:space="preserve"> （四）评价方法</w:t>
      </w:r>
      <w:r>
        <w:rPr>
          <w:rFonts w:hint="eastAsia" w:ascii="仿宋_GB2312" w:hAnsi="Times New Roman" w:eastAsia="仿宋_GB2312" w:cs="Times New Roman"/>
          <w:sz w:val="32"/>
          <w:szCs w:val="32"/>
          <w:lang w:val="en-US" w:eastAsia="zh-CN"/>
        </w:rPr>
        <w:t xml:space="preserve"> </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 xml:space="preserve">比较法：将人员运行经费实际支出情况与预算安排进行对比，分析预算执行的偏差程度；同时，与过往年度经费使用情况纵向对比。 </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 xml:space="preserve">公众评判法：通过问卷调查、访谈等方式收集学校教职工、其他部门对人事处工作的满意度和意见建议，从服务对象角度评价经费使用效果，了解人事处工作在满足学校整体发展和教职工需求方面的实际情况。 </w:t>
      </w:r>
    </w:p>
    <w:p>
      <w:pPr>
        <w:pageBreakBefore w:val="0"/>
        <w:kinsoku/>
        <w:wordWrap/>
        <w:overflowPunct/>
        <w:topLinePunct w:val="0"/>
        <w:autoSpaceDE/>
        <w:autoSpaceDN/>
        <w:bidi w:val="0"/>
        <w:adjustRightInd/>
        <w:snapToGrid/>
        <w:spacing w:line="560" w:lineRule="exact"/>
        <w:ind w:firstLine="627" w:firstLineChars="200"/>
        <w:textAlignment w:val="auto"/>
        <w:rPr>
          <w:rFonts w:hint="eastAsia" w:ascii="仿宋_GB2312" w:hAnsi="Times New Roman" w:eastAsia="仿宋_GB2312" w:cs="Times New Roman"/>
          <w:sz w:val="32"/>
          <w:szCs w:val="32"/>
          <w:lang w:val="en-US" w:eastAsia="zh-CN"/>
        </w:rPr>
      </w:pPr>
      <w:r>
        <w:rPr>
          <w:rStyle w:val="11"/>
          <w:rFonts w:hint="eastAsia" w:ascii="楷体" w:hAnsi="楷体" w:eastAsia="楷体" w:cstheme="minorBidi"/>
          <w:spacing w:val="-4"/>
          <w:sz w:val="32"/>
          <w:szCs w:val="32"/>
          <w:lang w:val="en-US" w:eastAsia="zh-CN"/>
        </w:rPr>
        <w:t>（五)评价实施过程</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数据收集：通过查阅财务账目、人事处工作记录、统计报表等资料，获取经费支出明细、人员工作成果等定量数据</w:t>
      </w:r>
      <w:r>
        <w:rPr>
          <w:rFonts w:hint="eastAsia" w:ascii="仿宋_GB2312" w:hAnsi="Times New Roman" w:cs="Times New Roman"/>
          <w:sz w:val="32"/>
          <w:szCs w:val="32"/>
          <w:lang w:val="en-US" w:eastAsia="zh-CN"/>
        </w:rPr>
        <w:t>,</w:t>
      </w:r>
      <w:r>
        <w:rPr>
          <w:rFonts w:hint="eastAsia" w:ascii="仿宋_GB2312" w:hAnsi="Times New Roman" w:eastAsia="仿宋_GB2312" w:cs="Times New Roman"/>
          <w:sz w:val="32"/>
          <w:szCs w:val="32"/>
          <w:lang w:val="en-US" w:eastAsia="zh-CN"/>
        </w:rPr>
        <w:t xml:space="preserve">全面掌握项目实施情况。 </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实地核查：实地查看办公环境、人员工作状态，核实经费使用相关凭证和资料，对数据收集过程中存在疑问或需要进一步确认的事项进行现场核实。</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分析评价：运用选定的评价方法，对照评价指标体系，对收集的数据和信息进行综合分析，逐一评价各指标完成情况，形成初步评价结论，并征求人事处意见，确保评价结果客观公正。</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sz w:val="32"/>
          <w:szCs w:val="32"/>
          <w:lang w:val="en-US" w:eastAsia="zh-CN"/>
        </w:rPr>
      </w:pPr>
      <w:r>
        <w:rPr>
          <w:rFonts w:hint="eastAsia" w:ascii="黑体" w:hAnsi="黑体" w:eastAsia="黑体"/>
        </w:rPr>
        <w:t>三、综合评价情况及评价结论</w:t>
      </w:r>
      <w:r>
        <w:rPr>
          <w:rFonts w:hint="eastAsia" w:ascii="仿宋_GB2312" w:hAnsi="Times New Roman" w:eastAsia="仿宋_GB2312" w:cs="Times New Roman"/>
          <w:sz w:val="32"/>
          <w:szCs w:val="32"/>
          <w:lang w:val="en-US" w:eastAsia="zh-CN"/>
        </w:rPr>
        <w:t xml:space="preserve"> </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经综合评价，人员运行经费项目支出绩效评价总得分为</w:t>
      </w:r>
      <w:r>
        <w:rPr>
          <w:rFonts w:hint="eastAsia" w:ascii="仿宋_GB2312" w:hAnsi="Times New Roman" w:cs="Times New Roman"/>
          <w:sz w:val="32"/>
          <w:szCs w:val="32"/>
          <w:lang w:val="en-US" w:eastAsia="zh-CN"/>
        </w:rPr>
        <w:t>96.72</w:t>
      </w:r>
      <w:r>
        <w:rPr>
          <w:rFonts w:hint="eastAsia" w:ascii="仿宋_GB2312" w:hAnsi="Times New Roman" w:eastAsia="仿宋_GB2312" w:cs="Times New Roman"/>
          <w:sz w:val="32"/>
          <w:szCs w:val="32"/>
          <w:lang w:val="en-US" w:eastAsia="zh-CN"/>
        </w:rPr>
        <w:t>分，评价等级为优秀。在投入和过程管理方面表现较好，立项规范，预算编制较为合理，经费管理制度健全且执行基本到位，资金使用合规性较高。教职工对人事处某些服务的满意度有待进一步提升。后续将针对评价结果提出改进建议，持续优化经费管理和使用效益。</w:t>
      </w:r>
    </w:p>
    <w:p>
      <w:pPr>
        <w:pageBreakBefore w:val="0"/>
        <w:numPr>
          <w:ilvl w:val="0"/>
          <w:numId w:val="2"/>
        </w:numPr>
        <w:kinsoku/>
        <w:wordWrap/>
        <w:overflowPunct/>
        <w:topLinePunct w:val="0"/>
        <w:autoSpaceDE/>
        <w:autoSpaceDN/>
        <w:bidi w:val="0"/>
        <w:adjustRightInd/>
        <w:snapToGrid/>
        <w:spacing w:line="560" w:lineRule="exact"/>
        <w:ind w:firstLine="600" w:firstLineChars="200"/>
        <w:textAlignment w:val="auto"/>
        <w:rPr>
          <w:rFonts w:hint="eastAsia" w:ascii="黑体" w:hAnsi="黑体" w:eastAsia="黑体" w:cs="Times New Roman"/>
        </w:rPr>
      </w:pPr>
      <w:r>
        <w:rPr>
          <w:rFonts w:hint="eastAsia" w:ascii="黑体" w:hAnsi="黑体" w:eastAsia="黑体" w:cs="Times New Roman"/>
        </w:rPr>
        <w:t>绩效评价指标分析</w:t>
      </w:r>
    </w:p>
    <w:p>
      <w:pPr>
        <w:pageBreakBefore w:val="0"/>
        <w:kinsoku/>
        <w:wordWrap/>
        <w:overflowPunct/>
        <w:topLinePunct w:val="0"/>
        <w:autoSpaceDE/>
        <w:autoSpaceDN/>
        <w:bidi w:val="0"/>
        <w:adjustRightInd/>
        <w:snapToGrid/>
        <w:spacing w:line="560" w:lineRule="exact"/>
        <w:ind w:firstLine="627" w:firstLineChars="200"/>
        <w:textAlignment w:val="auto"/>
        <w:rPr>
          <w:rStyle w:val="11"/>
          <w:rFonts w:hint="eastAsia" w:ascii="楷体" w:hAnsi="楷体" w:eastAsia="楷体" w:cstheme="minorBidi"/>
          <w:spacing w:val="-4"/>
          <w:sz w:val="32"/>
          <w:szCs w:val="32"/>
          <w:lang w:val="en-US" w:eastAsia="zh-CN"/>
        </w:rPr>
      </w:pPr>
      <w:r>
        <w:rPr>
          <w:rStyle w:val="11"/>
          <w:rFonts w:hint="eastAsia" w:ascii="楷体" w:hAnsi="楷体" w:eastAsia="楷体" w:cstheme="minorBidi"/>
          <w:spacing w:val="-4"/>
          <w:sz w:val="32"/>
          <w:szCs w:val="32"/>
          <w:lang w:val="en-US" w:eastAsia="zh-CN"/>
        </w:rPr>
        <w:t>（一）项目决策情况</w:t>
      </w:r>
    </w:p>
    <w:p>
      <w:pPr>
        <w:pageBreakBefore w:val="0"/>
        <w:kinsoku/>
        <w:wordWrap/>
        <w:overflowPunct/>
        <w:topLinePunct w:val="0"/>
        <w:autoSpaceDE/>
        <w:autoSpaceDN/>
        <w:bidi w:val="0"/>
        <w:adjustRightInd/>
        <w:snapToGrid/>
        <w:spacing w:line="560" w:lineRule="exact"/>
        <w:ind w:firstLine="640" w:firstLineChars="200"/>
        <w:textAlignment w:val="auto"/>
        <w:outlineLvl w:val="0"/>
        <w:rPr>
          <w:color w:val="auto"/>
        </w:rPr>
      </w:pPr>
      <w:r>
        <w:rPr>
          <w:rFonts w:hint="eastAsia" w:ascii="仿宋_GB2312" w:hAnsi="仿宋_GB2312" w:eastAsia="仿宋_GB2312" w:cs="仿宋_GB2312"/>
          <w:color w:val="auto"/>
          <w:sz w:val="32"/>
          <w:szCs w:val="32"/>
        </w:rPr>
        <w:t>项目立项符合法律法规、相关政策及部门职责，能反映和考核项目立项依据情况，项目申请、设立过程符合相关要求，能反映和考核项目立项的规范情况，所设定的绩效目标依据充分，符合客观实际，能反映和考核项目绩效目标与项目实施的相符情况，依据绩效目标设定的绩效指标清晰、细化、可衡量，能反映和考核项目绩效目标的细化情况。</w:t>
      </w:r>
    </w:p>
    <w:p>
      <w:pPr>
        <w:pStyle w:val="2"/>
        <w:pageBreakBefore w:val="0"/>
        <w:numPr>
          <w:ilvl w:val="0"/>
          <w:numId w:val="0"/>
        </w:numPr>
        <w:kinsoku/>
        <w:wordWrap/>
        <w:overflowPunct/>
        <w:topLinePunct w:val="0"/>
        <w:autoSpaceDE/>
        <w:autoSpaceDN/>
        <w:bidi w:val="0"/>
        <w:adjustRightInd/>
        <w:snapToGrid/>
        <w:spacing w:line="560" w:lineRule="exact"/>
        <w:ind w:firstLine="627" w:firstLineChars="200"/>
        <w:jc w:val="both"/>
        <w:textAlignment w:val="auto"/>
        <w:rPr>
          <w:rFonts w:ascii="Times New Roman" w:hAnsi="Times New Roman" w:eastAsia="楷体_GB2312" w:cs="Times New Roman"/>
          <w:color w:val="auto"/>
        </w:rPr>
      </w:pPr>
      <w:r>
        <w:rPr>
          <w:rStyle w:val="11"/>
          <w:rFonts w:hint="eastAsia" w:ascii="楷体" w:hAnsi="楷体" w:eastAsia="楷体" w:cstheme="minorBidi"/>
          <w:b/>
          <w:bCs/>
          <w:spacing w:val="-4"/>
          <w:kern w:val="2"/>
          <w:sz w:val="32"/>
          <w:szCs w:val="32"/>
          <w:lang w:val="en-US" w:eastAsia="zh-CN" w:bidi="ar-SA"/>
        </w:rPr>
        <w:t>（二）项目过程情况</w:t>
      </w:r>
    </w:p>
    <w:p>
      <w:pPr>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项目严格按照预期绩效目标执行预算资金。项目资金使用符合相关的财务管理制度规定，能够反映和考核项目资金的规范运行情况；项目实施单位的财务和业务管理制度健全，能够反映和考核财务和业务管理制度对项目顺利实施的保障情况。</w:t>
      </w:r>
    </w:p>
    <w:p>
      <w:pPr>
        <w:pStyle w:val="2"/>
        <w:pageBreakBefore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ascii="Times New Roman" w:hAnsi="Times New Roman" w:eastAsia="楷体_GB2312"/>
          <w:color w:val="auto"/>
          <w:highlight w:val="none"/>
        </w:rPr>
      </w:pPr>
      <w:r>
        <w:rPr>
          <w:rFonts w:hint="eastAsia" w:ascii="Times New Roman" w:hAnsi="Times New Roman" w:eastAsia="楷体_GB2312"/>
          <w:color w:val="auto"/>
          <w:highlight w:val="none"/>
          <w:lang w:eastAsia="zh-CN"/>
        </w:rPr>
        <w:t>（</w:t>
      </w:r>
      <w:r>
        <w:rPr>
          <w:rFonts w:hint="eastAsia" w:ascii="Times New Roman" w:hAnsi="Times New Roman" w:eastAsia="楷体_GB2312"/>
          <w:color w:val="auto"/>
          <w:highlight w:val="none"/>
          <w:lang w:val="en-US" w:eastAsia="zh-CN"/>
        </w:rPr>
        <w:t>三）</w:t>
      </w:r>
      <w:r>
        <w:rPr>
          <w:rFonts w:ascii="Times New Roman" w:hAnsi="Times New Roman" w:eastAsia="楷体_GB2312"/>
          <w:color w:val="auto"/>
          <w:highlight w:val="none"/>
        </w:rPr>
        <w:t>项目产出</w:t>
      </w:r>
    </w:p>
    <w:p>
      <w:pPr>
        <w:pageBreakBefore w:val="0"/>
        <w:kinsoku/>
        <w:wordWrap/>
        <w:overflowPunct/>
        <w:topLinePunct w:val="0"/>
        <w:autoSpaceDE/>
        <w:autoSpaceDN/>
        <w:bidi w:val="0"/>
        <w:adjustRightInd/>
        <w:snapToGrid/>
        <w:spacing w:line="560" w:lineRule="exact"/>
        <w:ind w:firstLine="624" w:firstLineChars="200"/>
        <w:textAlignment w:val="auto"/>
        <w:rPr>
          <w:rFonts w:hint="default" w:eastAsia="宋体"/>
          <w:color w:val="auto"/>
          <w:highlight w:val="none"/>
          <w:lang w:val="en-US" w:eastAsia="zh-CN"/>
        </w:rPr>
      </w:pPr>
      <w:r>
        <w:rPr>
          <w:rStyle w:val="11"/>
          <w:rFonts w:eastAsia="仿宋"/>
          <w:b w:val="0"/>
          <w:color w:val="auto"/>
          <w:spacing w:val="-4"/>
          <w:sz w:val="32"/>
          <w:szCs w:val="32"/>
          <w:highlight w:val="none"/>
        </w:rPr>
        <w:t>数量指标方面：</w:t>
      </w:r>
      <w:r>
        <w:rPr>
          <w:rFonts w:hint="eastAsia" w:eastAsia="仿宋_GB2312"/>
          <w:color w:val="auto"/>
          <w:sz w:val="32"/>
          <w:szCs w:val="32"/>
          <w:highlight w:val="none"/>
          <w:lang w:val="en-US" w:eastAsia="zh-CN"/>
        </w:rPr>
        <w:t>一年发放12次补助。</w:t>
      </w:r>
    </w:p>
    <w:p>
      <w:pPr>
        <w:pageBreakBefore w:val="0"/>
        <w:kinsoku/>
        <w:wordWrap/>
        <w:overflowPunct/>
        <w:topLinePunct w:val="0"/>
        <w:autoSpaceDE/>
        <w:autoSpaceDN/>
        <w:bidi w:val="0"/>
        <w:adjustRightInd/>
        <w:snapToGrid/>
        <w:spacing w:line="560" w:lineRule="exact"/>
        <w:ind w:firstLine="640" w:firstLineChars="200"/>
        <w:textAlignment w:val="auto"/>
        <w:rPr>
          <w:rStyle w:val="11"/>
          <w:rFonts w:hint="default" w:eastAsia="仿宋"/>
          <w:b w:val="0"/>
          <w:color w:val="auto"/>
          <w:spacing w:val="-4"/>
          <w:sz w:val="32"/>
          <w:szCs w:val="32"/>
          <w:highlight w:val="yellow"/>
          <w:lang w:val="en-US" w:eastAsia="zh-CN"/>
        </w:rPr>
      </w:pPr>
      <w:r>
        <w:rPr>
          <w:rStyle w:val="12"/>
          <w:rFonts w:ascii="Times New Roman" w:hAnsi="Times New Roman" w:cs="Times New Roman"/>
          <w:color w:val="auto"/>
          <w:highlight w:val="none"/>
        </w:rPr>
        <w:t>质量指标方面：</w:t>
      </w:r>
      <w:r>
        <w:rPr>
          <w:rFonts w:hint="eastAsia" w:ascii="仿宋_GB2312" w:hAnsi="仿宋_GB2312" w:eastAsia="仿宋_GB2312" w:cs="仿宋_GB2312"/>
          <w:b w:val="0"/>
          <w:bCs w:val="0"/>
          <w:i w:val="0"/>
          <w:iCs w:val="0"/>
          <w:caps w:val="0"/>
          <w:color w:val="auto"/>
          <w:spacing w:val="0"/>
          <w:sz w:val="32"/>
          <w:szCs w:val="32"/>
          <w:highlight w:val="none"/>
          <w:lang w:val="en-US" w:eastAsia="zh-CN"/>
        </w:rPr>
        <w:t>薪资福利办公室设薪资福利管理A、B岗共同核发相关费用，且是经过处长审批后进行签发，费用核算准确率达100%。</w:t>
      </w:r>
    </w:p>
    <w:p>
      <w:pPr>
        <w:pageBreakBefore w:val="0"/>
        <w:kinsoku/>
        <w:wordWrap/>
        <w:overflowPunct/>
        <w:topLinePunct w:val="0"/>
        <w:autoSpaceDE/>
        <w:autoSpaceDN/>
        <w:bidi w:val="0"/>
        <w:adjustRightInd/>
        <w:snapToGrid/>
        <w:spacing w:line="560" w:lineRule="exact"/>
        <w:ind w:firstLine="640" w:firstLineChars="200"/>
        <w:textAlignment w:val="auto"/>
        <w:rPr>
          <w:color w:val="auto"/>
          <w:highlight w:val="yellow"/>
        </w:rPr>
      </w:pPr>
      <w:r>
        <w:rPr>
          <w:rStyle w:val="12"/>
          <w:rFonts w:ascii="Times New Roman" w:hAnsi="Times New Roman" w:cs="Times New Roman"/>
          <w:color w:val="auto"/>
          <w:highlight w:val="none"/>
        </w:rPr>
        <w:t>时效指标方面：</w:t>
      </w:r>
      <w:r>
        <w:rPr>
          <w:rStyle w:val="11"/>
          <w:rFonts w:hint="eastAsia" w:eastAsia="仿宋"/>
          <w:b w:val="0"/>
          <w:color w:val="auto"/>
          <w:spacing w:val="-4"/>
          <w:sz w:val="32"/>
          <w:szCs w:val="32"/>
          <w:highlight w:val="none"/>
        </w:rPr>
        <w:t>资金发放及时性1</w:t>
      </w:r>
      <w:r>
        <w:rPr>
          <w:rStyle w:val="11"/>
          <w:rFonts w:eastAsia="仿宋"/>
          <w:b w:val="0"/>
          <w:color w:val="auto"/>
          <w:spacing w:val="-4"/>
          <w:sz w:val="32"/>
          <w:szCs w:val="32"/>
          <w:highlight w:val="none"/>
        </w:rPr>
        <w:t>00%</w:t>
      </w:r>
      <w:r>
        <w:rPr>
          <w:rStyle w:val="11"/>
          <w:rFonts w:hint="eastAsia" w:eastAsia="仿宋"/>
          <w:b w:val="0"/>
          <w:color w:val="auto"/>
          <w:spacing w:val="-4"/>
          <w:sz w:val="32"/>
          <w:szCs w:val="32"/>
          <w:highlight w:val="none"/>
        </w:rPr>
        <w:t>，配备人员及时性1</w:t>
      </w:r>
      <w:r>
        <w:rPr>
          <w:rStyle w:val="11"/>
          <w:rFonts w:eastAsia="仿宋"/>
          <w:b w:val="0"/>
          <w:color w:val="auto"/>
          <w:spacing w:val="-4"/>
          <w:sz w:val="32"/>
          <w:szCs w:val="32"/>
          <w:highlight w:val="none"/>
        </w:rPr>
        <w:t>00%</w:t>
      </w:r>
      <w:r>
        <w:rPr>
          <w:rStyle w:val="11"/>
          <w:rFonts w:hint="eastAsia" w:eastAsia="仿宋"/>
          <w:b w:val="0"/>
          <w:color w:val="auto"/>
          <w:spacing w:val="-4"/>
          <w:sz w:val="32"/>
          <w:szCs w:val="32"/>
          <w:highlight w:val="none"/>
        </w:rPr>
        <w:t>。</w:t>
      </w:r>
    </w:p>
    <w:p>
      <w:pPr>
        <w:pStyle w:val="2"/>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default" w:ascii="仿宋_GB2312" w:hAnsi="仿宋_GB2312" w:eastAsia="仿宋_GB2312" w:cs="仿宋_GB2312"/>
          <w:i w:val="0"/>
          <w:iCs w:val="0"/>
          <w:caps w:val="0"/>
          <w:color w:val="auto"/>
          <w:spacing w:val="0"/>
          <w:sz w:val="32"/>
          <w:szCs w:val="32"/>
          <w:highlight w:val="none"/>
          <w:lang w:val="en-US" w:eastAsia="zh-CN"/>
        </w:rPr>
      </w:pPr>
      <w:r>
        <w:rPr>
          <w:rStyle w:val="12"/>
          <w:rFonts w:ascii="Times New Roman" w:hAnsi="Times New Roman" w:cs="Times New Roman"/>
          <w:b w:val="0"/>
          <w:bCs w:val="0"/>
          <w:color w:val="auto"/>
          <w:highlight w:val="none"/>
        </w:rPr>
        <w:t>成本指标方面：</w:t>
      </w:r>
      <w:r>
        <w:rPr>
          <w:rFonts w:hint="eastAsia" w:ascii="仿宋_GB2312" w:hAnsi="仿宋_GB2312" w:eastAsia="仿宋_GB2312" w:cs="仿宋_GB2312"/>
          <w:b w:val="0"/>
          <w:bCs w:val="0"/>
          <w:i w:val="0"/>
          <w:iCs w:val="0"/>
          <w:caps w:val="0"/>
          <w:color w:val="auto"/>
          <w:spacing w:val="0"/>
          <w:sz w:val="32"/>
          <w:szCs w:val="32"/>
          <w:highlight w:val="none"/>
          <w:lang w:val="en-US" w:eastAsia="zh-CN"/>
        </w:rPr>
        <w:t>支付聘用人员费用</w:t>
      </w:r>
      <w:r>
        <w:rPr>
          <w:rFonts w:hint="eastAsia" w:ascii="仿宋_GB2312" w:hAnsi="仿宋_GB2312" w:cs="仿宋_GB2312"/>
          <w:b w:val="0"/>
          <w:bCs w:val="0"/>
          <w:i w:val="0"/>
          <w:iCs w:val="0"/>
          <w:caps w:val="0"/>
          <w:color w:val="auto"/>
          <w:spacing w:val="0"/>
          <w:sz w:val="32"/>
          <w:szCs w:val="32"/>
          <w:highlight w:val="none"/>
          <w:lang w:val="en-US" w:eastAsia="zh-CN"/>
        </w:rPr>
        <w:t>、返聘及兼职教师经费、教职工福利补助经费、其他费用共计721万元</w:t>
      </w:r>
      <w:r>
        <w:rPr>
          <w:rFonts w:hint="eastAsia" w:ascii="仿宋_GB2312" w:hAnsi="仿宋_GB2312" w:eastAsia="仿宋_GB2312" w:cs="仿宋_GB2312"/>
          <w:b w:val="0"/>
          <w:bCs w:val="0"/>
          <w:i w:val="0"/>
          <w:iCs w:val="0"/>
          <w:caps w:val="0"/>
          <w:color w:val="auto"/>
          <w:spacing w:val="0"/>
          <w:sz w:val="32"/>
          <w:szCs w:val="32"/>
          <w:highlight w:val="none"/>
          <w:lang w:val="en-US" w:eastAsia="zh-CN"/>
        </w:rPr>
        <w:t>。</w:t>
      </w:r>
    </w:p>
    <w:p>
      <w:pPr>
        <w:pStyle w:val="2"/>
        <w:pageBreakBefore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Times New Roman" w:hAnsi="Times New Roman" w:eastAsia="楷体_GB2312" w:cs="Times New Roman"/>
          <w:color w:val="auto"/>
          <w:highlight w:val="none"/>
          <w:lang w:val="en-US" w:eastAsia="zh-CN"/>
        </w:rPr>
      </w:pPr>
      <w:r>
        <w:rPr>
          <w:rFonts w:hint="eastAsia" w:ascii="Times New Roman" w:hAnsi="Times New Roman" w:eastAsia="楷体_GB2312" w:cs="Times New Roman"/>
          <w:color w:val="auto"/>
          <w:highlight w:val="none"/>
          <w:lang w:val="en-US" w:eastAsia="zh-CN"/>
        </w:rPr>
        <w:t>（四）质量情况</w:t>
      </w:r>
    </w:p>
    <w:p>
      <w:pPr>
        <w:pageBreakBefore w:val="0"/>
        <w:kinsoku/>
        <w:wordWrap/>
        <w:overflowPunct/>
        <w:topLinePunct w:val="0"/>
        <w:autoSpaceDE/>
        <w:autoSpaceDN/>
        <w:bidi w:val="0"/>
        <w:adjustRightInd/>
        <w:snapToGrid/>
        <w:spacing w:line="560" w:lineRule="exact"/>
        <w:ind w:firstLine="640" w:firstLineChars="200"/>
        <w:textAlignment w:val="auto"/>
        <w:rPr>
          <w:rStyle w:val="11"/>
          <w:rFonts w:hint="default" w:ascii="仿宋_GB2312" w:hAnsi="仿宋_GB2312" w:eastAsia="仿宋_GB2312" w:cs="仿宋_GB2312"/>
          <w:b w:val="0"/>
          <w:color w:val="auto"/>
          <w:spacing w:val="-4"/>
          <w:sz w:val="32"/>
          <w:szCs w:val="32"/>
          <w:highlight w:val="yellow"/>
          <w:lang w:val="en-US" w:eastAsia="zh-CN"/>
        </w:rPr>
      </w:pPr>
      <w:r>
        <w:rPr>
          <w:rStyle w:val="12"/>
          <w:rFonts w:hint="eastAsia" w:ascii="仿宋_GB2312" w:hAnsi="仿宋_GB2312" w:cs="仿宋_GB2312"/>
          <w:color w:val="auto"/>
          <w:highlight w:val="none"/>
          <w:lang w:val="en-US" w:eastAsia="zh-CN"/>
        </w:rPr>
        <w:t>时效</w:t>
      </w:r>
      <w:r>
        <w:rPr>
          <w:rStyle w:val="12"/>
          <w:rFonts w:hint="eastAsia" w:ascii="仿宋_GB2312" w:hAnsi="仿宋_GB2312" w:eastAsia="仿宋_GB2312" w:cs="仿宋_GB2312"/>
          <w:color w:val="auto"/>
          <w:highlight w:val="none"/>
        </w:rPr>
        <w:t>指标方面：</w:t>
      </w:r>
      <w:r>
        <w:rPr>
          <w:rFonts w:hint="eastAsia" w:ascii="仿宋_GB2312" w:hAnsi="仿宋_GB2312" w:eastAsia="仿宋_GB2312" w:cs="仿宋_GB2312"/>
          <w:bCs/>
          <w:color w:val="auto"/>
          <w:sz w:val="32"/>
          <w:szCs w:val="32"/>
          <w:lang w:val="en-US" w:eastAsia="zh-CN"/>
        </w:rPr>
        <w:t>保障了学院正常运行、完成教育教学活动和其他工作任务，</w:t>
      </w:r>
      <w:r>
        <w:rPr>
          <w:rFonts w:hint="eastAsia" w:ascii="仿宋_GB2312" w:hAnsi="仿宋_GB2312" w:eastAsia="仿宋_GB2312" w:cs="仿宋_GB2312"/>
          <w:b w:val="0"/>
          <w:bCs w:val="0"/>
          <w:color w:val="auto"/>
          <w:kern w:val="2"/>
          <w:sz w:val="32"/>
          <w:szCs w:val="32"/>
          <w:lang w:val="en-US" w:eastAsia="zh-CN" w:bidi="ar-SA"/>
        </w:rPr>
        <w:t>按时规范发放各项经费，改善教职工生活质量，提升其满意度，增强广大教职工的获得感、幸福感和归属感。</w:t>
      </w:r>
    </w:p>
    <w:p>
      <w:pPr>
        <w:pageBreakBefore w:val="0"/>
        <w:kinsoku/>
        <w:wordWrap/>
        <w:overflowPunct/>
        <w:topLinePunct w:val="0"/>
        <w:autoSpaceDE/>
        <w:autoSpaceDN/>
        <w:bidi w:val="0"/>
        <w:adjustRightInd/>
        <w:snapToGrid/>
        <w:spacing w:line="560" w:lineRule="exact"/>
        <w:ind w:firstLine="640" w:firstLineChars="200"/>
        <w:textAlignment w:val="auto"/>
        <w:rPr>
          <w:rStyle w:val="11"/>
          <w:rFonts w:hint="eastAsia" w:ascii="仿宋_GB2312" w:hAnsi="仿宋_GB2312" w:eastAsia="仿宋_GB2312" w:cs="仿宋_GB2312"/>
          <w:b w:val="0"/>
          <w:color w:val="auto"/>
          <w:spacing w:val="-4"/>
          <w:sz w:val="32"/>
          <w:szCs w:val="32"/>
          <w:highlight w:val="none"/>
        </w:rPr>
      </w:pPr>
      <w:r>
        <w:rPr>
          <w:rStyle w:val="12"/>
          <w:rFonts w:hint="eastAsia" w:ascii="仿宋_GB2312" w:hAnsi="仿宋_GB2312" w:cs="仿宋_GB2312"/>
          <w:color w:val="auto"/>
          <w:highlight w:val="none"/>
          <w:lang w:val="en-US" w:eastAsia="zh-CN"/>
        </w:rPr>
        <w:t>时效</w:t>
      </w:r>
      <w:r>
        <w:rPr>
          <w:rStyle w:val="12"/>
          <w:rFonts w:hint="eastAsia" w:ascii="仿宋_GB2312" w:hAnsi="仿宋_GB2312" w:eastAsia="仿宋_GB2312" w:cs="仿宋_GB2312"/>
          <w:color w:val="auto"/>
          <w:highlight w:val="none"/>
        </w:rPr>
        <w:t>指标方面：</w:t>
      </w:r>
      <w:r>
        <w:rPr>
          <w:rStyle w:val="11"/>
          <w:rFonts w:hint="eastAsia" w:ascii="仿宋_GB2312" w:hAnsi="仿宋_GB2312" w:eastAsia="仿宋_GB2312" w:cs="仿宋_GB2312"/>
          <w:b w:val="0"/>
          <w:color w:val="auto"/>
          <w:spacing w:val="-4"/>
          <w:sz w:val="32"/>
          <w:szCs w:val="32"/>
          <w:highlight w:val="none"/>
          <w:lang w:val="en-US" w:eastAsia="zh-CN"/>
        </w:rPr>
        <w:t>教职工</w:t>
      </w:r>
      <w:r>
        <w:rPr>
          <w:rStyle w:val="11"/>
          <w:rFonts w:hint="eastAsia" w:ascii="仿宋_GB2312" w:hAnsi="仿宋_GB2312" w:eastAsia="仿宋_GB2312" w:cs="仿宋_GB2312"/>
          <w:b w:val="0"/>
          <w:color w:val="auto"/>
          <w:spacing w:val="-4"/>
          <w:sz w:val="32"/>
          <w:szCs w:val="32"/>
          <w:highlight w:val="none"/>
        </w:rPr>
        <w:t>满意度</w:t>
      </w:r>
      <w:r>
        <w:rPr>
          <w:rStyle w:val="11"/>
          <w:rFonts w:hint="eastAsia" w:ascii="仿宋_GB2312" w:hAnsi="仿宋_GB2312" w:cs="仿宋_GB2312"/>
          <w:b w:val="0"/>
          <w:color w:val="auto"/>
          <w:spacing w:val="-4"/>
          <w:sz w:val="32"/>
          <w:szCs w:val="32"/>
          <w:highlight w:val="none"/>
          <w:lang w:val="en-US" w:eastAsia="zh-CN"/>
        </w:rPr>
        <w:t>100</w:t>
      </w:r>
      <w:r>
        <w:rPr>
          <w:rStyle w:val="11"/>
          <w:rFonts w:hint="eastAsia" w:ascii="仿宋_GB2312" w:hAnsi="仿宋_GB2312" w:eastAsia="仿宋_GB2312" w:cs="仿宋_GB2312"/>
          <w:b w:val="0"/>
          <w:color w:val="auto"/>
          <w:spacing w:val="-4"/>
          <w:sz w:val="32"/>
          <w:szCs w:val="32"/>
          <w:highlight w:val="none"/>
        </w:rPr>
        <w:t>%。</w:t>
      </w:r>
    </w:p>
    <w:p>
      <w:pPr>
        <w:pageBreakBefore w:val="0"/>
        <w:kinsoku/>
        <w:wordWrap/>
        <w:overflowPunct/>
        <w:topLinePunct w:val="0"/>
        <w:autoSpaceDE/>
        <w:autoSpaceDN/>
        <w:bidi w:val="0"/>
        <w:adjustRightInd/>
        <w:snapToGrid/>
        <w:spacing w:line="560" w:lineRule="exact"/>
        <w:ind w:firstLine="640" w:firstLineChars="200"/>
        <w:textAlignment w:val="auto"/>
        <w:rPr>
          <w:rStyle w:val="12"/>
          <w:rFonts w:ascii="Times New Roman" w:hAnsi="Times New Roman" w:cs="Times New Roman"/>
          <w:color w:val="auto"/>
        </w:rPr>
      </w:pPr>
      <w:r>
        <w:rPr>
          <w:rFonts w:eastAsia="黑体"/>
          <w:color w:val="auto"/>
          <w:sz w:val="32"/>
          <w:szCs w:val="32"/>
        </w:rPr>
        <w:t>五、主要经验及做法、存在的问题及原因分析</w:t>
      </w:r>
    </w:p>
    <w:p>
      <w:pPr>
        <w:pageBreakBefore w:val="0"/>
        <w:kinsoku/>
        <w:wordWrap/>
        <w:overflowPunct/>
        <w:topLinePunct w:val="0"/>
        <w:autoSpaceDE/>
        <w:autoSpaceDN/>
        <w:bidi w:val="0"/>
        <w:adjustRightInd/>
        <w:snapToGrid/>
        <w:spacing w:line="560" w:lineRule="exact"/>
        <w:ind w:firstLine="627" w:firstLineChars="200"/>
        <w:textAlignment w:val="auto"/>
        <w:rPr>
          <w:rFonts w:eastAsia="楷体"/>
          <w:b/>
          <w:color w:val="auto"/>
          <w:spacing w:val="-4"/>
          <w:sz w:val="32"/>
          <w:szCs w:val="32"/>
        </w:rPr>
      </w:pPr>
      <w:r>
        <w:rPr>
          <w:rFonts w:eastAsia="楷体"/>
          <w:b/>
          <w:color w:val="auto"/>
          <w:spacing w:val="-4"/>
          <w:sz w:val="32"/>
          <w:szCs w:val="32"/>
        </w:rPr>
        <w:t>（一）主要经验及做法</w:t>
      </w:r>
    </w:p>
    <w:p>
      <w:pPr>
        <w:pageBreakBefore w:val="0"/>
        <w:kinsoku/>
        <w:wordWrap/>
        <w:overflowPunct/>
        <w:topLinePunct w:val="0"/>
        <w:autoSpaceDE/>
        <w:autoSpaceDN/>
        <w:bidi w:val="0"/>
        <w:adjustRightInd/>
        <w:snapToGrid/>
        <w:spacing w:line="560" w:lineRule="exact"/>
        <w:ind w:firstLine="640" w:firstLineChars="200"/>
        <w:textAlignment w:val="auto"/>
        <w:rPr>
          <w:rFonts w:eastAsia="仿宋_GB2312"/>
          <w:color w:val="auto"/>
          <w:sz w:val="32"/>
          <w:szCs w:val="32"/>
        </w:rPr>
      </w:pPr>
      <w:r>
        <w:rPr>
          <w:rFonts w:eastAsia="仿宋_GB2312"/>
          <w:color w:val="auto"/>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2"/>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ascii="Times New Roman" w:hAnsi="Times New Roman" w:eastAsia="仿宋_GB2312"/>
          <w:b w:val="0"/>
          <w:bCs w:val="0"/>
          <w:color w:val="auto"/>
          <w:kern w:val="2"/>
        </w:rPr>
      </w:pPr>
      <w:r>
        <w:rPr>
          <w:rFonts w:ascii="Times New Roman" w:hAnsi="Times New Roman" w:eastAsia="仿宋_GB2312"/>
          <w:b w:val="0"/>
          <w:bCs w:val="0"/>
          <w:color w:val="auto"/>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pageBreakBefore w:val="0"/>
        <w:numPr>
          <w:ilvl w:val="0"/>
          <w:numId w:val="3"/>
        </w:numPr>
        <w:kinsoku/>
        <w:wordWrap/>
        <w:overflowPunct/>
        <w:topLinePunct w:val="0"/>
        <w:autoSpaceDE/>
        <w:autoSpaceDN/>
        <w:bidi w:val="0"/>
        <w:adjustRightInd/>
        <w:snapToGrid/>
        <w:spacing w:line="560" w:lineRule="exact"/>
        <w:ind w:firstLine="643" w:firstLineChars="200"/>
        <w:textAlignment w:val="auto"/>
        <w:rPr>
          <w:rFonts w:eastAsia="楷体_GB2312"/>
          <w:b/>
          <w:bCs/>
          <w:color w:val="auto"/>
          <w:sz w:val="32"/>
          <w:szCs w:val="32"/>
        </w:rPr>
      </w:pPr>
      <w:r>
        <w:rPr>
          <w:rFonts w:eastAsia="楷体_GB2312"/>
          <w:b/>
          <w:bCs/>
          <w:color w:val="auto"/>
          <w:sz w:val="32"/>
          <w:szCs w:val="32"/>
        </w:rPr>
        <w:t>存在的问题及原因分析</w:t>
      </w:r>
    </w:p>
    <w:p>
      <w:pPr>
        <w:pStyle w:val="2"/>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ascii="Times New Roman" w:hAnsi="Times New Roman" w:eastAsia="仿宋_GB2312"/>
          <w:b w:val="0"/>
          <w:bCs w:val="0"/>
          <w:color w:val="auto"/>
          <w:kern w:val="2"/>
        </w:rPr>
      </w:pPr>
      <w:r>
        <w:rPr>
          <w:rFonts w:ascii="Times New Roman" w:hAnsi="Times New Roman" w:eastAsia="仿宋_GB2312"/>
          <w:b w:val="0"/>
          <w:bCs w:val="0"/>
          <w:color w:val="auto"/>
          <w:kern w:val="2"/>
        </w:rPr>
        <w:t>存在的问题</w:t>
      </w:r>
      <w:r>
        <w:rPr>
          <w:rFonts w:hint="eastAsia" w:ascii="Times New Roman" w:hAnsi="Times New Roman" w:eastAsia="仿宋_GB2312"/>
          <w:b w:val="0"/>
          <w:bCs w:val="0"/>
          <w:color w:val="auto"/>
          <w:kern w:val="2"/>
        </w:rPr>
        <w:t>及</w:t>
      </w:r>
      <w:r>
        <w:rPr>
          <w:rFonts w:ascii="Times New Roman" w:hAnsi="Times New Roman" w:eastAsia="仿宋_GB2312"/>
          <w:b w:val="0"/>
          <w:bCs w:val="0"/>
          <w:color w:val="auto"/>
          <w:kern w:val="2"/>
        </w:rPr>
        <w:t>原因分析</w:t>
      </w:r>
      <w:r>
        <w:rPr>
          <w:rFonts w:hint="eastAsia" w:ascii="Times New Roman" w:hAnsi="Times New Roman" w:eastAsia="仿宋_GB2312"/>
          <w:b w:val="0"/>
          <w:bCs w:val="0"/>
          <w:color w:val="auto"/>
          <w:kern w:val="2"/>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1</w:t>
      </w:r>
      <w:r>
        <w:rPr>
          <w:rFonts w:ascii="Times New Roman" w:hAnsi="Times New Roman" w:eastAsia="仿宋_GB2312" w:cs="Times New Roman"/>
          <w:b w:val="0"/>
          <w:bCs w:val="0"/>
          <w:color w:val="auto"/>
          <w:kern w:val="2"/>
          <w:sz w:val="32"/>
          <w:szCs w:val="32"/>
          <w:lang w:val="en-US" w:eastAsia="zh-CN" w:bidi="ar-SA"/>
        </w:rPr>
        <w:t>.</w:t>
      </w:r>
      <w:r>
        <w:rPr>
          <w:rFonts w:hint="eastAsia" w:ascii="Times New Roman" w:hAnsi="Times New Roman" w:eastAsia="仿宋_GB2312" w:cs="Times New Roman"/>
          <w:b w:val="0"/>
          <w:bCs w:val="0"/>
          <w:color w:val="auto"/>
          <w:kern w:val="2"/>
          <w:sz w:val="32"/>
          <w:szCs w:val="32"/>
          <w:lang w:val="en-US" w:eastAsia="zh-CN" w:bidi="ar-SA"/>
        </w:rPr>
        <w:t>返聘教师经费支出不好，主要原因是未按计划安排部分返聘教师课程。</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eastAsia="仿宋_GB2312" w:cs="Times New Roman"/>
          <w:b w:val="0"/>
          <w:bCs w:val="0"/>
          <w:color w:val="auto"/>
          <w:kern w:val="2"/>
          <w:sz w:val="32"/>
          <w:szCs w:val="32"/>
          <w:lang w:val="en-US" w:eastAsia="zh-CN" w:bidi="ar-SA"/>
        </w:rPr>
      </w:pPr>
      <w:r>
        <w:rPr>
          <w:rFonts w:hint="eastAsia" w:cs="Times New Roman"/>
          <w:b w:val="0"/>
          <w:bCs w:val="0"/>
          <w:color w:val="auto"/>
          <w:kern w:val="2"/>
          <w:sz w:val="32"/>
          <w:szCs w:val="32"/>
          <w:lang w:val="en-US" w:eastAsia="zh-CN" w:bidi="ar-SA"/>
        </w:rPr>
        <w:t>2</w:t>
      </w:r>
      <w:r>
        <w:rPr>
          <w:rFonts w:hint="eastAsia" w:eastAsia="仿宋_GB2312" w:cs="Times New Roman"/>
          <w:b w:val="0"/>
          <w:bCs w:val="0"/>
          <w:color w:val="auto"/>
          <w:kern w:val="2"/>
          <w:sz w:val="32"/>
          <w:szCs w:val="32"/>
          <w:lang w:val="en-US" w:eastAsia="zh-CN" w:bidi="ar-SA"/>
        </w:rPr>
        <w:t>.福利补助项目经费</w:t>
      </w:r>
      <w:r>
        <w:rPr>
          <w:rFonts w:hint="eastAsia" w:ascii="Times New Roman" w:hAnsi="Times New Roman" w:eastAsia="仿宋_GB2312" w:cs="Times New Roman"/>
          <w:b w:val="0"/>
          <w:bCs w:val="0"/>
          <w:color w:val="auto"/>
          <w:kern w:val="2"/>
          <w:sz w:val="32"/>
          <w:szCs w:val="32"/>
          <w:lang w:val="en-US" w:eastAsia="zh-CN" w:bidi="ar-SA"/>
        </w:rPr>
        <w:t>支出不好，</w:t>
      </w:r>
      <w:r>
        <w:rPr>
          <w:rFonts w:hint="eastAsia" w:eastAsia="仿宋_GB2312" w:cs="Times New Roman"/>
          <w:b w:val="0"/>
          <w:bCs w:val="0"/>
          <w:color w:val="auto"/>
          <w:kern w:val="2"/>
          <w:sz w:val="32"/>
          <w:szCs w:val="32"/>
          <w:lang w:val="en-US" w:eastAsia="zh-CN" w:bidi="ar-SA"/>
        </w:rPr>
        <w:t>主要是丧葬抚恤金、丧葬费</w:t>
      </w:r>
      <w:r>
        <w:rPr>
          <w:rFonts w:hint="eastAsia" w:cs="Times New Roman"/>
          <w:b w:val="0"/>
          <w:bCs w:val="0"/>
          <w:color w:val="auto"/>
          <w:kern w:val="2"/>
          <w:sz w:val="32"/>
          <w:szCs w:val="32"/>
          <w:lang w:val="en-US" w:eastAsia="zh-CN" w:bidi="ar-SA"/>
        </w:rPr>
        <w:t>探亲费</w:t>
      </w:r>
      <w:r>
        <w:rPr>
          <w:rFonts w:hint="eastAsia" w:eastAsia="仿宋_GB2312" w:cs="Times New Roman"/>
          <w:b w:val="0"/>
          <w:bCs w:val="0"/>
          <w:color w:val="auto"/>
          <w:kern w:val="2"/>
          <w:sz w:val="32"/>
          <w:szCs w:val="32"/>
          <w:lang w:val="en-US" w:eastAsia="zh-CN" w:bidi="ar-SA"/>
        </w:rPr>
        <w:t>预算不够准确。</w:t>
      </w:r>
    </w:p>
    <w:p>
      <w:pPr>
        <w:pageBreakBefore w:val="0"/>
        <w:numPr>
          <w:ilvl w:val="0"/>
          <w:numId w:val="4"/>
        </w:numPr>
        <w:kinsoku/>
        <w:wordWrap/>
        <w:overflowPunct/>
        <w:topLinePunct w:val="0"/>
        <w:autoSpaceDE/>
        <w:autoSpaceDN/>
        <w:bidi w:val="0"/>
        <w:adjustRightInd/>
        <w:snapToGrid/>
        <w:spacing w:line="560" w:lineRule="exact"/>
        <w:ind w:firstLine="640" w:firstLineChars="200"/>
        <w:textAlignment w:val="auto"/>
        <w:rPr>
          <w:rFonts w:eastAsia="黑体"/>
          <w:color w:val="auto"/>
          <w:sz w:val="32"/>
          <w:szCs w:val="32"/>
        </w:rPr>
      </w:pPr>
      <w:r>
        <w:rPr>
          <w:rFonts w:eastAsia="黑体"/>
          <w:color w:val="auto"/>
          <w:sz w:val="32"/>
          <w:szCs w:val="32"/>
        </w:rPr>
        <w:t>有关建议</w:t>
      </w:r>
    </w:p>
    <w:p>
      <w:pPr>
        <w:pageBreakBefore w:val="0"/>
        <w:kinsoku/>
        <w:wordWrap/>
        <w:overflowPunct/>
        <w:topLinePunct w:val="0"/>
        <w:autoSpaceDE/>
        <w:autoSpaceDN/>
        <w:bidi w:val="0"/>
        <w:adjustRightInd/>
        <w:snapToGrid/>
        <w:spacing w:line="560" w:lineRule="exact"/>
        <w:ind w:firstLine="640" w:firstLineChars="200"/>
        <w:textAlignment w:val="auto"/>
        <w:rPr>
          <w:color w:val="auto"/>
        </w:rPr>
      </w:pPr>
      <w:r>
        <w:rPr>
          <w:rFonts w:hint="eastAsia" w:ascii="仿宋_GB2312" w:hAnsi="仿宋_GB2312" w:eastAsia="仿宋_GB2312" w:cs="仿宋_GB2312"/>
          <w:color w:val="auto"/>
          <w:sz w:val="32"/>
          <w:szCs w:val="28"/>
        </w:rPr>
        <w:t>进一步加强对绩效管理工作的组织领导，提高对预算绩效管理工作重要性的认识，总结经验查找问题，抓紧研究制定更全面更完善的绩效评价管理办法。结合</w:t>
      </w:r>
      <w:r>
        <w:rPr>
          <w:rFonts w:hint="eastAsia" w:ascii="仿宋_GB2312" w:hAnsi="仿宋_GB2312" w:eastAsia="仿宋_GB2312" w:cs="仿宋_GB2312"/>
          <w:color w:val="auto"/>
          <w:sz w:val="32"/>
          <w:szCs w:val="28"/>
          <w:lang w:val="en-US" w:eastAsia="zh-CN"/>
        </w:rPr>
        <w:t>人事管理</w:t>
      </w:r>
      <w:r>
        <w:rPr>
          <w:rFonts w:hint="eastAsia" w:ascii="仿宋_GB2312" w:hAnsi="仿宋_GB2312" w:eastAsia="仿宋_GB2312" w:cs="仿宋_GB2312"/>
          <w:color w:val="auto"/>
          <w:sz w:val="32"/>
          <w:szCs w:val="28"/>
        </w:rPr>
        <w:t>建立绩效工作考核制度，加大全局对全面实施预算绩效管理和绩效管理工作的学习力度，让“花钱必问效，无效必问责”的理念深入工作每个环节。</w:t>
      </w:r>
    </w:p>
    <w:p>
      <w:pPr>
        <w:pageBreakBefore w:val="0"/>
        <w:numPr>
          <w:ilvl w:val="0"/>
          <w:numId w:val="4"/>
        </w:numPr>
        <w:kinsoku/>
        <w:wordWrap/>
        <w:overflowPunct/>
        <w:topLinePunct w:val="0"/>
        <w:autoSpaceDE/>
        <w:autoSpaceDN/>
        <w:bidi w:val="0"/>
        <w:adjustRightInd/>
        <w:snapToGrid/>
        <w:spacing w:line="560" w:lineRule="exact"/>
        <w:ind w:firstLine="640" w:firstLineChars="200"/>
        <w:textAlignment w:val="auto"/>
        <w:rPr>
          <w:rFonts w:eastAsia="黑体"/>
          <w:color w:val="auto"/>
          <w:sz w:val="32"/>
          <w:szCs w:val="32"/>
        </w:rPr>
      </w:pPr>
      <w:r>
        <w:rPr>
          <w:rFonts w:eastAsia="黑体"/>
          <w:color w:val="auto"/>
          <w:sz w:val="32"/>
          <w:szCs w:val="32"/>
        </w:rPr>
        <w:t>其他需要说</w:t>
      </w:r>
      <w:bookmarkStart w:id="0" w:name="page8"/>
      <w:bookmarkEnd w:id="0"/>
      <w:r>
        <w:rPr>
          <w:rFonts w:eastAsia="黑体"/>
          <w:color w:val="auto"/>
          <w:sz w:val="32"/>
          <w:szCs w:val="32"/>
        </w:rPr>
        <w:t>明的问题</w:t>
      </w:r>
    </w:p>
    <w:p>
      <w:pPr>
        <w:pStyle w:val="8"/>
        <w:pageBreakBefore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无</w:t>
      </w:r>
      <w:r>
        <w:rPr>
          <w:rFonts w:hint="eastAsia" w:ascii="仿宋_GB2312" w:hAnsi="仿宋_GB2312" w:cs="仿宋_GB2312"/>
          <w:color w:val="auto"/>
          <w:sz w:val="32"/>
          <w:szCs w:val="32"/>
          <w:lang w:eastAsia="zh-CN"/>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sz w:val="32"/>
          <w:szCs w:val="32"/>
        </w:rPr>
      </w:pPr>
    </w:p>
    <w:sectPr>
      <w:pgSz w:w="11906" w:h="16838"/>
      <w:pgMar w:top="1440" w:right="1800" w:bottom="1440" w:left="1800"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auto"/>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script"/>
    <w:pitch w:val="default"/>
    <w:sig w:usb0="A00002BF" w:usb1="38CF7CFA" w:usb2="00082016"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3D2FA9"/>
    <w:multiLevelType w:val="singleLevel"/>
    <w:tmpl w:val="9D3D2FA9"/>
    <w:lvl w:ilvl="0" w:tentative="0">
      <w:start w:val="6"/>
      <w:numFmt w:val="chineseCounting"/>
      <w:suff w:val="nothing"/>
      <w:lvlText w:val="%1、"/>
      <w:lvlJc w:val="left"/>
      <w:rPr>
        <w:rFonts w:hint="eastAsia"/>
      </w:rPr>
    </w:lvl>
  </w:abstractNum>
  <w:abstractNum w:abstractNumId="1">
    <w:nsid w:val="AC6AFD2C"/>
    <w:multiLevelType w:val="singleLevel"/>
    <w:tmpl w:val="AC6AFD2C"/>
    <w:lvl w:ilvl="0" w:tentative="0">
      <w:start w:val="1"/>
      <w:numFmt w:val="chineseCounting"/>
      <w:suff w:val="nothing"/>
      <w:lvlText w:val="%1、"/>
      <w:lvlJc w:val="left"/>
      <w:rPr>
        <w:rFonts w:hint="eastAsia"/>
      </w:rPr>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24D310BC"/>
    <w:multiLevelType w:val="singleLevel"/>
    <w:tmpl w:val="24D310BC"/>
    <w:lvl w:ilvl="0" w:tentative="0">
      <w:start w:val="4"/>
      <w:numFmt w:val="chineseCounting"/>
      <w:suff w:val="nothing"/>
      <w:lvlText w:val="%1、"/>
      <w:lvlJc w:val="left"/>
      <w:rPr>
        <w:rFonts w:hint="eastAsia"/>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5OTUxNzU1NGRkYTk1NGY4ZjQ2ZmZmOTJjNWJhODEifQ=="/>
  </w:docVars>
  <w:rsids>
    <w:rsidRoot w:val="00000000"/>
    <w:rsid w:val="006100AC"/>
    <w:rsid w:val="06FD4082"/>
    <w:rsid w:val="0A155D85"/>
    <w:rsid w:val="14575AE1"/>
    <w:rsid w:val="15861B5E"/>
    <w:rsid w:val="1F0B55D3"/>
    <w:rsid w:val="22734C95"/>
    <w:rsid w:val="253D18A5"/>
    <w:rsid w:val="28A7603E"/>
    <w:rsid w:val="2D6F5F97"/>
    <w:rsid w:val="319566E7"/>
    <w:rsid w:val="362B4D10"/>
    <w:rsid w:val="392D09DC"/>
    <w:rsid w:val="3DE27716"/>
    <w:rsid w:val="41F411C5"/>
    <w:rsid w:val="45EC0627"/>
    <w:rsid w:val="46876249"/>
    <w:rsid w:val="468C5884"/>
    <w:rsid w:val="4B0C6E2E"/>
    <w:rsid w:val="4C1A156A"/>
    <w:rsid w:val="4DF47921"/>
    <w:rsid w:val="4E1F5137"/>
    <w:rsid w:val="4EF26794"/>
    <w:rsid w:val="504F44D2"/>
    <w:rsid w:val="5261417E"/>
    <w:rsid w:val="56C02C5D"/>
    <w:rsid w:val="5716066D"/>
    <w:rsid w:val="5A3E219F"/>
    <w:rsid w:val="5B392037"/>
    <w:rsid w:val="607D515C"/>
    <w:rsid w:val="65541E4C"/>
    <w:rsid w:val="688E5E17"/>
    <w:rsid w:val="6F4155A5"/>
    <w:rsid w:val="7038712D"/>
    <w:rsid w:val="73CE3DC7"/>
    <w:rsid w:val="7B9A1458"/>
    <w:rsid w:val="7C9555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3">
    <w:name w:val="Body Text"/>
    <w:basedOn w:val="1"/>
    <w:qFormat/>
    <w:uiPriority w:val="0"/>
    <w:pPr>
      <w:spacing w:after="120"/>
    </w:pPr>
  </w:style>
  <w:style w:type="paragraph" w:styleId="4">
    <w:name w:val="Body Text Indent"/>
    <w:basedOn w:val="1"/>
    <w:autoRedefine/>
    <w:qFormat/>
    <w:uiPriority w:val="0"/>
    <w:pPr>
      <w:spacing w:after="120"/>
      <w:ind w:left="420" w:leftChars="200"/>
    </w:pPr>
    <w:rPr>
      <w:rFonts w:ascii="Calibri" w:hAnsi="Calibri"/>
    </w:rPr>
  </w:style>
  <w:style w:type="paragraph" w:styleId="5">
    <w:name w:val="Plain Text"/>
    <w:basedOn w:val="1"/>
    <w:autoRedefine/>
    <w:unhideWhenUsed/>
    <w:qFormat/>
    <w:uiPriority w:val="99"/>
    <w:pPr>
      <w:widowControl/>
      <w:jc w:val="left"/>
    </w:pPr>
    <w:rPr>
      <w:rFonts w:ascii="宋体" w:hAnsi="Courier New" w:cs="Courier New"/>
      <w:kern w:val="0"/>
      <w:szCs w:val="21"/>
    </w:rPr>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7">
    <w:name w:val="Body Text First Indent"/>
    <w:basedOn w:val="3"/>
    <w:autoRedefine/>
    <w:qFormat/>
    <w:uiPriority w:val="0"/>
    <w:pPr>
      <w:spacing w:after="0"/>
      <w:ind w:firstLine="200" w:firstLineChars="200"/>
    </w:pPr>
  </w:style>
  <w:style w:type="paragraph" w:styleId="8">
    <w:name w:val="Body Text First Indent 2"/>
    <w:basedOn w:val="4"/>
    <w:autoRedefine/>
    <w:qFormat/>
    <w:uiPriority w:val="0"/>
    <w:pPr>
      <w:ind w:firstLine="420" w:firstLineChars="200"/>
    </w:pPr>
  </w:style>
  <w:style w:type="character" w:styleId="11">
    <w:name w:val="Strong"/>
    <w:basedOn w:val="10"/>
    <w:autoRedefine/>
    <w:qFormat/>
    <w:uiPriority w:val="0"/>
    <w:rPr>
      <w:b/>
      <w:bCs/>
    </w:rPr>
  </w:style>
  <w:style w:type="character" w:customStyle="1" w:styleId="12">
    <w:name w:val="fontstyle01"/>
    <w:autoRedefine/>
    <w:qFormat/>
    <w:uiPriority w:val="0"/>
    <w:rPr>
      <w:rFonts w:ascii="仿宋_GB2312" w:hAnsi="仿宋_GB2312" w:eastAsia="仿宋_GB2312" w:cs="仿宋_GB2312"/>
      <w:color w:val="000000"/>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3577</Words>
  <Characters>3668</Characters>
  <Lines>0</Lines>
  <Paragraphs>0</Paragraphs>
  <TotalTime>0</TotalTime>
  <ScaleCrop>false</ScaleCrop>
  <LinksUpToDate>false</LinksUpToDate>
  <CharactersWithSpaces>3697</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2024-03-04T05:11:00Z</dcterms:created>
  <dc:creator>Administrator</dc:creator>
  <cp:lastModifiedBy>冯瑞</cp:lastModifiedBy>
  <cp:lastPrinted>2025-02-19T03:08:00Z</cp:lastPrinted>
  <dcterms:modified xsi:type="dcterms:W3CDTF">2025-08-26T05:06:23Z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4CBA51F098A84EE1BF0E059B495C134A</vt:lpwstr>
  </property>
  <property fmtid="{D5CDD505-2E9C-101B-9397-08002B2CF9AE}" pid="4" name="KSOTemplateDocerSaveRecord">
    <vt:lpwstr>eyJoZGlkIjoiOWNkNTExNGRkZmJhOGEwM2ViNzE1ZmU3NTY0NTBhMDkiLCJ1c2VySWQiOiI5NzY5NjA3ODAifQ==</vt:lpwstr>
  </property>
</Properties>
</file>