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Theme="minorEastAsia" w:hAnsiTheme="minorEastAsia" w:eastAsiaTheme="minorEastAsia" w:cstheme="minorEastAsia"/>
          <w:color w:val="333333"/>
          <w:sz w:val="24"/>
          <w:szCs w:val="24"/>
          <w:lang w:val="en-US" w:eastAsia="zh-CN" w:bidi="ar"/>
        </w:rPr>
      </w:pPr>
      <w:r>
        <w:rPr>
          <w:rFonts w:hint="eastAsia" w:asciiTheme="minorEastAsia" w:hAnsiTheme="minorEastAsia" w:eastAsiaTheme="minorEastAsia" w:cstheme="minorEastAsia"/>
          <w:color w:val="333333"/>
          <w:sz w:val="24"/>
          <w:szCs w:val="24"/>
          <w:lang w:eastAsia="zh-CN" w:bidi="ar"/>
        </w:rPr>
        <w:t>附件</w:t>
      </w:r>
      <w:r>
        <w:rPr>
          <w:rFonts w:hint="eastAsia" w:asciiTheme="minorEastAsia" w:hAnsiTheme="minorEastAsia" w:eastAsiaTheme="minorEastAsia" w:cstheme="minorEastAsia"/>
          <w:color w:val="333333"/>
          <w:sz w:val="24"/>
          <w:szCs w:val="24"/>
          <w:lang w:val="en-US" w:eastAsia="zh-CN" w:bidi="ar"/>
        </w:rPr>
        <w:t>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rPr>
        <w:t>自治区部门单位</w:t>
      </w:r>
      <w:r>
        <w:rPr>
          <w:rFonts w:hint="eastAsia" w:ascii="方正小标宋简体" w:hAnsi="方正小标宋简体" w:eastAsia="方正小标宋简体" w:cs="方正小标宋简体"/>
          <w:b/>
          <w:kern w:val="0"/>
          <w:sz w:val="48"/>
          <w:szCs w:val="48"/>
          <w:lang w:eastAsia="zh-CN"/>
        </w:rPr>
        <w:t>项目</w:t>
      </w:r>
      <w:r>
        <w:rPr>
          <w:rFonts w:hint="eastAsia" w:ascii="方正小标宋简体" w:hAnsi="方正小标宋简体" w:eastAsia="方正小标宋简体" w:cs="方正小标宋简体"/>
          <w:b/>
          <w:kern w:val="0"/>
          <w:sz w:val="48"/>
          <w:szCs w:val="48"/>
        </w:rPr>
        <w:t>支出绩效</w:t>
      </w: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lang w:eastAsia="zh-CN"/>
        </w:rPr>
        <w:t>评价</w:t>
      </w:r>
      <w:r>
        <w:rPr>
          <w:rFonts w:hint="eastAsia" w:ascii="方正小标宋简体" w:hAnsi="方正小标宋简体" w:eastAsia="方正小标宋简体" w:cs="方正小标宋简体"/>
          <w:b/>
          <w:kern w:val="0"/>
          <w:sz w:val="48"/>
          <w:szCs w:val="48"/>
        </w:rPr>
        <w:t>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Fonts w:hint="eastAsia" w:hAnsi="宋体" w:cs="宋体"/>
          <w:kern w:val="0"/>
          <w:sz w:val="36"/>
          <w:szCs w:val="36"/>
          <w:lang w:val="en-US" w:eastAsia="zh-CN"/>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int="eastAsia" w:hAnsi="宋体" w:eastAsia="仿宋_GB2312" w:cs="宋体"/>
          <w:kern w:val="0"/>
          <w:sz w:val="30"/>
          <w:szCs w:val="30"/>
          <w:lang w:eastAsia="zh-CN"/>
        </w:rPr>
      </w:pPr>
      <w:r>
        <w:rPr>
          <w:rFonts w:hint="eastAsia" w:ascii="方正小标宋_GBK" w:hAnsi="宋体" w:eastAsia="方正小标宋_GBK" w:cs="宋体"/>
          <w:kern w:val="0"/>
          <w:sz w:val="36"/>
          <w:szCs w:val="36"/>
          <w:lang w:val="en-US" w:eastAsia="zh-CN"/>
        </w:rPr>
        <w:t xml:space="preserve"> </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849" w:firstLineChars="236"/>
        <w:jc w:val="left"/>
        <w:rPr>
          <w:rFonts w:hint="default" w:hAnsi="宋体" w:eastAsia="仿宋_GB2312" w:cs="宋体"/>
          <w:kern w:val="0"/>
          <w:sz w:val="36"/>
          <w:szCs w:val="36"/>
          <w:lang w:val="en-US" w:eastAsia="zh-CN"/>
        </w:rPr>
      </w:pPr>
      <w:r>
        <w:rPr>
          <w:rFonts w:hint="eastAsia" w:hAnsi="宋体" w:eastAsia="仿宋_GB2312" w:cs="宋体"/>
          <w:kern w:val="0"/>
          <w:sz w:val="36"/>
          <w:szCs w:val="36"/>
        </w:rPr>
        <w:t>部门单位名称（公章）：</w:t>
      </w:r>
      <w:r>
        <w:rPr>
          <w:rFonts w:hint="eastAsia" w:hAnsi="宋体" w:cs="宋体"/>
          <w:kern w:val="0"/>
          <w:sz w:val="36"/>
          <w:szCs w:val="36"/>
          <w:lang w:val="en-US" w:eastAsia="zh-CN"/>
        </w:rPr>
        <w:t>新疆农业职业技术学院</w:t>
      </w:r>
      <w:bookmarkStart w:id="0" w:name="_GoBack"/>
      <w:bookmarkEnd w:id="0"/>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 xml:space="preserve">填报时间：  </w:t>
      </w:r>
      <w:r>
        <w:rPr>
          <w:rFonts w:hint="eastAsia" w:hAnsi="宋体" w:cs="宋体"/>
          <w:kern w:val="0"/>
          <w:sz w:val="36"/>
          <w:szCs w:val="36"/>
          <w:lang w:val="en-US" w:eastAsia="zh-CN"/>
        </w:rPr>
        <w:t xml:space="preserve">2025  </w:t>
      </w:r>
      <w:r>
        <w:rPr>
          <w:rFonts w:hint="eastAsia" w:hAnsi="宋体" w:eastAsia="仿宋_GB2312" w:cs="宋体"/>
          <w:kern w:val="0"/>
          <w:sz w:val="36"/>
          <w:szCs w:val="36"/>
        </w:rPr>
        <w:t xml:space="preserve">年 </w:t>
      </w:r>
      <w:r>
        <w:rPr>
          <w:rFonts w:hint="eastAsia" w:hAnsi="宋体" w:cs="宋体"/>
          <w:kern w:val="0"/>
          <w:sz w:val="36"/>
          <w:szCs w:val="36"/>
          <w:lang w:val="en-US" w:eastAsia="zh-CN"/>
        </w:rPr>
        <w:t>3</w:t>
      </w:r>
      <w:r>
        <w:rPr>
          <w:rFonts w:hint="eastAsia" w:hAnsi="宋体" w:eastAsia="仿宋_GB2312" w:cs="宋体"/>
          <w:kern w:val="0"/>
          <w:sz w:val="36"/>
          <w:szCs w:val="36"/>
        </w:rPr>
        <w:t xml:space="preserve"> 月  </w:t>
      </w:r>
      <w:r>
        <w:rPr>
          <w:rFonts w:hint="eastAsia" w:hAnsi="宋体" w:cs="宋体"/>
          <w:kern w:val="0"/>
          <w:sz w:val="36"/>
          <w:szCs w:val="36"/>
          <w:lang w:val="en-US" w:eastAsia="zh-CN"/>
        </w:rPr>
        <w:t>4</w:t>
      </w:r>
      <w:r>
        <w:rPr>
          <w:rFonts w:hint="eastAsia" w:hAnsi="宋体" w:eastAsia="仿宋_GB2312" w:cs="宋体"/>
          <w:kern w:val="0"/>
          <w:sz w:val="36"/>
          <w:szCs w:val="36"/>
        </w:rPr>
        <w:t xml:space="preserve"> 日</w:t>
      </w: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Theme="minorEastAsia" w:hAnsiTheme="minorEastAsia" w:eastAsiaTheme="minorEastAsia" w:cstheme="minorEastAsia"/>
          <w:color w:val="333333"/>
          <w:sz w:val="24"/>
          <w:szCs w:val="24"/>
          <w:lang w:eastAsia="zh-CN" w:bidi="ar"/>
        </w:rPr>
      </w:pPr>
    </w:p>
    <w:p>
      <w:pPr>
        <w:jc w:val="center"/>
        <w:rPr>
          <w:rFonts w:ascii="Arial" w:hAnsi="Arial" w:eastAsia="宋体" w:cs="Arial"/>
          <w:b/>
          <w:bCs/>
          <w:sz w:val="36"/>
          <w:szCs w:val="36"/>
        </w:rPr>
      </w:pPr>
      <w:r>
        <w:rPr>
          <w:rFonts w:hint="eastAsia" w:ascii="宋体" w:hAnsi="宋体" w:eastAsia="宋体" w:cs="Arial"/>
          <w:b/>
          <w:bCs/>
          <w:sz w:val="36"/>
          <w:szCs w:val="36"/>
          <w:lang w:val="en-US" w:eastAsia="zh-CN"/>
        </w:rPr>
        <w:t>教学运行保障经费</w:t>
      </w: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szCs w:val="30"/>
        </w:rPr>
      </w:pPr>
    </w:p>
    <w:p>
      <w:pPr>
        <w:spacing w:line="600" w:lineRule="exact"/>
        <w:ind w:firstLine="600" w:firstLineChars="200"/>
        <w:rPr>
          <w:rFonts w:ascii="黑体" w:hAnsi="黑体" w:eastAsia="黑体"/>
        </w:rPr>
      </w:pPr>
      <w:r>
        <w:rPr>
          <w:rFonts w:hint="eastAsia" w:ascii="黑体" w:hAnsi="黑体" w:eastAsia="黑体"/>
        </w:rPr>
        <w:t>一、基本情况</w:t>
      </w:r>
    </w:p>
    <w:p>
      <w:pPr>
        <w:spacing w:line="600" w:lineRule="exact"/>
        <w:ind w:firstLine="602" w:firstLineChars="200"/>
        <w:outlineLvl w:val="0"/>
        <w:rPr>
          <w:rFonts w:hint="eastAsia" w:ascii="仿宋_GB2312"/>
          <w:b/>
          <w:bCs/>
        </w:rPr>
      </w:pPr>
      <w:r>
        <w:rPr>
          <w:rFonts w:hint="eastAsia" w:ascii="仿宋_GB2312"/>
          <w:b/>
          <w:bCs/>
        </w:rPr>
        <w:t>（一）项目概况</w:t>
      </w:r>
    </w:p>
    <w:p>
      <w:pPr>
        <w:spacing w:line="600" w:lineRule="exact"/>
        <w:ind w:firstLine="600" w:firstLineChars="200"/>
        <w:outlineLvl w:val="0"/>
        <w:rPr>
          <w:rFonts w:hint="default" w:ascii="仿宋_GB2312" w:eastAsia="仿宋_GB2312"/>
          <w:lang w:val="en-US" w:eastAsia="zh-CN"/>
        </w:rPr>
      </w:pPr>
      <w:r>
        <w:rPr>
          <w:rFonts w:hint="eastAsia" w:ascii="仿宋_GB2312"/>
          <w:lang w:val="en-US" w:eastAsia="zh-CN"/>
        </w:rPr>
        <w:t>1.项目背景</w:t>
      </w:r>
    </w:p>
    <w:p>
      <w:pPr>
        <w:spacing w:line="600" w:lineRule="exact"/>
        <w:ind w:firstLine="600" w:firstLineChars="200"/>
        <w:outlineLvl w:val="0"/>
        <w:rPr>
          <w:rFonts w:hint="eastAsia" w:ascii="仿宋_GB2312"/>
        </w:rPr>
      </w:pPr>
      <w:r>
        <w:rPr>
          <w:rFonts w:hint="eastAsia" w:ascii="仿宋_GB2312"/>
        </w:rPr>
        <w:t>教学运行保障经费是学院开展教育教学日常运行和改革工作的基本保障，为年度人才培养工作正常开展提供支撑，是三保经费。</w:t>
      </w:r>
    </w:p>
    <w:p>
      <w:pPr>
        <w:spacing w:line="600" w:lineRule="exact"/>
        <w:ind w:firstLine="600" w:firstLineChars="200"/>
        <w:outlineLvl w:val="0"/>
        <w:rPr>
          <w:rFonts w:hint="default" w:ascii="仿宋_GB2312" w:eastAsia="仿宋_GB2312"/>
          <w:lang w:val="en-US" w:eastAsia="zh-CN"/>
        </w:rPr>
      </w:pPr>
      <w:r>
        <w:rPr>
          <w:rFonts w:hint="eastAsia" w:ascii="仿宋_GB2312"/>
          <w:lang w:val="en-US" w:eastAsia="zh-CN"/>
        </w:rPr>
        <w:t>2.项目主要内容</w:t>
      </w:r>
    </w:p>
    <w:p>
      <w:pPr>
        <w:spacing w:line="600" w:lineRule="exact"/>
        <w:ind w:firstLine="600" w:firstLineChars="200"/>
        <w:outlineLvl w:val="0"/>
        <w:rPr>
          <w:rFonts w:hint="default" w:ascii="仿宋_GB2312" w:eastAsia="仿宋_GB2312"/>
          <w:lang w:val="en-US" w:eastAsia="zh-CN"/>
        </w:rPr>
      </w:pPr>
      <w:r>
        <w:rPr>
          <w:rFonts w:hint="eastAsia" w:ascii="仿宋_GB2312"/>
        </w:rPr>
        <w:t>2024年度经费主要用于新建实训楼设备购置</w:t>
      </w:r>
      <w:r>
        <w:rPr>
          <w:rFonts w:hint="eastAsia" w:ascii="仿宋_GB2312"/>
          <w:lang w:eastAsia="zh-CN"/>
        </w:rPr>
        <w:t>、</w:t>
      </w:r>
      <w:r>
        <w:rPr>
          <w:rFonts w:hint="eastAsia" w:ascii="仿宋_GB2312"/>
        </w:rPr>
        <w:t>校企合作项目</w:t>
      </w:r>
      <w:r>
        <w:rPr>
          <w:rFonts w:hint="eastAsia" w:ascii="仿宋_GB2312"/>
          <w:lang w:eastAsia="zh-CN"/>
        </w:rPr>
        <w:t>、</w:t>
      </w:r>
      <w:r>
        <w:rPr>
          <w:rFonts w:hint="eastAsia" w:ascii="仿宋_GB2312"/>
        </w:rPr>
        <w:t>示范马院建设</w:t>
      </w:r>
      <w:r>
        <w:rPr>
          <w:rFonts w:hint="eastAsia" w:ascii="仿宋_GB2312"/>
          <w:lang w:val="en-US" w:eastAsia="zh-CN"/>
        </w:rPr>
        <w:t>和</w:t>
      </w:r>
      <w:r>
        <w:rPr>
          <w:rFonts w:hint="eastAsia" w:ascii="仿宋_GB2312"/>
        </w:rPr>
        <w:t>项目建设质保金</w:t>
      </w:r>
      <w:r>
        <w:rPr>
          <w:rFonts w:hint="eastAsia" w:ascii="仿宋_GB2312"/>
          <w:lang w:val="en-US" w:eastAsia="zh-CN"/>
        </w:rPr>
        <w:t>支付等。</w:t>
      </w:r>
    </w:p>
    <w:p>
      <w:pPr>
        <w:spacing w:line="600" w:lineRule="exact"/>
        <w:ind w:firstLine="600" w:firstLineChars="200"/>
        <w:outlineLvl w:val="0"/>
        <w:rPr>
          <w:rFonts w:hint="eastAsia" w:ascii="仿宋_GB2312"/>
          <w:lang w:val="en-US" w:eastAsia="zh-CN"/>
        </w:rPr>
      </w:pPr>
      <w:r>
        <w:rPr>
          <w:rFonts w:hint="eastAsia" w:ascii="仿宋_GB2312"/>
          <w:lang w:val="en-US" w:eastAsia="zh-CN"/>
        </w:rPr>
        <w:t>3.资金投入和使用情况</w:t>
      </w:r>
    </w:p>
    <w:p>
      <w:pPr>
        <w:spacing w:line="600" w:lineRule="exact"/>
        <w:ind w:firstLine="600" w:firstLineChars="200"/>
        <w:outlineLvl w:val="0"/>
        <w:rPr>
          <w:rFonts w:hint="eastAsia" w:ascii="仿宋_GB2312"/>
          <w:lang w:val="en-US" w:eastAsia="zh-CN"/>
        </w:rPr>
      </w:pPr>
      <w:r>
        <w:rPr>
          <w:rFonts w:hint="eastAsia" w:ascii="仿宋_GB2312"/>
          <w:lang w:val="en-US" w:eastAsia="zh-CN"/>
        </w:rPr>
        <w:t>（1）资金投入</w:t>
      </w:r>
    </w:p>
    <w:p>
      <w:pPr>
        <w:spacing w:line="600" w:lineRule="exact"/>
        <w:ind w:firstLine="600" w:firstLineChars="200"/>
        <w:outlineLvl w:val="0"/>
        <w:rPr>
          <w:rFonts w:hint="eastAsia" w:ascii="仿宋_GB2312"/>
          <w:lang w:val="en-US" w:eastAsia="zh-CN"/>
        </w:rPr>
      </w:pPr>
      <w:r>
        <w:rPr>
          <w:rFonts w:hint="default" w:ascii="仿宋_GB2312"/>
          <w:lang w:val="en-US" w:eastAsia="zh-CN"/>
        </w:rPr>
        <w:t>2024年度</w:t>
      </w:r>
      <w:r>
        <w:rPr>
          <w:rFonts w:hint="eastAsia" w:ascii="仿宋_GB2312"/>
          <w:lang w:val="en-US" w:eastAsia="zh-CN"/>
        </w:rPr>
        <w:t>教学运行保障</w:t>
      </w:r>
      <w:r>
        <w:rPr>
          <w:rFonts w:hint="default" w:ascii="仿宋_GB2312"/>
          <w:lang w:val="en-US" w:eastAsia="zh-CN"/>
        </w:rPr>
        <w:t>经费</w:t>
      </w:r>
      <w:r>
        <w:rPr>
          <w:rFonts w:hint="eastAsia" w:ascii="仿宋_GB2312"/>
          <w:lang w:val="en-US" w:eastAsia="zh-CN"/>
        </w:rPr>
        <w:t>共计878万元，</w:t>
      </w:r>
      <w:r>
        <w:rPr>
          <w:rFonts w:hint="default" w:ascii="仿宋_GB2312"/>
          <w:lang w:val="en-US" w:eastAsia="zh-CN"/>
        </w:rPr>
        <w:t>主要用于实训设备购置和产业学院人才培养，其中新建实训楼设备购置450万、校企合作项目经费345万、示范马院建设等10万、项目建设质保金73万。</w:t>
      </w:r>
    </w:p>
    <w:p>
      <w:pPr>
        <w:spacing w:line="600" w:lineRule="exact"/>
        <w:ind w:firstLine="600" w:firstLineChars="200"/>
        <w:outlineLvl w:val="0"/>
        <w:rPr>
          <w:rFonts w:hint="default" w:ascii="仿宋_GB2312"/>
          <w:lang w:val="en-US" w:eastAsia="zh-CN"/>
        </w:rPr>
      </w:pPr>
      <w:r>
        <w:rPr>
          <w:rFonts w:hint="eastAsia" w:ascii="仿宋_GB2312"/>
          <w:lang w:val="en-US" w:eastAsia="zh-CN"/>
        </w:rPr>
        <w:t>（2）资金使用情况</w:t>
      </w:r>
    </w:p>
    <w:p>
      <w:pPr>
        <w:spacing w:line="600" w:lineRule="exact"/>
        <w:ind w:firstLine="600" w:firstLineChars="200"/>
        <w:outlineLvl w:val="0"/>
        <w:rPr>
          <w:rFonts w:hint="eastAsia" w:ascii="仿宋_GB2312"/>
          <w:lang w:val="en-US" w:eastAsia="zh-CN"/>
        </w:rPr>
      </w:pPr>
      <w:r>
        <w:rPr>
          <w:rFonts w:hint="eastAsia" w:ascii="仿宋_GB2312"/>
        </w:rPr>
        <w:t>2024年度经费</w:t>
      </w:r>
      <w:r>
        <w:rPr>
          <w:rFonts w:hint="eastAsia" w:ascii="仿宋_GB2312"/>
          <w:lang w:val="en-US" w:eastAsia="zh-CN"/>
        </w:rPr>
        <w:t>使用795.56万元，其中</w:t>
      </w:r>
      <w:r>
        <w:rPr>
          <w:rFonts w:hint="eastAsia" w:ascii="仿宋_GB2312"/>
        </w:rPr>
        <w:t>新建实训楼设备购置4</w:t>
      </w:r>
      <w:r>
        <w:rPr>
          <w:rFonts w:hint="eastAsia" w:ascii="仿宋_GB2312"/>
          <w:lang w:val="en-US" w:eastAsia="zh-CN"/>
        </w:rPr>
        <w:t>49.05</w:t>
      </w:r>
      <w:r>
        <w:rPr>
          <w:rFonts w:hint="eastAsia" w:ascii="仿宋_GB2312"/>
        </w:rPr>
        <w:t>万、校企合作项目经费30</w:t>
      </w:r>
      <w:r>
        <w:rPr>
          <w:rFonts w:hint="eastAsia" w:ascii="仿宋_GB2312"/>
          <w:lang w:val="en-US" w:eastAsia="zh-CN"/>
        </w:rPr>
        <w:t>7.18</w:t>
      </w:r>
      <w:r>
        <w:rPr>
          <w:rFonts w:hint="eastAsia" w:ascii="仿宋_GB2312"/>
        </w:rPr>
        <w:t>万、示范马院建设等9.18万、项目建设质保金30.15万。</w:t>
      </w:r>
      <w:r>
        <w:rPr>
          <w:rFonts w:hint="eastAsia" w:ascii="仿宋_GB2312"/>
          <w:lang w:val="en-US" w:eastAsia="zh-CN"/>
        </w:rPr>
        <w:t>经费执行率为90.61%。项目执行过程中，</w:t>
      </w:r>
      <w:r>
        <w:rPr>
          <w:rFonts w:hint="eastAsia" w:ascii="仿宋_GB2312"/>
        </w:rPr>
        <w:t>按照单位财务制度等相关规定，做到了专款专用。为确保项目资金的安全性，提高项目资金使用效率，认真审核项目实施各阶段的相关材料和手续，根据项目实施进展情况拨付资金。</w:t>
      </w:r>
    </w:p>
    <w:p>
      <w:pPr>
        <w:spacing w:line="600" w:lineRule="exact"/>
        <w:ind w:firstLine="602" w:firstLineChars="200"/>
        <w:rPr>
          <w:rFonts w:hint="eastAsia" w:ascii="仿宋_GB2312"/>
          <w:b/>
          <w:bCs/>
        </w:rPr>
      </w:pPr>
      <w:r>
        <w:rPr>
          <w:rFonts w:hint="eastAsia" w:ascii="仿宋_GB2312"/>
          <w:b/>
          <w:bCs/>
        </w:rPr>
        <w:t>（二）项目绩效目标</w:t>
      </w:r>
    </w:p>
    <w:p>
      <w:pPr>
        <w:spacing w:line="600" w:lineRule="exact"/>
        <w:ind w:firstLine="600" w:firstLineChars="200"/>
        <w:rPr>
          <w:rFonts w:hint="default" w:ascii="仿宋_GB2312" w:eastAsia="仿宋_GB2312"/>
          <w:lang w:val="en-US" w:eastAsia="zh-CN"/>
        </w:rPr>
      </w:pPr>
      <w:r>
        <w:rPr>
          <w:rFonts w:hint="eastAsia" w:ascii="仿宋_GB2312"/>
          <w:lang w:val="en-US" w:eastAsia="zh-CN"/>
        </w:rPr>
        <w:t>1.总体目标</w:t>
      </w:r>
    </w:p>
    <w:p>
      <w:pPr>
        <w:spacing w:line="600" w:lineRule="exact"/>
        <w:ind w:firstLine="600" w:firstLineChars="200"/>
        <w:rPr>
          <w:rFonts w:hint="eastAsia" w:ascii="仿宋_GB2312"/>
          <w:lang w:val="en-US" w:eastAsia="zh-CN"/>
        </w:rPr>
      </w:pPr>
      <w:r>
        <w:rPr>
          <w:rFonts w:hint="eastAsia" w:ascii="仿宋_GB2312"/>
        </w:rPr>
        <w:t>教学运行保障经费</w:t>
      </w:r>
      <w:r>
        <w:rPr>
          <w:rFonts w:hint="eastAsia" w:ascii="仿宋_GB2312"/>
          <w:lang w:val="en-US" w:eastAsia="zh-CN"/>
        </w:rPr>
        <w:t>保障</w:t>
      </w:r>
      <w:r>
        <w:rPr>
          <w:rFonts w:hint="eastAsia" w:ascii="仿宋_GB2312"/>
        </w:rPr>
        <w:t>学院教育教学日常运行和改革工作</w:t>
      </w:r>
      <w:r>
        <w:rPr>
          <w:rFonts w:hint="eastAsia" w:ascii="仿宋_GB2312"/>
          <w:lang w:val="en-US" w:eastAsia="zh-CN"/>
        </w:rPr>
        <w:t>正常开展</w:t>
      </w:r>
      <w:r>
        <w:rPr>
          <w:rFonts w:hint="eastAsia" w:ascii="仿宋_GB2312"/>
        </w:rPr>
        <w:t>，为年度人才培养工作正常开展提供支撑。</w:t>
      </w:r>
      <w:r>
        <w:rPr>
          <w:rFonts w:hint="eastAsia" w:ascii="仿宋_GB2312"/>
          <w:lang w:val="en-US" w:eastAsia="zh-CN"/>
        </w:rPr>
        <w:t>2024年新建实训楼1栋，作为项目配套资金，购置教学仪器设备，保障学生能够正常开展实习实训；2个学院开展校企合作项目，将企业优质资源引入教学，提高人才培养质量；加强学生思想政治教育工作，铸牢中华民族共同体意识。</w:t>
      </w:r>
    </w:p>
    <w:p>
      <w:pPr>
        <w:spacing w:line="600" w:lineRule="exact"/>
        <w:ind w:firstLine="600" w:firstLineChars="200"/>
        <w:rPr>
          <w:rFonts w:hint="eastAsia" w:ascii="仿宋_GB2312"/>
          <w:lang w:val="en-US" w:eastAsia="zh-CN"/>
        </w:rPr>
      </w:pPr>
      <w:r>
        <w:rPr>
          <w:rFonts w:hint="eastAsia" w:ascii="仿宋_GB2312"/>
          <w:lang w:val="en-US" w:eastAsia="zh-CN"/>
        </w:rPr>
        <w:t>2.阶段性目标</w:t>
      </w:r>
    </w:p>
    <w:p>
      <w:pPr>
        <w:spacing w:line="600" w:lineRule="exact"/>
        <w:ind w:firstLine="600" w:firstLineChars="200"/>
        <w:rPr>
          <w:rFonts w:hint="eastAsia" w:ascii="仿宋_GB2312"/>
          <w:lang w:val="en-US" w:eastAsia="zh-CN"/>
        </w:rPr>
      </w:pPr>
      <w:r>
        <w:rPr>
          <w:rFonts w:hint="eastAsia" w:ascii="仿宋_GB2312"/>
          <w:lang w:val="en-US" w:eastAsia="zh-CN"/>
        </w:rPr>
        <w:t>（1）前期准备：通过制定项目实施方案，经项目负责人审核通过后，有序开展后续工作。</w:t>
      </w:r>
    </w:p>
    <w:p>
      <w:pPr>
        <w:spacing w:line="600" w:lineRule="exact"/>
        <w:ind w:firstLine="600" w:firstLineChars="200"/>
        <w:rPr>
          <w:rFonts w:hint="default"/>
          <w:lang w:val="en-US" w:eastAsia="zh-CN"/>
        </w:rPr>
      </w:pPr>
      <w:r>
        <w:rPr>
          <w:rFonts w:hint="eastAsia" w:ascii="仿宋_GB2312"/>
          <w:lang w:val="en-US" w:eastAsia="zh-CN"/>
        </w:rPr>
        <w:t>（2）组织实施：资金一到位，立即根据项目要求实施项目。项目责任人按照项目实施方案要求逐一进行项目部署安排，提高项目质量及效率性。</w:t>
      </w:r>
    </w:p>
    <w:p>
      <w:pPr>
        <w:spacing w:line="600" w:lineRule="exact"/>
        <w:ind w:firstLine="600" w:firstLineChars="200"/>
        <w:rPr>
          <w:rFonts w:ascii="黑体" w:hAnsi="黑体" w:eastAsia="黑体"/>
        </w:rPr>
      </w:pPr>
      <w:r>
        <w:rPr>
          <w:rFonts w:hint="eastAsia" w:ascii="黑体" w:hAnsi="黑体" w:eastAsia="黑体"/>
        </w:rPr>
        <w:t>二、绩效评价工作开展情况</w:t>
      </w:r>
    </w:p>
    <w:p>
      <w:pPr>
        <w:spacing w:line="600" w:lineRule="exact"/>
        <w:ind w:firstLine="602" w:firstLineChars="200"/>
        <w:rPr>
          <w:rFonts w:hint="eastAsia" w:ascii="仿宋_GB2312"/>
          <w:b/>
          <w:bCs/>
          <w:lang w:val="en-US" w:eastAsia="zh-CN"/>
        </w:rPr>
      </w:pPr>
      <w:r>
        <w:rPr>
          <w:rFonts w:hint="eastAsia" w:ascii="仿宋_GB2312"/>
          <w:b/>
          <w:bCs/>
          <w:lang w:val="en-US" w:eastAsia="zh-CN"/>
        </w:rPr>
        <w:t>（一）绩效评价目的、对象和范围。</w:t>
      </w:r>
    </w:p>
    <w:p>
      <w:pPr>
        <w:spacing w:line="600" w:lineRule="exact"/>
        <w:ind w:firstLine="600" w:firstLineChars="200"/>
        <w:rPr>
          <w:rFonts w:hint="eastAsia" w:ascii="仿宋_GB2312"/>
          <w:lang w:val="en-US" w:eastAsia="zh-CN"/>
        </w:rPr>
      </w:pPr>
      <w:r>
        <w:rPr>
          <w:rFonts w:hint="eastAsia" w:ascii="仿宋_GB2312"/>
          <w:lang w:val="en-US" w:eastAsia="zh-CN"/>
        </w:rPr>
        <w:t>1、绩效评价的目的</w:t>
      </w:r>
    </w:p>
    <w:p>
      <w:pPr>
        <w:spacing w:line="600" w:lineRule="exact"/>
        <w:ind w:firstLine="600" w:firstLineChars="200"/>
        <w:rPr>
          <w:rFonts w:hint="eastAsia" w:ascii="仿宋_GB2312"/>
          <w:lang w:val="en-US" w:eastAsia="zh-CN"/>
        </w:rPr>
      </w:pPr>
      <w:r>
        <w:rPr>
          <w:rFonts w:hint="eastAsia" w:ascii="仿宋_GB2312"/>
          <w:lang w:val="en-US" w:eastAsia="zh-CN"/>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spacing w:line="600" w:lineRule="exact"/>
        <w:ind w:firstLine="600" w:firstLineChars="200"/>
        <w:rPr>
          <w:rFonts w:hint="eastAsia" w:ascii="仿宋_GB2312"/>
          <w:lang w:val="en-US" w:eastAsia="zh-CN"/>
        </w:rPr>
      </w:pPr>
      <w:r>
        <w:rPr>
          <w:rFonts w:hint="eastAsia" w:ascii="仿宋_GB2312"/>
          <w:lang w:val="en-US" w:eastAsia="zh-CN"/>
        </w:rPr>
        <w:t>项目在实施前向项目负责人提供财政支出绩效方面的资金管理信息，促进项目支出严格按照资金管理规定进行。</w:t>
      </w:r>
    </w:p>
    <w:p>
      <w:pPr>
        <w:spacing w:line="600" w:lineRule="exact"/>
        <w:ind w:firstLine="600" w:firstLineChars="200"/>
        <w:rPr>
          <w:rFonts w:hint="eastAsia" w:ascii="仿宋_GB2312"/>
          <w:lang w:val="en-US" w:eastAsia="zh-CN"/>
        </w:rPr>
      </w:pPr>
      <w:r>
        <w:rPr>
          <w:rFonts w:hint="eastAsia" w:ascii="仿宋_GB2312"/>
          <w:lang w:val="en-US" w:eastAsia="zh-CN"/>
        </w:rPr>
        <w:t>（2）项目绩效管理财政支出运行提供及时、有效的信息。</w:t>
      </w:r>
    </w:p>
    <w:p>
      <w:pPr>
        <w:spacing w:line="600" w:lineRule="exact"/>
        <w:ind w:firstLine="600" w:firstLineChars="200"/>
        <w:rPr>
          <w:rFonts w:hint="eastAsia" w:ascii="仿宋_GB2312"/>
          <w:lang w:val="en-US" w:eastAsia="zh-CN"/>
        </w:rPr>
      </w:pPr>
      <w:r>
        <w:rPr>
          <w:rFonts w:hint="eastAsia" w:ascii="仿宋_GB2312"/>
          <w:lang w:val="en-US" w:eastAsia="zh-CN"/>
        </w:rPr>
        <w:t>综合来看，通过开展有效的财政支出绩效评价管理，达到改进预算管理、控制节约成本，提高预算资金使用效益的目的。</w:t>
      </w:r>
    </w:p>
    <w:p>
      <w:pPr>
        <w:spacing w:line="600" w:lineRule="exact"/>
        <w:ind w:firstLine="600" w:firstLineChars="200"/>
        <w:rPr>
          <w:rFonts w:hint="eastAsia" w:ascii="仿宋_GB2312"/>
          <w:lang w:val="en-US" w:eastAsia="zh-CN"/>
        </w:rPr>
      </w:pPr>
      <w:r>
        <w:rPr>
          <w:rFonts w:hint="eastAsia" w:ascii="仿宋_GB2312"/>
          <w:lang w:val="en-US" w:eastAsia="zh-CN"/>
        </w:rPr>
        <w:t>2、绩效评价的对象</w:t>
      </w:r>
    </w:p>
    <w:p>
      <w:pPr>
        <w:spacing w:line="600" w:lineRule="exact"/>
        <w:ind w:firstLine="600" w:firstLineChars="200"/>
        <w:rPr>
          <w:rFonts w:hint="default" w:ascii="仿宋_GB2312"/>
          <w:lang w:val="en-US" w:eastAsia="zh-CN"/>
        </w:rPr>
      </w:pPr>
      <w:r>
        <w:rPr>
          <w:rFonts w:hint="eastAsia" w:ascii="仿宋_GB2312"/>
          <w:lang w:val="en-US" w:eastAsia="zh-CN"/>
        </w:rPr>
        <w:t>实训综合楼等购置实训设备台套数200台（套），校企合作办学年度服务学生人数800人，重点马院示范项目数1个。</w:t>
      </w:r>
    </w:p>
    <w:p>
      <w:pPr>
        <w:spacing w:line="600" w:lineRule="exact"/>
        <w:ind w:firstLine="600" w:firstLineChars="200"/>
        <w:rPr>
          <w:rFonts w:hint="eastAsia" w:ascii="仿宋_GB2312"/>
          <w:lang w:val="en-US" w:eastAsia="zh-CN"/>
        </w:rPr>
      </w:pPr>
      <w:r>
        <w:rPr>
          <w:rFonts w:hint="eastAsia" w:ascii="仿宋_GB2312"/>
          <w:lang w:val="en-US" w:eastAsia="zh-CN"/>
        </w:rPr>
        <w:t>3、绩效评价的范围</w:t>
      </w:r>
    </w:p>
    <w:p>
      <w:pPr>
        <w:spacing w:line="600" w:lineRule="exact"/>
        <w:ind w:firstLine="600" w:firstLineChars="200"/>
        <w:rPr>
          <w:rFonts w:hint="eastAsia" w:ascii="仿宋_GB2312"/>
          <w:lang w:val="en-US" w:eastAsia="zh-CN"/>
        </w:rPr>
      </w:pPr>
      <w:r>
        <w:rPr>
          <w:rFonts w:hint="eastAsia" w:ascii="仿宋_GB2312"/>
          <w:lang w:val="en-US" w:eastAsia="zh-CN"/>
        </w:rPr>
        <w:t>2024年教学运行保障经费项目的决策、过程、产出、效益等。</w:t>
      </w:r>
    </w:p>
    <w:p>
      <w:pPr>
        <w:spacing w:line="600" w:lineRule="exact"/>
        <w:ind w:firstLine="602" w:firstLineChars="200"/>
        <w:rPr>
          <w:rFonts w:hint="eastAsia" w:ascii="仿宋_GB2312"/>
          <w:b/>
          <w:bCs/>
        </w:rPr>
      </w:pPr>
      <w:r>
        <w:rPr>
          <w:rFonts w:hint="eastAsia" w:ascii="仿宋_GB2312"/>
          <w:b/>
          <w:bCs/>
        </w:rPr>
        <w:t>（二）绩效评价原则、评价指标体系（附表说明）、评价方法、评价标准等。</w:t>
      </w:r>
    </w:p>
    <w:p>
      <w:pPr>
        <w:spacing w:line="600" w:lineRule="exact"/>
        <w:ind w:firstLine="600" w:firstLineChars="200"/>
        <w:rPr>
          <w:rFonts w:hint="eastAsia" w:ascii="仿宋_GB2312"/>
          <w:lang w:val="en-US" w:eastAsia="zh-CN"/>
        </w:rPr>
      </w:pPr>
      <w:r>
        <w:rPr>
          <w:rFonts w:hint="eastAsia" w:ascii="仿宋_GB2312"/>
          <w:lang w:val="en-US" w:eastAsia="zh-CN"/>
        </w:rPr>
        <w:t>1、绩效评价原则</w:t>
      </w:r>
    </w:p>
    <w:p>
      <w:pPr>
        <w:spacing w:line="600" w:lineRule="exact"/>
        <w:ind w:firstLine="600" w:firstLineChars="200"/>
        <w:rPr>
          <w:rFonts w:hint="eastAsia" w:ascii="仿宋_GB2312"/>
          <w:lang w:val="en-US" w:eastAsia="zh-CN"/>
        </w:rPr>
      </w:pPr>
      <w:r>
        <w:rPr>
          <w:rFonts w:hint="eastAsia" w:ascii="仿宋_GB2312"/>
          <w:lang w:val="en-US" w:eastAsia="zh-CN"/>
        </w:rPr>
        <w:t>本次项目绩效评价遵循以下基本原则：</w:t>
      </w:r>
    </w:p>
    <w:p>
      <w:pPr>
        <w:spacing w:line="600" w:lineRule="exact"/>
        <w:ind w:firstLine="600" w:firstLineChars="200"/>
        <w:rPr>
          <w:rFonts w:hint="eastAsia" w:ascii="仿宋_GB2312"/>
          <w:lang w:val="en-US" w:eastAsia="zh-CN"/>
        </w:rPr>
      </w:pPr>
      <w:r>
        <w:rPr>
          <w:rFonts w:hint="eastAsia" w:ascii="仿宋_GB2312"/>
          <w:lang w:val="en-US" w:eastAsia="zh-CN"/>
        </w:rPr>
        <w:t>（1）科学公正。绩效评价应当运用科学合理的方法，按照规范的程序，对项目绩效进行客观、公正的反映。</w:t>
      </w:r>
    </w:p>
    <w:p>
      <w:pPr>
        <w:spacing w:line="600" w:lineRule="exact"/>
        <w:ind w:firstLine="600" w:firstLineChars="200"/>
        <w:rPr>
          <w:rFonts w:hint="eastAsia" w:ascii="仿宋_GB2312"/>
          <w:lang w:val="en-US" w:eastAsia="zh-CN"/>
        </w:rPr>
      </w:pPr>
      <w:r>
        <w:rPr>
          <w:rFonts w:hint="eastAsia" w:ascii="仿宋_GB2312"/>
          <w:lang w:val="en-US" w:eastAsia="zh-CN"/>
        </w:rPr>
        <w:t>（2）统筹兼顾。单位自评、部门评价和财政评价应职责明确，各有侧重，相互衔接。单位自评应由项目单位自主实施，即“谁支出、谁自评”。部门评价和财政评价应在单位自评的基础上开展。</w:t>
      </w:r>
    </w:p>
    <w:p>
      <w:pPr>
        <w:spacing w:line="600" w:lineRule="exact"/>
        <w:ind w:firstLine="600" w:firstLineChars="200"/>
        <w:rPr>
          <w:rFonts w:hint="eastAsia" w:ascii="仿宋_GB2312"/>
          <w:lang w:val="en-US" w:eastAsia="zh-CN"/>
        </w:rPr>
      </w:pPr>
      <w:r>
        <w:rPr>
          <w:rFonts w:hint="eastAsia" w:ascii="仿宋_GB2312"/>
          <w:lang w:val="en-US" w:eastAsia="zh-CN"/>
        </w:rPr>
        <w:t>（3）激励约束。绩效评价结果应与预算安排、政策调整、改进管理实质性挂钩，体现奖优罚劣和激励相容导向，有效要安排、低效要压减、无效要问责。</w:t>
      </w:r>
    </w:p>
    <w:p>
      <w:pPr>
        <w:spacing w:line="600" w:lineRule="exact"/>
        <w:ind w:firstLine="600" w:firstLineChars="200"/>
        <w:rPr>
          <w:rFonts w:hint="eastAsia" w:ascii="仿宋_GB2312"/>
          <w:lang w:val="en-US" w:eastAsia="zh-CN"/>
        </w:rPr>
      </w:pPr>
      <w:r>
        <w:rPr>
          <w:rFonts w:hint="eastAsia" w:ascii="仿宋_GB2312"/>
          <w:lang w:val="en-US" w:eastAsia="zh-CN"/>
        </w:rPr>
        <w:t>（4）公开透明。绩效评价结果应依法依规公开，并自觉接受社会监督。</w:t>
      </w:r>
    </w:p>
    <w:p>
      <w:pPr>
        <w:spacing w:line="600" w:lineRule="exact"/>
        <w:ind w:firstLine="600" w:firstLineChars="200"/>
        <w:rPr>
          <w:rFonts w:hint="eastAsia" w:ascii="仿宋_GB2312"/>
          <w:lang w:val="en-US" w:eastAsia="zh-CN"/>
        </w:rPr>
      </w:pPr>
      <w:r>
        <w:rPr>
          <w:rFonts w:hint="eastAsia" w:ascii="仿宋_GB2312"/>
          <w:lang w:val="en-US" w:eastAsia="zh-CN"/>
        </w:rPr>
        <w:t>2、评价指标体系</w:t>
      </w:r>
    </w:p>
    <w:p>
      <w:pPr>
        <w:spacing w:line="600" w:lineRule="exact"/>
        <w:ind w:firstLine="600" w:firstLineChars="200"/>
        <w:rPr>
          <w:rFonts w:hint="eastAsia" w:ascii="仿宋_GB2312"/>
          <w:lang w:val="en-US" w:eastAsia="zh-CN"/>
        </w:rPr>
      </w:pPr>
      <w:r>
        <w:rPr>
          <w:rFonts w:hint="eastAsia" w:ascii="仿宋_GB2312"/>
          <w:lang w:val="en-US" w:eastAsia="zh-CN"/>
        </w:rPr>
        <w:t>绩效评价框架是开展绩效评价的核心。绩效评价框架包括评价准则、关键评价问题、评价指标、数据来源、数据收集方法等。指标体系建立过程如下：</w:t>
      </w:r>
    </w:p>
    <w:p>
      <w:pPr>
        <w:spacing w:line="600" w:lineRule="exact"/>
        <w:ind w:firstLine="600" w:firstLineChars="200"/>
        <w:rPr>
          <w:rFonts w:hint="eastAsia" w:ascii="仿宋_GB2312"/>
          <w:lang w:val="en-US" w:eastAsia="zh-CN"/>
        </w:rPr>
      </w:pPr>
      <w:r>
        <w:rPr>
          <w:rFonts w:hint="eastAsia" w:ascii="仿宋_GB2312"/>
          <w:lang w:val="en-US" w:eastAsia="zh-CN"/>
        </w:rPr>
        <w:t>（1）确定评价指标</w:t>
      </w:r>
    </w:p>
    <w:p>
      <w:pPr>
        <w:spacing w:line="600" w:lineRule="exact"/>
        <w:ind w:firstLine="600" w:firstLineChars="200"/>
        <w:rPr>
          <w:rFonts w:hint="eastAsia" w:ascii="仿宋_GB2312"/>
          <w:lang w:val="en-US" w:eastAsia="zh-CN"/>
        </w:rPr>
      </w:pPr>
      <w:r>
        <w:rPr>
          <w:rFonts w:hint="eastAsia" w:ascii="仿宋_GB2312"/>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pPr>
        <w:spacing w:line="600" w:lineRule="exact"/>
        <w:ind w:firstLine="600" w:firstLineChars="200"/>
        <w:rPr>
          <w:rFonts w:hint="eastAsia" w:ascii="仿宋_GB2312"/>
          <w:lang w:val="en-US" w:eastAsia="zh-CN"/>
        </w:rPr>
      </w:pPr>
      <w:r>
        <w:rPr>
          <w:rFonts w:hint="eastAsia" w:ascii="仿宋_GB2312"/>
          <w:lang w:val="en-US" w:eastAsia="zh-CN"/>
        </w:rPr>
        <w:t>（2）确定权重</w:t>
      </w:r>
    </w:p>
    <w:p>
      <w:pPr>
        <w:spacing w:line="600" w:lineRule="exact"/>
        <w:ind w:firstLine="600" w:firstLineChars="200"/>
        <w:rPr>
          <w:rFonts w:hint="eastAsia" w:ascii="仿宋_GB2312"/>
          <w:lang w:val="en-US" w:eastAsia="zh-CN"/>
        </w:rPr>
      </w:pPr>
      <w:r>
        <w:rPr>
          <w:rFonts w:hint="eastAsia" w:ascii="仿宋_GB2312"/>
          <w:lang w:val="en-US" w:eastAsia="zh-CN"/>
        </w:rPr>
        <w:t>确定各个指标相对于项目总体绩效的权重分值。在绩效评价指标体系中，项目决策权重为5分，项目过程权重为5分，项目产出权重为50分，项目效益权重为40分。</w:t>
      </w:r>
    </w:p>
    <w:p>
      <w:pPr>
        <w:spacing w:line="600" w:lineRule="exact"/>
        <w:ind w:firstLine="600" w:firstLineChars="200"/>
        <w:rPr>
          <w:rFonts w:hint="eastAsia" w:ascii="仿宋_GB2312"/>
          <w:lang w:val="en-US" w:eastAsia="zh-CN"/>
        </w:rPr>
      </w:pPr>
      <w:r>
        <w:rPr>
          <w:rFonts w:hint="eastAsia" w:ascii="仿宋_GB2312"/>
          <w:lang w:val="en-US" w:eastAsia="zh-CN"/>
        </w:rPr>
        <w:t>（3）确定指标标准值</w:t>
      </w:r>
    </w:p>
    <w:p>
      <w:pPr>
        <w:spacing w:line="600" w:lineRule="exact"/>
        <w:ind w:firstLine="600" w:firstLineChars="200"/>
        <w:rPr>
          <w:rFonts w:hint="eastAsia" w:ascii="仿宋_GB2312"/>
          <w:lang w:val="en-US" w:eastAsia="zh-CN"/>
        </w:rPr>
      </w:pPr>
      <w:r>
        <w:rPr>
          <w:rFonts w:hint="eastAsia" w:ascii="仿宋_GB2312"/>
          <w:lang w:val="en-US" w:eastAsia="zh-CN"/>
        </w:rPr>
        <w:t>指标标准值是绩效评价指标的尺度，既要反映同类项目的先进水平，又要符合项目的实际绩效水平。具体采用计划标准等确定此次绩效评价指标标准值。</w:t>
      </w:r>
    </w:p>
    <w:p>
      <w:pPr>
        <w:spacing w:line="600" w:lineRule="exact"/>
        <w:ind w:firstLine="600" w:firstLineChars="200"/>
        <w:rPr>
          <w:rFonts w:hint="eastAsia" w:ascii="仿宋_GB2312"/>
          <w:lang w:val="en-US" w:eastAsia="zh-CN"/>
        </w:rPr>
      </w:pPr>
      <w:r>
        <w:rPr>
          <w:rFonts w:hint="eastAsia" w:ascii="仿宋_GB2312"/>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spacing w:line="600" w:lineRule="exact"/>
        <w:ind w:firstLine="600" w:firstLineChars="200"/>
        <w:rPr>
          <w:rFonts w:hint="eastAsia" w:ascii="仿宋_GB2312"/>
          <w:lang w:val="en-US" w:eastAsia="zh-CN"/>
        </w:rPr>
      </w:pPr>
      <w:r>
        <w:rPr>
          <w:rFonts w:hint="eastAsia" w:ascii="仿宋_GB2312"/>
          <w:lang w:val="en-US" w:eastAsia="zh-CN"/>
        </w:rPr>
        <w:t>具体评价指标体系详情见附件1</w:t>
      </w:r>
    </w:p>
    <w:p>
      <w:pPr>
        <w:spacing w:line="600" w:lineRule="exact"/>
        <w:ind w:firstLine="600" w:firstLineChars="200"/>
        <w:rPr>
          <w:rFonts w:hint="eastAsia" w:ascii="仿宋_GB2312"/>
          <w:lang w:val="en-US" w:eastAsia="zh-CN"/>
        </w:rPr>
      </w:pPr>
      <w:r>
        <w:rPr>
          <w:rFonts w:hint="eastAsia" w:ascii="仿宋_GB2312"/>
          <w:lang w:val="en-US" w:eastAsia="zh-CN"/>
        </w:rPr>
        <w:t>3、绩效评价方法</w:t>
      </w:r>
    </w:p>
    <w:p>
      <w:pPr>
        <w:spacing w:line="600" w:lineRule="exact"/>
        <w:ind w:firstLine="600" w:firstLineChars="200"/>
        <w:rPr>
          <w:rFonts w:hint="eastAsia" w:ascii="仿宋_GB2312"/>
          <w:lang w:val="en-US" w:eastAsia="zh-CN"/>
        </w:rPr>
      </w:pPr>
      <w:r>
        <w:rPr>
          <w:rFonts w:hint="eastAsia" w:ascii="仿宋_GB2312"/>
          <w:lang w:val="en-US" w:eastAsia="zh-CN"/>
        </w:rPr>
        <w:t>绩效评价从项目决策、项目过程、项目产出、项目效益四个维度进行评价。评价对象为项目目标实施情况，  评价核心为资金的支出完成情况和项目的产出效益。</w:t>
      </w:r>
    </w:p>
    <w:p>
      <w:pPr>
        <w:spacing w:line="600" w:lineRule="exact"/>
        <w:ind w:firstLine="600" w:firstLineChars="200"/>
        <w:rPr>
          <w:rFonts w:hint="eastAsia" w:ascii="仿宋_GB2312"/>
          <w:lang w:val="en-US" w:eastAsia="zh-CN"/>
        </w:rPr>
      </w:pPr>
      <w:r>
        <w:rPr>
          <w:rFonts w:hint="eastAsia" w:ascii="仿宋_GB2312"/>
          <w:lang w:val="en-US" w:eastAsia="zh-CN"/>
        </w:rPr>
        <w:t>本次评价指标中，既有定性指标又有定量指标，各类指标因考核内容不同和客观标准不同存在较大差异，因此核定具体指标时采用了不同方法，具体评价方法如下：</w:t>
      </w:r>
    </w:p>
    <w:p>
      <w:pPr>
        <w:spacing w:line="600" w:lineRule="exact"/>
        <w:ind w:firstLine="600" w:firstLineChars="200"/>
        <w:rPr>
          <w:rFonts w:hint="eastAsia" w:ascii="仿宋_GB2312"/>
          <w:lang w:val="en-US" w:eastAsia="zh-CN"/>
        </w:rPr>
      </w:pPr>
      <w:r>
        <w:rPr>
          <w:rFonts w:hint="eastAsia" w:ascii="仿宋_GB2312"/>
          <w:lang w:val="en-US" w:eastAsia="zh-CN"/>
        </w:rPr>
        <w:t>（1）比较法</w:t>
      </w:r>
    </w:p>
    <w:p>
      <w:pPr>
        <w:spacing w:line="600" w:lineRule="exact"/>
        <w:ind w:firstLine="600" w:firstLineChars="200"/>
        <w:rPr>
          <w:rFonts w:hint="eastAsia" w:ascii="仿宋_GB2312"/>
          <w:lang w:val="en-US" w:eastAsia="zh-CN"/>
        </w:rPr>
      </w:pPr>
      <w:r>
        <w:rPr>
          <w:rFonts w:hint="eastAsia" w:ascii="仿宋_GB2312"/>
          <w:lang w:val="en-US" w:eastAsia="zh-CN"/>
        </w:rPr>
        <w:t>通过对绩效目标与实施效果、历史与当期情况，综合分析绩效目标实现程度。对项目最终验收情况与年度绩效目标对比、预算资金执行情况等相关因素进行比较。</w:t>
      </w:r>
    </w:p>
    <w:p>
      <w:pPr>
        <w:spacing w:line="600" w:lineRule="exact"/>
        <w:ind w:firstLine="600" w:firstLineChars="200"/>
        <w:rPr>
          <w:rFonts w:hint="eastAsia" w:ascii="仿宋_GB2312"/>
          <w:lang w:val="en-US" w:eastAsia="zh-CN"/>
        </w:rPr>
      </w:pPr>
      <w:r>
        <w:rPr>
          <w:rFonts w:hint="eastAsia" w:ascii="仿宋_GB2312"/>
          <w:lang w:val="en-US" w:eastAsia="zh-CN"/>
        </w:rPr>
        <w:t>（2）因素分析法</w:t>
      </w:r>
    </w:p>
    <w:p>
      <w:pPr>
        <w:spacing w:line="600" w:lineRule="exact"/>
        <w:ind w:firstLine="600" w:firstLineChars="200"/>
        <w:rPr>
          <w:rFonts w:hint="eastAsia" w:ascii="仿宋_GB2312"/>
          <w:lang w:val="en-US" w:eastAsia="zh-CN"/>
        </w:rPr>
      </w:pPr>
      <w:r>
        <w:rPr>
          <w:rFonts w:hint="eastAsia" w:ascii="仿宋_GB2312"/>
          <w:lang w:val="en-US" w:eastAsia="zh-CN"/>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pPr>
        <w:spacing w:line="600" w:lineRule="exact"/>
        <w:ind w:firstLine="600" w:firstLineChars="200"/>
        <w:rPr>
          <w:rFonts w:hint="eastAsia" w:ascii="仿宋_GB2312"/>
          <w:lang w:val="en-US" w:eastAsia="zh-CN"/>
        </w:rPr>
      </w:pPr>
      <w:r>
        <w:rPr>
          <w:rFonts w:hint="eastAsia" w:ascii="仿宋_GB2312"/>
          <w:lang w:val="en-US" w:eastAsia="zh-CN"/>
        </w:rPr>
        <w:t>4、评价标准</w:t>
      </w:r>
    </w:p>
    <w:p>
      <w:pPr>
        <w:spacing w:line="600" w:lineRule="exact"/>
        <w:ind w:firstLine="600" w:firstLineChars="200"/>
        <w:rPr>
          <w:rFonts w:hint="eastAsia" w:ascii="仿宋_GB2312"/>
          <w:lang w:val="en-US" w:eastAsia="zh-CN"/>
        </w:rPr>
      </w:pPr>
      <w:r>
        <w:rPr>
          <w:rFonts w:hint="eastAsia" w:ascii="仿宋_GB2312"/>
          <w:lang w:val="en-US" w:eastAsia="zh-CN"/>
        </w:rPr>
        <w:t>绩效评价标准通常包括计划标准、行业标准、历史标准等，用于对绩效指标完成情况进行比较。本次评价主要采用了计划标准和行业标准。</w:t>
      </w:r>
    </w:p>
    <w:p>
      <w:pPr>
        <w:spacing w:line="600" w:lineRule="exact"/>
        <w:ind w:firstLine="600" w:firstLineChars="200"/>
        <w:rPr>
          <w:rFonts w:hint="eastAsia" w:ascii="仿宋_GB2312"/>
        </w:rPr>
      </w:pPr>
      <w:r>
        <w:rPr>
          <w:rFonts w:hint="eastAsia" w:ascii="仿宋_GB2312"/>
        </w:rPr>
        <w:t>（三）绩效评价工作过程。</w:t>
      </w:r>
    </w:p>
    <w:p>
      <w:pPr>
        <w:spacing w:line="600" w:lineRule="exact"/>
        <w:ind w:firstLine="600" w:firstLineChars="200"/>
        <w:rPr>
          <w:rFonts w:hint="eastAsia" w:ascii="仿宋_GB2312"/>
          <w:lang w:val="en-US" w:eastAsia="zh-CN"/>
        </w:rPr>
      </w:pPr>
      <w:r>
        <w:rPr>
          <w:rFonts w:hint="eastAsia" w:ascii="仿宋_GB2312"/>
          <w:lang w:val="en-US" w:eastAsia="zh-CN"/>
        </w:rPr>
        <w:t>1、前期准备。首先成立评价工作组，开展前期调研；其次明确项目绩效目标，设计绩效评价指标体系并确定绩效评价方法；接着确定现场和非现场评价范围，设计资料清单；最后制定评价实施方案并进行论证。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600" w:lineRule="exact"/>
        <w:ind w:firstLine="600" w:firstLineChars="200"/>
        <w:rPr>
          <w:rFonts w:hint="eastAsia" w:ascii="仿宋_GB2312"/>
          <w:lang w:val="en-US" w:eastAsia="zh-CN"/>
        </w:rPr>
      </w:pPr>
      <w:r>
        <w:rPr>
          <w:rFonts w:hint="eastAsia" w:ascii="仿宋_GB2312"/>
          <w:lang w:val="en-US" w:eastAsia="zh-CN"/>
        </w:rPr>
        <w:t>2、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600" w:lineRule="exact"/>
        <w:ind w:firstLine="600" w:firstLineChars="200"/>
        <w:rPr>
          <w:rFonts w:hint="eastAsia" w:ascii="仿宋_GB2312"/>
          <w:lang w:val="en-US" w:eastAsia="zh-CN"/>
        </w:rPr>
      </w:pPr>
      <w:r>
        <w:rPr>
          <w:rFonts w:hint="eastAsia" w:ascii="仿宋_GB2312"/>
          <w:lang w:val="en-US" w:eastAsia="zh-CN"/>
        </w:rPr>
        <w:t>3、分析评价。根据收集梳理的资料围绕项目立项、资金落实、业务管理、财务管理、项目产出、项目效益等内容，对照已确定的绩效评价指标进行详细全面的分析评价，逐项打分并形成绩效评价最终结果。</w:t>
      </w:r>
    </w:p>
    <w:p>
      <w:pPr>
        <w:spacing w:line="600" w:lineRule="exact"/>
        <w:ind w:firstLine="600" w:firstLineChars="200"/>
        <w:rPr>
          <w:rFonts w:hint="eastAsia" w:ascii="仿宋_GB2312"/>
        </w:rPr>
      </w:pPr>
      <w:r>
        <w:rPr>
          <w:rFonts w:hint="eastAsia" w:ascii="黑体" w:hAnsi="黑体" w:eastAsia="黑体"/>
        </w:rPr>
        <w:t>三、综合评价情况及评价结论</w:t>
      </w:r>
      <w:r>
        <w:rPr>
          <w:rFonts w:hint="eastAsia" w:ascii="仿宋_GB2312"/>
        </w:rPr>
        <w:t>（附相关评分表）</w:t>
      </w:r>
    </w:p>
    <w:p>
      <w:pPr>
        <w:spacing w:line="600" w:lineRule="exact"/>
        <w:ind w:firstLine="600" w:firstLineChars="200"/>
        <w:rPr>
          <w:rFonts w:hint="eastAsia" w:ascii="仿宋_GB2312"/>
          <w:highlight w:val="none"/>
          <w:lang w:val="en-US" w:eastAsia="zh-CN"/>
        </w:rPr>
      </w:pPr>
      <w:r>
        <w:rPr>
          <w:rFonts w:hint="eastAsia" w:ascii="仿宋_GB2312"/>
          <w:highlight w:val="none"/>
          <w:lang w:val="en-US" w:eastAsia="zh-CN"/>
        </w:rPr>
        <w:t>对2024年教学运行保障项目进行客观评价，最终评分结果：总得分为97.56分，属于“优”。其中，项目决策类指标权重为5分，得分为 5分，得分率为 100%。项目过程类指标权重为5分，得分为4.91分，得分率为 98.2%。项目产出类指标权重为50分，得分为47.65分，得分率为 95.3%。项目效益类指标权重为40分，得分为40分，得分率为100%。</w:t>
      </w:r>
    </w:p>
    <w:tbl>
      <w:tblPr>
        <w:tblStyle w:val="3"/>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p>
            <w:pPr>
              <w:widowControl/>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kern w:val="0"/>
                <w:sz w:val="22"/>
                <w:szCs w:val="22"/>
              </w:rPr>
              <w:t>5分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0.5</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充分</w:t>
            </w:r>
          </w:p>
        </w:tc>
        <w:tc>
          <w:tcPr>
            <w:tcW w:w="1215"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0.5</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规范</w:t>
            </w:r>
          </w:p>
        </w:tc>
        <w:tc>
          <w:tcPr>
            <w:tcW w:w="1215"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1215"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明确</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明确</w:t>
            </w:r>
          </w:p>
        </w:tc>
        <w:tc>
          <w:tcPr>
            <w:tcW w:w="1215"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科学</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科学</w:t>
            </w:r>
          </w:p>
        </w:tc>
        <w:tc>
          <w:tcPr>
            <w:tcW w:w="1215"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1215"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p>
            <w:pPr>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kern w:val="0"/>
                <w:sz w:val="22"/>
                <w:szCs w:val="22"/>
              </w:rPr>
              <w:t>5分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1215"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continue"/>
            <w:shd w:val="clear" w:color="auto" w:fill="FFFFFF"/>
            <w:vAlign w:val="center"/>
          </w:tcPr>
          <w:p>
            <w:pPr>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90.61</w:t>
            </w:r>
            <w:r>
              <w:rPr>
                <w:color w:val="000000"/>
                <w:kern w:val="0"/>
                <w:sz w:val="22"/>
                <w:szCs w:val="22"/>
              </w:rPr>
              <w:t>%</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90.61</w:t>
            </w:r>
            <w:r>
              <w:rPr>
                <w:rFonts w:hint="eastAsia"/>
                <w:color w:val="000000"/>
                <w:kern w:val="0"/>
                <w:sz w:val="22"/>
                <w:szCs w:val="22"/>
              </w:rPr>
              <w:t>%</w:t>
            </w:r>
          </w:p>
        </w:tc>
        <w:tc>
          <w:tcPr>
            <w:tcW w:w="960" w:type="dxa"/>
            <w:shd w:val="clear" w:color="auto" w:fill="FFFFFF"/>
            <w:vAlign w:val="center"/>
          </w:tcPr>
          <w:p>
            <w:pPr>
              <w:widowControl/>
              <w:spacing w:line="0" w:lineRule="atLeast"/>
              <w:jc w:val="center"/>
              <w:rPr>
                <w:rFonts w:hint="default" w:eastAsia="仿宋_GB2312"/>
                <w:color w:val="000000"/>
                <w:kern w:val="0"/>
                <w:sz w:val="22"/>
                <w:szCs w:val="22"/>
                <w:lang w:val="en-US" w:eastAsia="zh-CN"/>
              </w:rPr>
            </w:pPr>
            <w:r>
              <w:rPr>
                <w:rFonts w:hint="eastAsia"/>
                <w:color w:val="000000"/>
                <w:kern w:val="0"/>
                <w:sz w:val="22"/>
                <w:szCs w:val="22"/>
                <w:lang w:val="en-US" w:eastAsia="zh-CN"/>
              </w:rPr>
              <w:t>0.91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合格</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合格</w:t>
            </w:r>
          </w:p>
        </w:tc>
        <w:tc>
          <w:tcPr>
            <w:tcW w:w="1215"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健全</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健全</w:t>
            </w:r>
          </w:p>
        </w:tc>
        <w:tc>
          <w:tcPr>
            <w:tcW w:w="1215"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1215"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pPr>
              <w:widowControl/>
              <w:spacing w:line="0" w:lineRule="atLeast"/>
              <w:jc w:val="center"/>
              <w:rPr>
                <w:color w:val="000000"/>
                <w:kern w:val="0"/>
                <w:sz w:val="22"/>
                <w:szCs w:val="22"/>
              </w:rPr>
            </w:pPr>
            <w:r>
              <w:rPr>
                <w:kern w:val="0"/>
                <w:sz w:val="22"/>
                <w:szCs w:val="22"/>
              </w:rPr>
              <w:t>50分</w:t>
            </w: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15</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1215"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1215"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15</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及时</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及时</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90.61</w:t>
            </w:r>
            <w:r>
              <w:rPr>
                <w:rFonts w:hint="eastAsia"/>
                <w:color w:val="000000"/>
                <w:kern w:val="0"/>
                <w:sz w:val="22"/>
                <w:szCs w:val="22"/>
              </w:rPr>
              <w:t>%</w:t>
            </w:r>
          </w:p>
        </w:tc>
        <w:tc>
          <w:tcPr>
            <w:tcW w:w="960" w:type="dxa"/>
            <w:shd w:val="clear" w:color="000000" w:fill="FFFFFF"/>
            <w:vAlign w:val="center"/>
          </w:tcPr>
          <w:p>
            <w:pPr>
              <w:widowControl/>
              <w:spacing w:line="0" w:lineRule="atLeast"/>
              <w:jc w:val="center"/>
              <w:rPr>
                <w:rFonts w:hint="default" w:eastAsia="仿宋_GB2312"/>
                <w:color w:val="000000"/>
                <w:kern w:val="0"/>
                <w:sz w:val="22"/>
                <w:szCs w:val="22"/>
                <w:lang w:val="en-US" w:eastAsia="zh-CN"/>
              </w:rPr>
            </w:pPr>
            <w:r>
              <w:rPr>
                <w:rFonts w:hint="eastAsia"/>
                <w:color w:val="000000"/>
                <w:kern w:val="0"/>
                <w:sz w:val="22"/>
                <w:szCs w:val="22"/>
                <w:lang w:val="en-US" w:eastAsia="zh-CN"/>
              </w:rPr>
              <w:t>13.59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90.61</w:t>
            </w:r>
            <w:r>
              <w:rPr>
                <w:color w:val="000000"/>
                <w:kern w:val="0"/>
                <w:sz w:val="22"/>
                <w:szCs w:val="22"/>
              </w:rPr>
              <w:t>%</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90.61</w:t>
            </w:r>
            <w:r>
              <w:rPr>
                <w:rFonts w:hint="eastAsia"/>
                <w:color w:val="000000"/>
                <w:kern w:val="0"/>
                <w:sz w:val="22"/>
                <w:szCs w:val="22"/>
              </w:rPr>
              <w:t>%</w:t>
            </w:r>
          </w:p>
        </w:tc>
        <w:tc>
          <w:tcPr>
            <w:tcW w:w="960" w:type="dxa"/>
            <w:shd w:val="clear" w:color="000000" w:fill="FFFFFF"/>
            <w:vAlign w:val="center"/>
          </w:tcPr>
          <w:p>
            <w:pPr>
              <w:widowControl/>
              <w:spacing w:line="0" w:lineRule="atLeast"/>
              <w:jc w:val="center"/>
              <w:rPr>
                <w:rFonts w:hint="default" w:eastAsia="仿宋_GB2312"/>
                <w:color w:val="000000"/>
                <w:kern w:val="0"/>
                <w:sz w:val="22"/>
                <w:szCs w:val="22"/>
                <w:lang w:val="en-US" w:eastAsia="zh-CN"/>
              </w:rPr>
            </w:pPr>
            <w:r>
              <w:rPr>
                <w:rFonts w:hint="eastAsia"/>
                <w:color w:val="000000"/>
                <w:kern w:val="0"/>
                <w:sz w:val="22"/>
                <w:szCs w:val="22"/>
                <w:lang w:val="en-US" w:eastAsia="zh-CN"/>
              </w:rPr>
              <w:t>9.06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990"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40分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p>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30</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1215"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≥95%</w:t>
            </w:r>
          </w:p>
        </w:tc>
        <w:tc>
          <w:tcPr>
            <w:tcW w:w="924"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98.35</w:t>
            </w:r>
            <w:r>
              <w:rPr>
                <w:color w:val="000000"/>
                <w:kern w:val="0"/>
                <w:sz w:val="22"/>
                <w:szCs w:val="22"/>
              </w:rPr>
              <w:t>%</w:t>
            </w:r>
          </w:p>
        </w:tc>
        <w:tc>
          <w:tcPr>
            <w:tcW w:w="1215"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r>
    </w:tbl>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spacing w:line="600" w:lineRule="exact"/>
        <w:ind w:firstLine="600" w:firstLineChars="200"/>
        <w:rPr>
          <w:rFonts w:ascii="黑体" w:hAnsi="黑体" w:eastAsia="黑体"/>
        </w:rPr>
      </w:pPr>
      <w:r>
        <w:rPr>
          <w:rFonts w:hint="eastAsia" w:ascii="黑体" w:hAnsi="黑体" w:eastAsia="黑体"/>
        </w:rPr>
        <w:t>四、绩效评价指标分析</w:t>
      </w:r>
    </w:p>
    <w:p>
      <w:pPr>
        <w:spacing w:line="600" w:lineRule="exact"/>
        <w:ind w:firstLine="602" w:firstLineChars="200"/>
        <w:outlineLvl w:val="0"/>
        <w:rPr>
          <w:rFonts w:hint="eastAsia" w:ascii="仿宋_GB2312"/>
        </w:rPr>
      </w:pPr>
      <w:r>
        <w:rPr>
          <w:rFonts w:hint="eastAsia" w:ascii="仿宋_GB2312"/>
          <w:b/>
          <w:bCs/>
        </w:rPr>
        <w:t>（一）项目决策情况</w:t>
      </w:r>
    </w:p>
    <w:p>
      <w:pPr>
        <w:spacing w:line="600" w:lineRule="exact"/>
        <w:ind w:firstLine="600" w:firstLineChars="200"/>
        <w:rPr>
          <w:rFonts w:hint="eastAsia" w:ascii="仿宋_GB2312"/>
          <w:lang w:val="en-US" w:eastAsia="zh-CN"/>
        </w:rPr>
      </w:pPr>
      <w:r>
        <w:rPr>
          <w:rFonts w:hint="eastAsia" w:ascii="仿宋_GB2312"/>
          <w:lang w:val="en-US" w:eastAsia="zh-CN"/>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pPr>
        <w:spacing w:line="600" w:lineRule="exact"/>
        <w:ind w:firstLine="602" w:firstLineChars="200"/>
        <w:outlineLvl w:val="0"/>
        <w:rPr>
          <w:rFonts w:hint="eastAsia" w:ascii="仿宋_GB2312"/>
          <w:b/>
          <w:bCs/>
          <w:i w:val="0"/>
          <w:iCs w:val="0"/>
        </w:rPr>
      </w:pPr>
      <w:r>
        <w:rPr>
          <w:rFonts w:hint="eastAsia" w:ascii="仿宋_GB2312"/>
          <w:b/>
          <w:bCs/>
          <w:i w:val="0"/>
          <w:iCs w:val="0"/>
        </w:rPr>
        <w:t>（二）项目过程情况</w:t>
      </w:r>
    </w:p>
    <w:p>
      <w:pPr>
        <w:spacing w:line="600" w:lineRule="exact"/>
        <w:ind w:firstLine="600" w:firstLineChars="200"/>
        <w:rPr>
          <w:rFonts w:hint="eastAsia" w:ascii="仿宋_GB2312"/>
          <w:lang w:val="en-US" w:eastAsia="zh-CN"/>
        </w:rPr>
      </w:pPr>
      <w:r>
        <w:rPr>
          <w:rFonts w:hint="eastAsia" w:ascii="仿宋_GB2312"/>
          <w:lang w:val="en-US" w:eastAsia="zh-CN"/>
        </w:rPr>
        <w:t>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600" w:lineRule="exact"/>
        <w:ind w:firstLine="602" w:firstLineChars="200"/>
        <w:outlineLvl w:val="0"/>
        <w:rPr>
          <w:rFonts w:hint="eastAsia" w:ascii="仿宋_GB2312"/>
          <w:b/>
          <w:bCs/>
        </w:rPr>
      </w:pPr>
      <w:r>
        <w:rPr>
          <w:rFonts w:hint="eastAsia" w:ascii="仿宋_GB2312"/>
          <w:b/>
          <w:bCs/>
        </w:rPr>
        <w:t>（三）项目产出情况</w:t>
      </w:r>
    </w:p>
    <w:p>
      <w:pPr>
        <w:spacing w:line="600" w:lineRule="exact"/>
        <w:ind w:firstLine="600" w:firstLineChars="200"/>
        <w:rPr>
          <w:rFonts w:hint="eastAsia" w:ascii="仿宋_GB2312"/>
          <w:lang w:val="en-US" w:eastAsia="zh-CN"/>
        </w:rPr>
      </w:pPr>
      <w:r>
        <w:rPr>
          <w:rFonts w:hint="eastAsia" w:ascii="仿宋_GB2312"/>
          <w:lang w:val="en-US" w:eastAsia="zh-CN"/>
        </w:rPr>
        <w:t>数量指标方面：</w:t>
      </w:r>
    </w:p>
    <w:p>
      <w:pPr>
        <w:spacing w:line="600" w:lineRule="exact"/>
        <w:ind w:firstLine="600" w:firstLineChars="200"/>
        <w:rPr>
          <w:rFonts w:hint="default" w:ascii="仿宋_GB2312"/>
          <w:lang w:val="en-US" w:eastAsia="zh-CN"/>
        </w:rPr>
      </w:pPr>
      <w:r>
        <w:rPr>
          <w:rFonts w:hint="eastAsia" w:ascii="仿宋_GB2312"/>
          <w:lang w:val="en-US" w:eastAsia="zh-CN"/>
        </w:rPr>
        <w:t>实训综合楼等购置实训设备台套数200台（套），校企合作办学年度服务学生人数800人，重点马院示范项目数1个。</w:t>
      </w:r>
    </w:p>
    <w:p>
      <w:pPr>
        <w:spacing w:line="600" w:lineRule="exact"/>
        <w:ind w:firstLine="600" w:firstLineChars="200"/>
        <w:rPr>
          <w:rFonts w:hint="eastAsia" w:ascii="仿宋_GB2312"/>
          <w:lang w:val="en-US" w:eastAsia="zh-CN"/>
        </w:rPr>
      </w:pPr>
      <w:r>
        <w:rPr>
          <w:rFonts w:hint="eastAsia" w:ascii="仿宋_GB2312"/>
          <w:lang w:val="en-US" w:eastAsia="zh-CN"/>
        </w:rPr>
        <w:t>质量指标方面：</w:t>
      </w:r>
    </w:p>
    <w:p>
      <w:pPr>
        <w:spacing w:line="600" w:lineRule="exact"/>
        <w:ind w:firstLine="600" w:firstLineChars="200"/>
        <w:rPr>
          <w:rFonts w:hint="default" w:ascii="仿宋_GB2312"/>
          <w:lang w:val="en-US" w:eastAsia="zh-CN"/>
        </w:rPr>
      </w:pPr>
      <w:r>
        <w:rPr>
          <w:rFonts w:hint="eastAsia" w:ascii="仿宋_GB2312"/>
          <w:lang w:val="en-US" w:eastAsia="zh-CN"/>
        </w:rPr>
        <w:t>实训综合楼实训设备购置验收合格率100%，校企合作办学年度教学任务完成率100%，重点马院示范项目在教学中的使用覆盖率100%。</w:t>
      </w:r>
    </w:p>
    <w:p>
      <w:pPr>
        <w:spacing w:line="600" w:lineRule="exact"/>
        <w:ind w:firstLine="600" w:firstLineChars="200"/>
        <w:rPr>
          <w:rFonts w:hint="eastAsia" w:ascii="仿宋_GB2312"/>
          <w:lang w:val="en-US" w:eastAsia="zh-CN"/>
        </w:rPr>
      </w:pPr>
      <w:r>
        <w:rPr>
          <w:rFonts w:hint="eastAsia" w:ascii="仿宋_GB2312"/>
          <w:lang w:val="en-US" w:eastAsia="zh-CN"/>
        </w:rPr>
        <w:t>成本指标方面：</w:t>
      </w:r>
    </w:p>
    <w:p>
      <w:pPr>
        <w:spacing w:line="600" w:lineRule="exact"/>
        <w:ind w:firstLine="600" w:firstLineChars="200"/>
        <w:rPr>
          <w:rFonts w:hint="default" w:ascii="仿宋_GB2312"/>
          <w:lang w:val="en-US" w:eastAsia="zh-CN"/>
        </w:rPr>
      </w:pPr>
      <w:r>
        <w:rPr>
          <w:rFonts w:hint="eastAsia" w:ascii="仿宋_GB2312"/>
          <w:lang w:val="en-US" w:eastAsia="zh-CN"/>
        </w:rPr>
        <w:t>实训综合楼实训设备购置费用449.05万元，校企合作项目经费307.18万元，示范马院建设经费9.18万元，项目建设质保金30.15万元。</w:t>
      </w:r>
    </w:p>
    <w:p>
      <w:pPr>
        <w:spacing w:line="600" w:lineRule="exact"/>
        <w:ind w:firstLine="600" w:firstLineChars="200"/>
        <w:rPr>
          <w:rFonts w:hint="eastAsia" w:ascii="仿宋_GB2312"/>
          <w:lang w:val="en-US" w:eastAsia="zh-CN"/>
        </w:rPr>
      </w:pPr>
      <w:r>
        <w:rPr>
          <w:rFonts w:hint="eastAsia" w:ascii="仿宋_GB2312"/>
          <w:lang w:val="en-US" w:eastAsia="zh-CN"/>
        </w:rPr>
        <w:t>时效指标方面：</w:t>
      </w:r>
    </w:p>
    <w:p>
      <w:pPr>
        <w:spacing w:line="600" w:lineRule="exact"/>
        <w:ind w:firstLine="600" w:firstLineChars="200"/>
        <w:rPr>
          <w:rFonts w:hint="eastAsia" w:ascii="仿宋_GB2312"/>
          <w:lang w:val="en-US" w:eastAsia="zh-CN"/>
        </w:rPr>
      </w:pPr>
      <w:r>
        <w:rPr>
          <w:rFonts w:hint="eastAsia" w:ascii="仿宋_GB2312"/>
          <w:lang w:val="en-US" w:eastAsia="zh-CN"/>
        </w:rPr>
        <w:t>项目采购按时完成率100%，任务完成度100%，资金支出及时率90.61%。</w:t>
      </w:r>
    </w:p>
    <w:p>
      <w:pPr>
        <w:spacing w:line="600" w:lineRule="exact"/>
        <w:ind w:firstLine="602" w:firstLineChars="200"/>
        <w:outlineLvl w:val="0"/>
        <w:rPr>
          <w:rFonts w:hint="eastAsia" w:ascii="仿宋_GB2312"/>
          <w:b/>
          <w:bCs/>
        </w:rPr>
      </w:pPr>
      <w:r>
        <w:rPr>
          <w:rFonts w:hint="eastAsia" w:ascii="仿宋_GB2312"/>
          <w:b/>
          <w:bCs/>
        </w:rPr>
        <w:t>（四）项目效益情况</w:t>
      </w:r>
    </w:p>
    <w:p>
      <w:pPr>
        <w:spacing w:line="600" w:lineRule="exact"/>
        <w:ind w:firstLine="600" w:firstLineChars="200"/>
        <w:rPr>
          <w:rFonts w:hint="eastAsia" w:ascii="仿宋_GB2312"/>
          <w:lang w:val="en-US" w:eastAsia="zh-CN"/>
        </w:rPr>
      </w:pPr>
      <w:r>
        <w:rPr>
          <w:rFonts w:hint="eastAsia" w:ascii="仿宋_GB2312"/>
          <w:lang w:val="en-US" w:eastAsia="zh-CN"/>
        </w:rPr>
        <w:t>社会效益指标方面：</w:t>
      </w:r>
    </w:p>
    <w:p>
      <w:pPr>
        <w:spacing w:line="600" w:lineRule="exact"/>
        <w:ind w:firstLine="600" w:firstLineChars="200"/>
        <w:rPr>
          <w:rFonts w:hint="default" w:ascii="仿宋_GB2312"/>
          <w:lang w:val="en-US" w:eastAsia="zh-CN"/>
        </w:rPr>
      </w:pPr>
      <w:r>
        <w:rPr>
          <w:rFonts w:hint="eastAsia" w:ascii="仿宋_GB2312"/>
          <w:lang w:val="en-US" w:eastAsia="zh-CN"/>
        </w:rPr>
        <w:t>毕业生起薪提高414元。</w:t>
      </w:r>
    </w:p>
    <w:p>
      <w:pPr>
        <w:spacing w:line="600" w:lineRule="exact"/>
        <w:ind w:firstLine="600" w:firstLineChars="200"/>
        <w:rPr>
          <w:rFonts w:hint="eastAsia" w:ascii="仿宋_GB2312"/>
          <w:lang w:val="en-US" w:eastAsia="zh-CN"/>
        </w:rPr>
      </w:pPr>
      <w:r>
        <w:rPr>
          <w:rFonts w:hint="eastAsia" w:ascii="仿宋_GB2312"/>
          <w:lang w:val="en-US" w:eastAsia="zh-CN"/>
        </w:rPr>
        <w:t>满意度指标方面：</w:t>
      </w:r>
    </w:p>
    <w:p>
      <w:pPr>
        <w:spacing w:line="600" w:lineRule="exact"/>
        <w:ind w:firstLine="600" w:firstLineChars="200"/>
      </w:pPr>
      <w:r>
        <w:rPr>
          <w:rFonts w:hint="eastAsia" w:ascii="仿宋_GB2312"/>
          <w:lang w:val="en-US" w:eastAsia="zh-CN"/>
        </w:rPr>
        <w:t>师生满意度为98.35%。</w:t>
      </w:r>
    </w:p>
    <w:p>
      <w:pPr>
        <w:spacing w:line="600" w:lineRule="exact"/>
        <w:ind w:firstLine="600" w:firstLineChars="200"/>
        <w:rPr>
          <w:rFonts w:hint="eastAsia" w:ascii="黑体" w:hAnsi="黑体" w:eastAsia="黑体"/>
        </w:rPr>
      </w:pPr>
      <w:r>
        <w:rPr>
          <w:rFonts w:hint="eastAsia" w:ascii="黑体" w:hAnsi="黑体" w:eastAsia="黑体"/>
        </w:rPr>
        <w:t>五、主要经验及做法、存在的问题及原因分析</w:t>
      </w:r>
    </w:p>
    <w:p>
      <w:pPr>
        <w:spacing w:line="600" w:lineRule="exact"/>
        <w:ind w:firstLine="602" w:firstLineChars="200"/>
        <w:rPr>
          <w:rFonts w:hint="eastAsia" w:ascii="仿宋_GB2312"/>
          <w:b/>
          <w:bCs/>
          <w:lang w:val="en-US" w:eastAsia="zh-CN"/>
        </w:rPr>
      </w:pPr>
      <w:r>
        <w:rPr>
          <w:rFonts w:hint="eastAsia" w:ascii="仿宋_GB2312"/>
          <w:b/>
          <w:bCs/>
          <w:lang w:val="en-US" w:eastAsia="zh-CN"/>
        </w:rPr>
        <w:t>（一）主要经验及做法</w:t>
      </w:r>
    </w:p>
    <w:p>
      <w:pPr>
        <w:spacing w:line="600" w:lineRule="exact"/>
        <w:ind w:firstLine="600" w:firstLineChars="200"/>
        <w:rPr>
          <w:rFonts w:hint="eastAsia" w:ascii="仿宋_GB2312"/>
          <w:lang w:val="en-US" w:eastAsia="zh-CN"/>
        </w:rPr>
      </w:pPr>
      <w:r>
        <w:rPr>
          <w:rFonts w:hint="eastAsia" w:ascii="仿宋_GB2312"/>
          <w:lang w:val="en-US" w:eastAsia="zh-CN"/>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spacing w:line="600" w:lineRule="exact"/>
        <w:ind w:firstLine="600" w:firstLineChars="200"/>
        <w:rPr>
          <w:rFonts w:hint="eastAsia" w:ascii="仿宋_GB2312"/>
          <w:lang w:val="en-US" w:eastAsia="zh-CN"/>
        </w:rPr>
      </w:pPr>
      <w:r>
        <w:rPr>
          <w:rFonts w:hint="eastAsia" w:ascii="仿宋_GB2312"/>
          <w:lang w:val="en-US" w:eastAsia="zh-CN"/>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spacing w:line="600" w:lineRule="exact"/>
        <w:ind w:firstLine="600" w:firstLineChars="200"/>
        <w:rPr>
          <w:rFonts w:hint="eastAsia" w:ascii="仿宋_GB2312"/>
          <w:lang w:val="en-US" w:eastAsia="zh-CN"/>
        </w:rPr>
      </w:pPr>
      <w:r>
        <w:rPr>
          <w:rFonts w:hint="eastAsia" w:ascii="仿宋_GB2312"/>
          <w:lang w:val="en-US" w:eastAsia="zh-CN"/>
        </w:rPr>
        <w:t>存在的问题及原因分析</w:t>
      </w:r>
    </w:p>
    <w:p>
      <w:pPr>
        <w:spacing w:line="600" w:lineRule="exact"/>
        <w:ind w:firstLine="600" w:firstLineChars="200"/>
        <w:rPr>
          <w:rFonts w:hint="default" w:ascii="仿宋_GB2312"/>
          <w:lang w:val="en-US" w:eastAsia="zh-CN"/>
        </w:rPr>
      </w:pPr>
      <w:r>
        <w:rPr>
          <w:rFonts w:hint="eastAsia" w:ascii="仿宋_GB2312"/>
          <w:lang w:val="en-US" w:eastAsia="zh-CN"/>
        </w:rPr>
        <w:t>项目资金未全部支出，主要原因是项目经费预算不够精确，今后细化项目预算，提高预算精度。</w:t>
      </w:r>
    </w:p>
    <w:p>
      <w:pPr>
        <w:spacing w:line="600" w:lineRule="exact"/>
        <w:ind w:firstLine="600" w:firstLineChars="200"/>
        <w:rPr>
          <w:rFonts w:hint="eastAsia" w:ascii="黑体" w:hAnsi="黑体" w:eastAsia="黑体"/>
        </w:rPr>
      </w:pPr>
      <w:r>
        <w:rPr>
          <w:rFonts w:hint="eastAsia" w:ascii="黑体" w:hAnsi="黑体" w:eastAsia="黑体"/>
        </w:rPr>
        <w:t>六、有关建议</w:t>
      </w:r>
    </w:p>
    <w:p>
      <w:pPr>
        <w:spacing w:line="600" w:lineRule="exact"/>
        <w:ind w:firstLine="600" w:firstLineChars="200"/>
        <w:rPr>
          <w:rFonts w:hint="default" w:ascii="仿宋_GB2312"/>
          <w:lang w:val="en-US" w:eastAsia="zh-CN"/>
        </w:rPr>
      </w:pPr>
      <w:r>
        <w:rPr>
          <w:rFonts w:hint="eastAsia" w:ascii="仿宋_GB2312"/>
          <w:lang w:val="en-US" w:eastAsia="zh-CN"/>
        </w:rPr>
        <w:t>无</w:t>
      </w:r>
    </w:p>
    <w:p>
      <w:pPr>
        <w:numPr>
          <w:ilvl w:val="0"/>
          <w:numId w:val="1"/>
        </w:numPr>
        <w:spacing w:line="600" w:lineRule="exact"/>
        <w:ind w:firstLine="600" w:firstLineChars="200"/>
        <w:rPr>
          <w:rFonts w:hint="eastAsia" w:ascii="黑体" w:hAnsi="黑体" w:eastAsia="黑体"/>
        </w:rPr>
      </w:pPr>
      <w:r>
        <w:rPr>
          <w:rFonts w:hint="eastAsia" w:ascii="黑体" w:hAnsi="黑体" w:eastAsia="黑体"/>
        </w:rPr>
        <w:t>其他需要说明的问题</w:t>
      </w:r>
    </w:p>
    <w:p>
      <w:pPr>
        <w:spacing w:line="600" w:lineRule="exact"/>
        <w:ind w:firstLine="600" w:firstLineChars="200"/>
        <w:rPr>
          <w:rFonts w:hint="eastAsia" w:ascii="仿宋_GB2312"/>
          <w:lang w:val="en-US" w:eastAsia="zh-CN"/>
        </w:rPr>
      </w:pPr>
      <w:r>
        <w:rPr>
          <w:rFonts w:hint="eastAsia" w:ascii="仿宋_GB2312"/>
          <w:lang w:val="en-US" w:eastAsia="zh-CN"/>
        </w:rPr>
        <w:t>无</w:t>
      </w:r>
    </w:p>
    <w:p>
      <w:pPr>
        <w:pStyle w:val="2"/>
        <w:rPr>
          <w:rFonts w:hint="eastAsia" w:ascii="仿宋_GB2312"/>
          <w:lang w:val="en-US" w:eastAsia="zh-CN"/>
        </w:rPr>
      </w:pPr>
    </w:p>
    <w:p>
      <w:pPr>
        <w:rPr>
          <w:rFonts w:hint="eastAsia"/>
          <w:lang w:val="en-US" w:eastAsia="zh-CN"/>
        </w:rPr>
        <w:sectPr>
          <w:pgSz w:w="11906" w:h="16838"/>
          <w:pgMar w:top="1928" w:right="1531" w:bottom="1701" w:left="1531" w:header="737" w:footer="851" w:gutter="0"/>
          <w:cols w:space="720" w:num="1"/>
          <w:docGrid w:type="lines" w:linePitch="408" w:charSpace="0"/>
        </w:sectPr>
      </w:pPr>
    </w:p>
    <w:tbl>
      <w:tblPr>
        <w:tblStyle w:val="3"/>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33"/>
        <w:gridCol w:w="626"/>
        <w:gridCol w:w="672"/>
        <w:gridCol w:w="1223"/>
        <w:gridCol w:w="1016"/>
        <w:gridCol w:w="718"/>
        <w:gridCol w:w="626"/>
        <w:gridCol w:w="672"/>
        <w:gridCol w:w="764"/>
        <w:gridCol w:w="704"/>
        <w:gridCol w:w="1223"/>
        <w:gridCol w:w="866"/>
        <w:gridCol w:w="936"/>
        <w:gridCol w:w="22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附件1</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0" w:type="auto"/>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2024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0" w:type="auto"/>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教学运行保障经费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新疆农业职业技术大学</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新疆农业职业技术大学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资金来源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分值权重</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795.56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90.61%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795.56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总体目标</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学运行保障经费是学院开展教育教学日常运行和改革工作的基本保障，为年度人才培养工作正常开展提供支撑，是三保经费。2024年度经费主要用于实训设备购置和产业学院人才培养，其中新建实训楼设备购置450万、校企合作项目经费345万、示范马院建设等10万、项目建设质保金73万。</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项目总体绩效目标基本实现，购置实训设备204套、校企合作办学年度服务学生数800人、马院示范项目数1个，设备验收全部合格，教学任务全部完成，思想政治资源已在教学中使用，资金支出率达到90%。项目效益明显，校企合作项目培养毕业生起薪教去年提高414元，师生满意度达到98.35%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指标值设置依据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指标分值权重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指标赋分规则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佐证资料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年度绩效指标完成情况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实训综合楼等购置实训设备台套数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&gt;=200台（套）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校企合作办学年度服务学生人数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&gt;=800人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重点马院示范项目数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实训综合楼实训设备购置验收合格率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校企合作办学年度教学任务完成率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重点马院示范项目在教学中的使用覆盖率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项目采购按时完成率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教学任务完成度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资金如期支出率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90.61%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90.61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经费预算不够精确，今后细化项目预算，提高预算精度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实训综合楼实训设备购置费用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&lt;=450万元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449.05万元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99.79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校企合作项目经费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&lt;=345万元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307.18万元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89.03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经费预算不够精确，今后细化项目预算，提高预算精度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示范马院建设经费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&lt;=10万元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9.18万元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经费预算不够精确，今后细化项目预算，提高预算精度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项目建设质保金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&lt;=73万元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30.15万元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经费预算不够精确，今后细化项目预算，提高预算精度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毕业生起薪提高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&gt;=100元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414元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师生满意度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98.35%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nil"/>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bl>
    <w:p>
      <w:pPr>
        <w:spacing w:line="600" w:lineRule="exact"/>
        <w:rPr>
          <w:bCs/>
          <w:sz w:val="32"/>
          <w:szCs w:val="32"/>
        </w:rPr>
      </w:pPr>
    </w:p>
    <w:p>
      <w:pPr>
        <w:pStyle w:val="2"/>
        <w:rPr>
          <w:bCs/>
          <w:sz w:val="32"/>
          <w:szCs w:val="32"/>
        </w:rPr>
      </w:pPr>
    </w:p>
    <w:p>
      <w:pPr>
        <w:rPr>
          <w:bCs/>
          <w:sz w:val="32"/>
          <w:szCs w:val="32"/>
        </w:rPr>
        <w:sectPr>
          <w:pgSz w:w="16838" w:h="11906" w:orient="landscape"/>
          <w:pgMar w:top="1531" w:right="1928" w:bottom="1531" w:left="1701" w:header="737" w:footer="851" w:gutter="0"/>
          <w:cols w:space="720" w:num="1"/>
          <w:docGrid w:type="lines" w:linePitch="408" w:charSpace="0"/>
        </w:sectPr>
      </w:pPr>
    </w:p>
    <w:p>
      <w:pPr>
        <w:spacing w:line="600" w:lineRule="exact"/>
        <w:rPr>
          <w:bCs/>
          <w:sz w:val="32"/>
          <w:szCs w:val="32"/>
        </w:rPr>
      </w:pPr>
      <w:r>
        <w:rPr>
          <w:bCs/>
          <w:sz w:val="32"/>
          <w:szCs w:val="32"/>
        </w:rPr>
        <w:t>附件1</w:t>
      </w:r>
    </w:p>
    <w:tbl>
      <w:tblPr>
        <w:tblStyle w:val="3"/>
        <w:tblW w:w="96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7"/>
        <w:gridCol w:w="728"/>
        <w:gridCol w:w="728"/>
        <w:gridCol w:w="2040"/>
        <w:gridCol w:w="3934"/>
        <w:gridCol w:w="728"/>
        <w:gridCol w:w="7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2" w:hRule="atLeast"/>
          <w:tblHeader/>
          <w:jc w:val="center"/>
        </w:trPr>
        <w:tc>
          <w:tcPr>
            <w:tcW w:w="717"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728"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728"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204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3934"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728"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73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18" w:hRule="atLeast"/>
          <w:jc w:val="center"/>
        </w:trPr>
        <w:tc>
          <w:tcPr>
            <w:tcW w:w="71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728"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728"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2040" w:type="dxa"/>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3934"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728"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0.5</w:t>
            </w:r>
          </w:p>
        </w:tc>
        <w:tc>
          <w:tcPr>
            <w:tcW w:w="73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40" w:hRule="atLeast"/>
          <w:jc w:val="center"/>
        </w:trPr>
        <w:tc>
          <w:tcPr>
            <w:tcW w:w="717" w:type="dxa"/>
            <w:vMerge w:val="continue"/>
            <w:shd w:val="clear" w:color="auto" w:fill="FFFFFF"/>
            <w:vAlign w:val="center"/>
          </w:tcPr>
          <w:p>
            <w:pPr>
              <w:spacing w:line="0" w:lineRule="atLeast"/>
              <w:jc w:val="center"/>
              <w:rPr>
                <w:color w:val="000000"/>
                <w:kern w:val="0"/>
                <w:sz w:val="22"/>
                <w:szCs w:val="22"/>
              </w:rPr>
            </w:pPr>
          </w:p>
        </w:tc>
        <w:tc>
          <w:tcPr>
            <w:tcW w:w="728" w:type="dxa"/>
            <w:vMerge w:val="continue"/>
            <w:shd w:val="clear" w:color="auto" w:fill="FFFFFF"/>
            <w:vAlign w:val="center"/>
          </w:tcPr>
          <w:p>
            <w:pPr>
              <w:widowControl/>
              <w:spacing w:line="0" w:lineRule="atLeast"/>
              <w:jc w:val="center"/>
              <w:rPr>
                <w:color w:val="000000"/>
                <w:kern w:val="0"/>
                <w:sz w:val="22"/>
                <w:szCs w:val="22"/>
              </w:rPr>
            </w:pPr>
          </w:p>
        </w:tc>
        <w:tc>
          <w:tcPr>
            <w:tcW w:w="728"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2040" w:type="dxa"/>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3934"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728"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0.5</w:t>
            </w:r>
          </w:p>
        </w:tc>
        <w:tc>
          <w:tcPr>
            <w:tcW w:w="73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9" w:hRule="atLeast"/>
          <w:jc w:val="center"/>
        </w:trPr>
        <w:tc>
          <w:tcPr>
            <w:tcW w:w="717" w:type="dxa"/>
            <w:vMerge w:val="continue"/>
            <w:shd w:val="clear" w:color="auto" w:fill="FFFFFF"/>
            <w:vAlign w:val="center"/>
          </w:tcPr>
          <w:p>
            <w:pPr>
              <w:spacing w:line="0" w:lineRule="atLeast"/>
              <w:jc w:val="center"/>
              <w:rPr>
                <w:color w:val="000000"/>
                <w:kern w:val="0"/>
                <w:sz w:val="22"/>
                <w:szCs w:val="22"/>
              </w:rPr>
            </w:pPr>
          </w:p>
        </w:tc>
        <w:tc>
          <w:tcPr>
            <w:tcW w:w="728"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728"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2040" w:type="dxa"/>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3934" w:type="dxa"/>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728"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71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tc>
        <w:tc>
          <w:tcPr>
            <w:tcW w:w="728"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tc>
        <w:tc>
          <w:tcPr>
            <w:tcW w:w="728"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2040" w:type="dxa"/>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3934"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p>
        </w:tc>
        <w:tc>
          <w:tcPr>
            <w:tcW w:w="728"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jc w:val="center"/>
        </w:trPr>
        <w:tc>
          <w:tcPr>
            <w:tcW w:w="717" w:type="dxa"/>
            <w:vMerge w:val="continue"/>
            <w:shd w:val="clear" w:color="auto" w:fill="FFFFFF"/>
            <w:vAlign w:val="center"/>
          </w:tcPr>
          <w:p>
            <w:pPr>
              <w:spacing w:line="0" w:lineRule="atLeast"/>
              <w:jc w:val="center"/>
              <w:rPr>
                <w:color w:val="000000"/>
                <w:kern w:val="0"/>
                <w:sz w:val="22"/>
                <w:szCs w:val="22"/>
              </w:rPr>
            </w:pPr>
          </w:p>
        </w:tc>
        <w:tc>
          <w:tcPr>
            <w:tcW w:w="728"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728"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2040" w:type="dxa"/>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3934"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728"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6" w:hRule="atLeast"/>
          <w:jc w:val="center"/>
        </w:trPr>
        <w:tc>
          <w:tcPr>
            <w:tcW w:w="717" w:type="dxa"/>
            <w:vMerge w:val="continue"/>
            <w:shd w:val="clear" w:color="auto" w:fill="FFFFFF"/>
            <w:vAlign w:val="center"/>
          </w:tcPr>
          <w:p>
            <w:pPr>
              <w:widowControl/>
              <w:spacing w:line="0" w:lineRule="atLeast"/>
              <w:jc w:val="center"/>
              <w:rPr>
                <w:color w:val="000000"/>
                <w:kern w:val="0"/>
                <w:sz w:val="22"/>
                <w:szCs w:val="22"/>
              </w:rPr>
            </w:pPr>
          </w:p>
        </w:tc>
        <w:tc>
          <w:tcPr>
            <w:tcW w:w="728" w:type="dxa"/>
            <w:vMerge w:val="continue"/>
            <w:shd w:val="clear" w:color="auto" w:fill="FFFFFF"/>
            <w:vAlign w:val="center"/>
          </w:tcPr>
          <w:p>
            <w:pPr>
              <w:widowControl/>
              <w:spacing w:line="0" w:lineRule="atLeast"/>
              <w:jc w:val="center"/>
              <w:rPr>
                <w:color w:val="000000"/>
                <w:kern w:val="0"/>
                <w:sz w:val="22"/>
                <w:szCs w:val="22"/>
              </w:rPr>
            </w:pPr>
          </w:p>
        </w:tc>
        <w:tc>
          <w:tcPr>
            <w:tcW w:w="728"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2040"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3934"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728"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5" w:hRule="atLeast"/>
          <w:jc w:val="center"/>
        </w:trPr>
        <w:tc>
          <w:tcPr>
            <w:tcW w:w="717" w:type="dxa"/>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tc>
        <w:tc>
          <w:tcPr>
            <w:tcW w:w="728"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728"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2040" w:type="dxa"/>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3934" w:type="dxa"/>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728"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0" w:hRule="atLeast"/>
          <w:jc w:val="center"/>
        </w:trPr>
        <w:tc>
          <w:tcPr>
            <w:tcW w:w="717" w:type="dxa"/>
            <w:vMerge w:val="continue"/>
            <w:shd w:val="clear" w:color="auto" w:fill="FFFFFF"/>
            <w:vAlign w:val="center"/>
          </w:tcPr>
          <w:p>
            <w:pPr>
              <w:spacing w:line="0" w:lineRule="atLeast"/>
              <w:jc w:val="center"/>
              <w:rPr>
                <w:color w:val="000000"/>
                <w:kern w:val="0"/>
                <w:sz w:val="22"/>
                <w:szCs w:val="22"/>
              </w:rPr>
            </w:pPr>
          </w:p>
        </w:tc>
        <w:tc>
          <w:tcPr>
            <w:tcW w:w="728" w:type="dxa"/>
            <w:vMerge w:val="continue"/>
            <w:shd w:val="clear" w:color="auto" w:fill="FFFFFF"/>
            <w:vAlign w:val="center"/>
          </w:tcPr>
          <w:p>
            <w:pPr>
              <w:spacing w:line="0" w:lineRule="atLeast"/>
              <w:jc w:val="center"/>
              <w:rPr>
                <w:color w:val="000000"/>
                <w:kern w:val="0"/>
                <w:sz w:val="22"/>
                <w:szCs w:val="22"/>
              </w:rPr>
            </w:pPr>
          </w:p>
        </w:tc>
        <w:tc>
          <w:tcPr>
            <w:tcW w:w="728"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2040"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3934" w:type="dxa"/>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728"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FFFFFF"/>
            <w:vAlign w:val="center"/>
          </w:tcPr>
          <w:p>
            <w:pPr>
              <w:widowControl/>
              <w:spacing w:line="0" w:lineRule="atLeast"/>
              <w:jc w:val="center"/>
              <w:rPr>
                <w:rFonts w:hint="default" w:eastAsia="仿宋_GB2312"/>
                <w:b/>
                <w:bCs/>
                <w:color w:val="000000"/>
                <w:kern w:val="0"/>
                <w:sz w:val="22"/>
                <w:szCs w:val="22"/>
                <w:lang w:val="en-US" w:eastAsia="zh-CN"/>
              </w:rPr>
            </w:pPr>
            <w:r>
              <w:rPr>
                <w:rFonts w:hint="eastAsia"/>
                <w:b/>
                <w:bCs/>
                <w:color w:val="000000"/>
                <w:kern w:val="0"/>
                <w:sz w:val="22"/>
                <w:szCs w:val="22"/>
                <w:lang w:val="en-US" w:eastAsia="zh-CN"/>
              </w:rPr>
              <w:t>0.91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76" w:hRule="atLeast"/>
          <w:jc w:val="center"/>
        </w:trPr>
        <w:tc>
          <w:tcPr>
            <w:tcW w:w="71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　</w:t>
            </w:r>
          </w:p>
        </w:tc>
        <w:tc>
          <w:tcPr>
            <w:tcW w:w="728"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728"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2040" w:type="dxa"/>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3934"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728"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97" w:hRule="atLeast"/>
          <w:jc w:val="center"/>
        </w:trPr>
        <w:tc>
          <w:tcPr>
            <w:tcW w:w="717" w:type="dxa"/>
            <w:vMerge w:val="continue"/>
            <w:shd w:val="clear" w:color="auto" w:fill="FFFFFF"/>
            <w:vAlign w:val="center"/>
          </w:tcPr>
          <w:p>
            <w:pPr>
              <w:spacing w:line="0" w:lineRule="atLeast"/>
              <w:jc w:val="center"/>
              <w:rPr>
                <w:color w:val="000000"/>
                <w:kern w:val="0"/>
                <w:sz w:val="22"/>
                <w:szCs w:val="22"/>
              </w:rPr>
            </w:pPr>
          </w:p>
        </w:tc>
        <w:tc>
          <w:tcPr>
            <w:tcW w:w="728"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728"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2040"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3934"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728"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3" w:hRule="atLeast"/>
          <w:jc w:val="center"/>
        </w:trPr>
        <w:tc>
          <w:tcPr>
            <w:tcW w:w="717" w:type="dxa"/>
            <w:vMerge w:val="continue"/>
            <w:shd w:val="clear" w:color="auto" w:fill="FFFFFF"/>
            <w:vAlign w:val="center"/>
          </w:tcPr>
          <w:p>
            <w:pPr>
              <w:widowControl/>
              <w:spacing w:line="0" w:lineRule="atLeast"/>
              <w:jc w:val="center"/>
              <w:rPr>
                <w:color w:val="000000"/>
                <w:kern w:val="0"/>
                <w:sz w:val="22"/>
                <w:szCs w:val="22"/>
              </w:rPr>
            </w:pPr>
          </w:p>
        </w:tc>
        <w:tc>
          <w:tcPr>
            <w:tcW w:w="728" w:type="dxa"/>
            <w:vMerge w:val="continue"/>
            <w:shd w:val="clear" w:color="auto" w:fill="FFFFFF"/>
            <w:vAlign w:val="center"/>
          </w:tcPr>
          <w:p>
            <w:pPr>
              <w:widowControl/>
              <w:spacing w:line="0" w:lineRule="atLeast"/>
              <w:jc w:val="center"/>
              <w:rPr>
                <w:color w:val="000000"/>
                <w:kern w:val="0"/>
                <w:sz w:val="22"/>
                <w:szCs w:val="22"/>
              </w:rPr>
            </w:pPr>
          </w:p>
        </w:tc>
        <w:tc>
          <w:tcPr>
            <w:tcW w:w="728"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2040"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3934"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728"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7" w:hRule="atLeast"/>
          <w:jc w:val="center"/>
        </w:trPr>
        <w:tc>
          <w:tcPr>
            <w:tcW w:w="71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728"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728"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2040"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3934"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728"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15</w:t>
            </w:r>
          </w:p>
        </w:tc>
        <w:tc>
          <w:tcPr>
            <w:tcW w:w="73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w:t>
            </w:r>
            <w:r>
              <w:rPr>
                <w:b/>
                <w:bCs/>
                <w:color w:val="000000"/>
                <w:kern w:val="0"/>
                <w:sz w:val="22"/>
                <w:szCs w:val="22"/>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8" w:hRule="atLeast"/>
          <w:jc w:val="center"/>
        </w:trPr>
        <w:tc>
          <w:tcPr>
            <w:tcW w:w="71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728"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728"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2040" w:type="dxa"/>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3934" w:type="dxa"/>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28"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73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6" w:hRule="atLeast"/>
          <w:jc w:val="center"/>
        </w:trPr>
        <w:tc>
          <w:tcPr>
            <w:tcW w:w="717" w:type="dxa"/>
            <w:vMerge w:val="continue"/>
            <w:shd w:val="clear" w:color="auto" w:fill="FFFFFF"/>
            <w:vAlign w:val="center"/>
          </w:tcPr>
          <w:p>
            <w:pPr>
              <w:spacing w:line="0" w:lineRule="atLeast"/>
              <w:jc w:val="center"/>
              <w:rPr>
                <w:color w:val="000000"/>
                <w:kern w:val="0"/>
                <w:sz w:val="22"/>
                <w:szCs w:val="22"/>
              </w:rPr>
            </w:pPr>
          </w:p>
        </w:tc>
        <w:tc>
          <w:tcPr>
            <w:tcW w:w="728"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728"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2040" w:type="dxa"/>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3934"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728"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15</w:t>
            </w:r>
          </w:p>
        </w:tc>
        <w:tc>
          <w:tcPr>
            <w:tcW w:w="730" w:type="dxa"/>
            <w:shd w:val="clear" w:color="000000" w:fill="FFFFFF"/>
            <w:vAlign w:val="center"/>
          </w:tcPr>
          <w:p>
            <w:pPr>
              <w:widowControl/>
              <w:spacing w:line="0" w:lineRule="atLeast"/>
              <w:jc w:val="center"/>
              <w:rPr>
                <w:rFonts w:hint="default" w:eastAsia="仿宋_GB2312"/>
                <w:b/>
                <w:bCs/>
                <w:color w:val="000000"/>
                <w:kern w:val="0"/>
                <w:sz w:val="22"/>
                <w:szCs w:val="22"/>
                <w:lang w:val="en-US" w:eastAsia="zh-CN"/>
              </w:rPr>
            </w:pPr>
            <w:r>
              <w:rPr>
                <w:rFonts w:hint="eastAsia"/>
                <w:b/>
                <w:bCs/>
                <w:color w:val="000000"/>
                <w:kern w:val="0"/>
                <w:sz w:val="22"/>
                <w:szCs w:val="22"/>
                <w:lang w:val="en-US" w:eastAsia="zh-CN"/>
              </w:rPr>
              <w:t>13.59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76" w:hRule="atLeast"/>
          <w:jc w:val="center"/>
        </w:trPr>
        <w:tc>
          <w:tcPr>
            <w:tcW w:w="717" w:type="dxa"/>
            <w:vMerge w:val="continue"/>
            <w:shd w:val="clear" w:color="auto" w:fill="FFFFFF"/>
            <w:vAlign w:val="center"/>
          </w:tcPr>
          <w:p>
            <w:pPr>
              <w:widowControl/>
              <w:spacing w:line="0" w:lineRule="atLeast"/>
              <w:jc w:val="center"/>
              <w:rPr>
                <w:color w:val="000000"/>
                <w:kern w:val="0"/>
                <w:sz w:val="22"/>
                <w:szCs w:val="22"/>
              </w:rPr>
            </w:pPr>
          </w:p>
        </w:tc>
        <w:tc>
          <w:tcPr>
            <w:tcW w:w="728"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728"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2040" w:type="dxa"/>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3934" w:type="dxa"/>
            <w:shd w:val="clear" w:color="000000" w:fill="FFFFFF"/>
            <w:vAlign w:val="center"/>
          </w:tcPr>
          <w:p>
            <w:pPr>
              <w:widowControl/>
              <w:spacing w:line="0" w:lineRule="atLeast"/>
              <w:rPr>
                <w:color w:val="000000"/>
                <w:kern w:val="0"/>
                <w:sz w:val="22"/>
                <w:szCs w:val="22"/>
              </w:rPr>
            </w:pP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728"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730" w:type="dxa"/>
            <w:shd w:val="clear" w:color="000000" w:fill="FFFFFF"/>
            <w:vAlign w:val="center"/>
          </w:tcPr>
          <w:p>
            <w:pPr>
              <w:widowControl/>
              <w:spacing w:line="0" w:lineRule="atLeast"/>
              <w:jc w:val="center"/>
              <w:rPr>
                <w:rFonts w:hint="default" w:eastAsia="仿宋_GB2312"/>
                <w:b/>
                <w:bCs/>
                <w:color w:val="000000"/>
                <w:kern w:val="0"/>
                <w:sz w:val="22"/>
                <w:szCs w:val="22"/>
                <w:lang w:val="en-US" w:eastAsia="zh-CN"/>
              </w:rPr>
            </w:pPr>
            <w:r>
              <w:rPr>
                <w:rFonts w:hint="eastAsia"/>
                <w:b/>
                <w:bCs/>
                <w:color w:val="000000"/>
                <w:kern w:val="0"/>
                <w:sz w:val="22"/>
                <w:szCs w:val="22"/>
                <w:lang w:val="en-US" w:eastAsia="zh-CN"/>
              </w:rPr>
              <w:t>9.06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9" w:hRule="atLeast"/>
          <w:jc w:val="center"/>
        </w:trPr>
        <w:tc>
          <w:tcPr>
            <w:tcW w:w="71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728"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728"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2040" w:type="dxa"/>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3934" w:type="dxa"/>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728"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30</w:t>
            </w:r>
          </w:p>
        </w:tc>
        <w:tc>
          <w:tcPr>
            <w:tcW w:w="73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7" w:hRule="atLeast"/>
          <w:jc w:val="center"/>
        </w:trPr>
        <w:tc>
          <w:tcPr>
            <w:tcW w:w="717" w:type="dxa"/>
            <w:vMerge w:val="continue"/>
            <w:shd w:val="clear" w:color="auto" w:fill="FFFFFF"/>
            <w:vAlign w:val="center"/>
          </w:tcPr>
          <w:p>
            <w:pPr>
              <w:widowControl/>
              <w:spacing w:line="0" w:lineRule="atLeast"/>
              <w:jc w:val="center"/>
              <w:rPr>
                <w:color w:val="000000"/>
                <w:kern w:val="0"/>
                <w:sz w:val="22"/>
                <w:szCs w:val="22"/>
              </w:rPr>
            </w:pPr>
          </w:p>
        </w:tc>
        <w:tc>
          <w:tcPr>
            <w:tcW w:w="728" w:type="dxa"/>
            <w:vMerge w:val="continue"/>
            <w:shd w:val="clear" w:color="auto" w:fill="FFFFFF"/>
            <w:vAlign w:val="center"/>
          </w:tcPr>
          <w:p>
            <w:pPr>
              <w:widowControl/>
              <w:spacing w:line="0" w:lineRule="atLeast"/>
              <w:jc w:val="center"/>
              <w:rPr>
                <w:color w:val="000000"/>
                <w:kern w:val="0"/>
                <w:sz w:val="22"/>
                <w:szCs w:val="22"/>
              </w:rPr>
            </w:pPr>
          </w:p>
        </w:tc>
        <w:tc>
          <w:tcPr>
            <w:tcW w:w="728"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2040"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3934"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728"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73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r>
    </w:tbl>
    <w:p>
      <w:pPr>
        <w:spacing w:line="540" w:lineRule="exact"/>
        <w:rPr>
          <w:rStyle w:val="5"/>
          <w:rFonts w:eastAsia="仿宋"/>
          <w:b w:val="0"/>
          <w:spacing w:val="-4"/>
          <w:sz w:val="32"/>
          <w:szCs w:val="32"/>
        </w:rPr>
      </w:pPr>
    </w:p>
    <w:p>
      <w:pPr>
        <w:rPr>
          <w:rFonts w:hint="eastAsia"/>
          <w:lang w:val="en-US" w:eastAsia="zh-CN"/>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A00002BF" w:usb1="38CF7CFA" w:usb2="00082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CC9CA7"/>
    <w:multiLevelType w:val="singleLevel"/>
    <w:tmpl w:val="D7CC9CA7"/>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5OTUxNzU1NGRkYTk1NGY4ZjQ2ZmZmOTJjNWJhODEifQ=="/>
  </w:docVars>
  <w:rsids>
    <w:rsidRoot w:val="00000000"/>
    <w:rsid w:val="06A10E20"/>
    <w:rsid w:val="06FD4082"/>
    <w:rsid w:val="1F0B55D3"/>
    <w:rsid w:val="33581882"/>
    <w:rsid w:val="388E1E92"/>
    <w:rsid w:val="40F91BF6"/>
    <w:rsid w:val="45EC0627"/>
    <w:rsid w:val="46876249"/>
    <w:rsid w:val="6F4155A5"/>
    <w:rsid w:val="750043FE"/>
    <w:rsid w:val="78BB07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5">
    <w:name w:val="Strong"/>
    <w:basedOn w:val="4"/>
    <w:autoRedefine/>
    <w:qFormat/>
    <w:uiPriority w:val="0"/>
    <w:rPr>
      <w:b/>
      <w:bCs/>
    </w:rPr>
  </w:style>
  <w:style w:type="character" w:customStyle="1" w:styleId="6">
    <w:name w:val="fontstyle01"/>
    <w:autoRedefine/>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7413</Words>
  <Characters>7990</Characters>
  <Lines>0</Lines>
  <Paragraphs>0</Paragraphs>
  <TotalTime>10</TotalTime>
  <ScaleCrop>false</ScaleCrop>
  <LinksUpToDate>false</LinksUpToDate>
  <CharactersWithSpaces>8033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2024-03-04T05:11:00Z</dcterms:created>
  <dc:creator>Administrator</dc:creator>
  <cp:lastModifiedBy>冯瑞</cp:lastModifiedBy>
  <cp:lastPrinted>2025-02-19T03:08:00Z</cp:lastPrinted>
  <dcterms:modified xsi:type="dcterms:W3CDTF">2025-08-26T05:06:11Z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4CBA51F098A84EE1BF0E059B495C134A</vt:lpwstr>
  </property>
  <property fmtid="{D5CDD505-2E9C-101B-9397-08002B2CF9AE}" pid="4" name="KSOTemplateDocerSaveRecord">
    <vt:lpwstr>eyJoZGlkIjoiOWNkNTExNGRkZmJhOGEwM2ViNzE1ZmU3NTY0NTBhMDkiLCJ1c2VySWQiOiI5NzY5NjA3ODAifQ==</vt:lpwstr>
  </property>
</Properties>
</file>