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cs="宋体"/>
          <w:kern w:val="0"/>
          <w:sz w:val="36"/>
          <w:szCs w:val="36"/>
          <w:lang w:val="en-US" w:eastAsia="zh-CN"/>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cs="宋体"/>
          <w:kern w:val="0"/>
          <w:sz w:val="36"/>
          <w:szCs w:val="36"/>
          <w:lang w:val="en-US" w:eastAsia="zh-CN"/>
        </w:rPr>
        <w:t>新疆农业职业技术学院</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cs="宋体"/>
          <w:kern w:val="0"/>
          <w:sz w:val="36"/>
          <w:szCs w:val="36"/>
          <w:lang w:val="en-US" w:eastAsia="zh-CN"/>
        </w:rPr>
        <w:t>2025</w:t>
      </w:r>
      <w:r>
        <w:rPr>
          <w:rFonts w:hint="eastAsia" w:hAnsi="宋体" w:eastAsia="仿宋_GB2312" w:cs="宋体"/>
          <w:kern w:val="0"/>
          <w:sz w:val="36"/>
          <w:szCs w:val="36"/>
        </w:rPr>
        <w:t xml:space="preserve">年 </w:t>
      </w:r>
      <w:r>
        <w:rPr>
          <w:rFonts w:hint="eastAsia" w:hAnsi="宋体"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cs="宋体"/>
          <w:kern w:val="0"/>
          <w:sz w:val="36"/>
          <w:szCs w:val="36"/>
          <w:lang w:val="en-US" w:eastAsia="zh-CN"/>
        </w:rPr>
        <w:t>28</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hint="eastAsia" w:ascii="仿宋_GB2312"/>
        </w:rPr>
      </w:pPr>
      <w:r>
        <w:rPr>
          <w:rFonts w:hint="eastAsia" w:ascii="仿宋_GB2312"/>
        </w:rPr>
        <w:t>（一）项目概况</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hAnsi="Times New Roman" w:cs="Times New Roman"/>
          <w:lang w:val="en-US" w:eastAsia="zh-CN"/>
        </w:rPr>
        <w:t>学校为进一步推动科学研究和社会服务能力，不断修订完善科研和社会服务工作管理办法，每年持续增量投入科研经费保障科研平台、高层次人才科研经费，鼓励基础研究和应用技术推广服务，鼓励教师科研创新和科技服务，面向行业企业开展关键技术攻关，开展科技成果转化。依托农业部现代农业技术培训基地、新疆农业行业专业技术人员继续教育培训基地、自治区高技能人才培训基地、自治区现代农牧业人才支撑工程培训基地，面向基层、面向农村开展各级各类长短期培训，承接劳动力转移培训和技能鉴定工作。</w:t>
      </w:r>
    </w:p>
    <w:p>
      <w:pPr>
        <w:spacing w:line="600" w:lineRule="exact"/>
        <w:ind w:firstLine="600" w:firstLineChars="200"/>
        <w:outlineLvl w:val="0"/>
        <w:rPr>
          <w:rFonts w:hint="default"/>
          <w:lang w:val="en-US" w:eastAsia="zh-CN"/>
        </w:rPr>
      </w:pPr>
      <w:r>
        <w:rPr>
          <w:rFonts w:hint="eastAsia" w:ascii="仿宋_GB2312" w:hAnsi="Times New Roman" w:cs="Times New Roman"/>
          <w:lang w:val="en-US" w:eastAsia="zh-CN"/>
        </w:rPr>
        <w:t>培训及横向课题经费项目预算资金367.4万元，主要实施内容分两部分：一是支持学校教师通过与企业签订横向技术服务合同，开展科研与社会服务，促进科技成果转化；二是学校积极承接各级各类培训，按照合同约定的培训任务把学校农业科研成果和自治区新型实用农业技术应用于我区农业生产,全面服务于农业生产经营主体产前、产中和产后需要，全面提高农业从业者职业技能。项目资金主要用于课题研究过程中实验耗材、测试化验加工、专家咨询、知识产权事务费、差旅费、劳务费等业务费用的支出，激励课题组成员科研绩效支出以及开展各级各类培训的食宿费、课时费、交通费、场地费等费用。截止2024年12月，项目资金执行367.4万元，资金执行率100%。</w:t>
      </w:r>
    </w:p>
    <w:p>
      <w:pPr>
        <w:spacing w:line="600" w:lineRule="exact"/>
        <w:ind w:firstLine="600" w:firstLineChars="200"/>
        <w:rPr>
          <w:rFonts w:hint="eastAsia" w:ascii="仿宋_GB2312"/>
        </w:rPr>
      </w:pPr>
      <w:r>
        <w:rPr>
          <w:rFonts w:hint="eastAsia" w:ascii="仿宋_GB2312"/>
        </w:rPr>
        <w:t>（二）项目绩效目标</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1.总体目标</w:t>
      </w:r>
    </w:p>
    <w:p>
      <w:pPr>
        <w:spacing w:line="600" w:lineRule="exact"/>
        <w:ind w:firstLine="600" w:firstLineChars="200"/>
        <w:outlineLvl w:val="0"/>
        <w:rPr>
          <w:rFonts w:hint="default" w:ascii="仿宋_GB2312" w:eastAsia="仿宋_GB2312"/>
          <w:lang w:val="en-US" w:eastAsia="zh-CN"/>
        </w:rPr>
      </w:pPr>
      <w:r>
        <w:rPr>
          <w:rFonts w:hint="eastAsia" w:ascii="仿宋_GB2312" w:hAnsi="Times New Roman" w:cs="Times New Roman"/>
          <w:lang w:val="en-US" w:eastAsia="zh-CN"/>
        </w:rPr>
        <w:t>通过开展面向农业行业企业技术攻关、技术服务，有力提升学院科研社会服务能力和水平。根据自治区主导特色产业发展对技术和人才需求,有针对性的开展农业行业专业领域关键技术培训,提高广大农技人员的理论水平、业务素质和服务能力，提高新疆农业科技服务能力，进一步推动新疆农业产业持续健康发展。</w:t>
      </w:r>
    </w:p>
    <w:p>
      <w:pPr>
        <w:keepNext w:val="0"/>
        <w:keepLines w:val="0"/>
        <w:pageBreakBefore w:val="0"/>
        <w:widowControl w:val="0"/>
        <w:kinsoku/>
        <w:wordWrap/>
        <w:overflowPunct/>
        <w:topLinePunct w:val="0"/>
        <w:autoSpaceDE/>
        <w:autoSpaceDN/>
        <w:bidi w:val="0"/>
        <w:spacing w:line="560" w:lineRule="exact"/>
        <w:ind w:left="0" w:firstLine="602" w:firstLineChars="200"/>
        <w:textAlignment w:val="auto"/>
        <w:rPr>
          <w:rFonts w:hint="eastAsia" w:ascii="仿宋_GB2312" w:hAnsi="Times New Roman" w:cs="Times New Roman"/>
          <w:b/>
          <w:bCs/>
          <w:lang w:val="en-US" w:eastAsia="zh-CN"/>
        </w:rPr>
      </w:pPr>
      <w:r>
        <w:rPr>
          <w:rFonts w:hint="eastAsia" w:ascii="仿宋_GB2312" w:hAnsi="Times New Roman" w:cs="Times New Roman"/>
          <w:b/>
          <w:bCs/>
          <w:lang w:val="en-US" w:eastAsia="zh-CN"/>
        </w:rPr>
        <w:t>2.阶段性目标</w:t>
      </w:r>
    </w:p>
    <w:tbl>
      <w:tblPr>
        <w:tblStyle w:val="5"/>
        <w:tblW w:w="8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7"/>
        <w:gridCol w:w="1596"/>
        <w:gridCol w:w="4189"/>
        <w:gridCol w:w="1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产出指标</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数量指标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农机行业从业人员培训人次</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签订横向技术服务合同</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科研成果实现技术转化数</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开展种子质量检测服务</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培训学员结业率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培训出勤率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时效指标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培训按期完成率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成本指标</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经济成本指标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承接培训班</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&lt;=67.40万元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_GB2312" w:hAnsi="仿宋_GB2312" w:eastAsia="仿宋_GB2312" w:cs="仿宋_GB2312"/>
                <w:i w:val="0"/>
                <w:iCs w:val="0"/>
                <w:color w:val="000000"/>
                <w:sz w:val="22"/>
                <w:szCs w:val="22"/>
                <w:u w:val="none"/>
              </w:rPr>
            </w:pP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科研收入、技术（成果）转让、实验室对外服务</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&lt;=300万元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1" w:hRule="atLeast"/>
          <w:jc w:val="center"/>
        </w:trPr>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满意度指标</w:t>
            </w:r>
          </w:p>
        </w:tc>
        <w:tc>
          <w:tcPr>
            <w:tcW w:w="4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学员对培训的满意度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&gt;=98%</w:t>
            </w:r>
          </w:p>
        </w:tc>
      </w:tr>
    </w:tbl>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2" w:firstLineChars="200"/>
        <w:rPr>
          <w:rFonts w:hint="eastAsia" w:ascii="仿宋_GB2312"/>
          <w:b/>
          <w:bCs/>
        </w:rPr>
      </w:pPr>
      <w:r>
        <w:rPr>
          <w:rFonts w:hint="eastAsia" w:ascii="仿宋_GB2312"/>
          <w:b/>
          <w:bCs/>
        </w:rPr>
        <w:t>（一）绩效评价目的、对象和范围</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对新疆农业职业技术大学</w:t>
      </w:r>
      <w:r>
        <w:rPr>
          <w:rFonts w:hint="eastAsia" w:ascii="仿宋_GB2312"/>
          <w:lang w:val="en-US" w:eastAsia="zh-CN"/>
        </w:rPr>
        <w:t>培训及横向课题经费项</w:t>
      </w:r>
      <w:r>
        <w:rPr>
          <w:rFonts w:hint="eastAsia" w:ascii="仿宋_GB2312" w:hAnsi="Times New Roman" w:cs="Times New Roman"/>
          <w:lang w:val="en-US" w:eastAsia="zh-CN"/>
        </w:rPr>
        <w:t>目进行绩效评价，目的在于了解项目资金使用和项目管理情况，同时对项目所达到的阶段性效益进行考量，以发现本项目在项目管理及预算资金安排等方面存在的问题并提出针对性的意见，以达到改进预算管理、控制节约成本，提高预算资金使用效益的目的。</w:t>
      </w:r>
    </w:p>
    <w:p>
      <w:pPr>
        <w:spacing w:line="600" w:lineRule="exact"/>
        <w:ind w:firstLine="602" w:firstLineChars="200"/>
        <w:rPr>
          <w:rFonts w:hint="eastAsia" w:ascii="仿宋_GB2312"/>
          <w:b/>
          <w:bCs/>
        </w:rPr>
      </w:pPr>
      <w:r>
        <w:rPr>
          <w:rFonts w:hint="eastAsia" w:ascii="仿宋_GB2312"/>
          <w:b/>
          <w:bCs/>
        </w:rPr>
        <w:t>（二）绩效评价原则、评价指标体系（附表说明）、评价方法、评价标准等</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1.绩效评价原则</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本次评价坚持定量优先、定量与定性相结合的方式，始终遵循科学规范、公正公开、分级分类、绩效相关的基本原则。</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2.评价指标体系</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按照逻辑分析法设计，包括项目决策、项目过程、项目产出、影响力四部分内容。其中项目决策权重为5分，项目过程权重为5分，项目产出权重为50分，项目效益权重为40分。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根据自治区财政厅《关于印发〈自治区本级财政支出绩效评价管理暂行办法〉的通知》(新财预〔2018〕188号)、项目支出绩效评级管理办法(财预〔2020〕10号)等相关文件要求，本次专项资金的评价指标体系包括评价指标、权重、指标解释、计算公式、评分标准。绩效评价总分值100分，根据综合评分结果，评价计分90分-100分(含90分)对应的评分结果级别为优，80-90分(含80分)对应的评分结果级别为良，60-80分(含60分)对应的评分结果级别为中，60分以下对应的评分结果级别为差。完整的绩效评价指标体系及评分过程详见附件1。</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3.评价方法</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spacing w:line="600" w:lineRule="exact"/>
        <w:ind w:firstLine="602" w:firstLineChars="200"/>
        <w:rPr>
          <w:rFonts w:hint="eastAsia" w:ascii="仿宋_GB2312" w:hAnsi="Times New Roman" w:cs="Times New Roman"/>
          <w:b/>
          <w:bCs/>
          <w:lang w:val="en-US" w:eastAsia="zh-CN"/>
        </w:rPr>
      </w:pPr>
      <w:r>
        <w:rPr>
          <w:rFonts w:hint="eastAsia" w:ascii="仿宋_GB2312" w:hAnsi="Times New Roman" w:cs="Times New Roman"/>
          <w:b/>
          <w:bCs/>
          <w:lang w:val="en-US" w:eastAsia="zh-CN"/>
        </w:rPr>
        <w:t>4.评价标准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绩效评价标准通常包括计划标准、行业标准、历史标准等，用于对绩效指标完成情况进行比较。本次评价主要采用了计划标准和行业标准。</w:t>
      </w:r>
    </w:p>
    <w:p>
      <w:pPr>
        <w:spacing w:line="600" w:lineRule="exact"/>
        <w:ind w:firstLine="602" w:firstLineChars="200"/>
        <w:rPr>
          <w:rFonts w:hint="eastAsia" w:ascii="仿宋_GB2312" w:hAnsi="Times New Roman" w:cs="Times New Roman"/>
          <w:b/>
          <w:bCs/>
        </w:rPr>
      </w:pPr>
      <w:r>
        <w:rPr>
          <w:rFonts w:hint="eastAsia" w:ascii="仿宋_GB2312" w:hAnsi="Times New Roman" w:cs="Times New Roman"/>
          <w:b/>
          <w:bCs/>
          <w:lang w:eastAsia="zh-CN"/>
        </w:rPr>
        <w:t>（</w:t>
      </w:r>
      <w:r>
        <w:rPr>
          <w:rFonts w:hint="eastAsia" w:ascii="仿宋_GB2312" w:hAnsi="Times New Roman" w:cs="Times New Roman"/>
          <w:b/>
          <w:bCs/>
          <w:lang w:val="en-US" w:eastAsia="zh-CN"/>
        </w:rPr>
        <w:t>三</w:t>
      </w:r>
      <w:r>
        <w:rPr>
          <w:rFonts w:hint="eastAsia" w:ascii="仿宋_GB2312" w:hAnsi="Times New Roman" w:cs="Times New Roman"/>
          <w:b/>
          <w:bCs/>
          <w:lang w:eastAsia="zh-CN"/>
        </w:rPr>
        <w:t>）</w:t>
      </w:r>
      <w:r>
        <w:rPr>
          <w:rFonts w:hint="eastAsia" w:ascii="仿宋_GB2312" w:hAnsi="Times New Roman" w:cs="Times New Roman"/>
          <w:b/>
          <w:bCs/>
        </w:rPr>
        <w:t>绩效评价工作过程</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600" w:lineRule="exact"/>
        <w:ind w:firstLine="600" w:firstLineChars="200"/>
        <w:rPr>
          <w:rFonts w:hint="eastAsia" w:ascii="仿宋_GB2312"/>
          <w:sz w:val="30"/>
        </w:rPr>
      </w:pPr>
      <w:r>
        <w:rPr>
          <w:rFonts w:hint="eastAsia" w:ascii="黑体" w:hAnsi="黑体" w:eastAsia="黑体"/>
          <w:sz w:val="30"/>
        </w:rPr>
        <w:t>三、综合评价情况及评价结论</w:t>
      </w:r>
    </w:p>
    <w:p>
      <w:pPr>
        <w:keepNext w:val="0"/>
        <w:keepLines w:val="0"/>
        <w:pageBreakBefore w:val="0"/>
        <w:widowControl w:val="0"/>
        <w:kinsoku/>
        <w:wordWrap/>
        <w:overflowPunct/>
        <w:topLinePunct w:val="0"/>
        <w:autoSpaceDE/>
        <w:autoSpaceDN/>
        <w:bidi w:val="0"/>
        <w:spacing w:line="560" w:lineRule="exact"/>
        <w:ind w:left="0" w:firstLine="600" w:firstLineChars="200"/>
        <w:textAlignment w:val="auto"/>
        <w:rPr>
          <w:rFonts w:hint="eastAsia" w:ascii="仿宋_GB2312" w:hAnsi="Times New Roman" w:cs="Times New Roman"/>
          <w:lang w:val="en-US" w:eastAsia="zh-CN"/>
        </w:rPr>
      </w:pPr>
      <w:r>
        <w:rPr>
          <w:rFonts w:hint="eastAsia" w:ascii="仿宋_GB2312" w:hAnsi="Times New Roman" w:cs="Times New Roman"/>
          <w:lang w:val="en-US" w:eastAsia="zh-CN"/>
        </w:rPr>
        <w:t>对科研项目进行客观评价，最终评分结果：总得分为100分，属于“优”。其中，项目决策类指标权重为5分，得分为5分，得分率为 100%。项目过程类指标权重为5分，得分为5分，得分率为100%。项目产出类指标权重为50分，得分为50分，得分率为100%。项目效益类指标权重为40分，得分为40分，得分率为100%。</w:t>
      </w:r>
    </w:p>
    <w:p>
      <w:pPr>
        <w:pStyle w:val="4"/>
        <w:keepNext w:val="0"/>
        <w:keepLines w:val="0"/>
        <w:pageBreakBefore w:val="0"/>
        <w:widowControl/>
        <w:kinsoku/>
        <w:wordWrap/>
        <w:overflowPunct/>
        <w:topLinePunct w:val="0"/>
        <w:autoSpaceDE/>
        <w:autoSpaceDN/>
        <w:bidi w:val="0"/>
        <w:adjustRightInd/>
        <w:snapToGrid/>
        <w:spacing w:before="60"/>
        <w:textAlignment w:val="auto"/>
      </w:pPr>
      <w:r>
        <w:rPr>
          <w:rFonts w:ascii="Times New Roman" w:hAnsi="Times New Roman" w:eastAsia="仿宋_GB2312"/>
          <w:sz w:val="30"/>
          <w:szCs w:val="30"/>
        </w:rPr>
        <w:t>表1综合评分表</w:t>
      </w:r>
    </w:p>
    <w:tbl>
      <w:tblPr>
        <w:tblStyle w:val="5"/>
        <w:tblW w:w="89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94"/>
        <w:gridCol w:w="766"/>
        <w:gridCol w:w="1293"/>
        <w:gridCol w:w="1563"/>
        <w:gridCol w:w="923"/>
        <w:gridCol w:w="887"/>
        <w:gridCol w:w="946"/>
        <w:gridCol w:w="991"/>
        <w:gridCol w:w="75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tblHeader/>
          <w:jc w:val="center"/>
        </w:trPr>
        <w:tc>
          <w:tcPr>
            <w:tcW w:w="794" w:type="dxa"/>
            <w:shd w:val="clear" w:color="auto" w:fill="AEAAAA" w:themeFill="background2" w:themeFillShade="BF"/>
            <w:vAlign w:val="center"/>
          </w:tcPr>
          <w:p>
            <w:pPr>
              <w:widowControl/>
              <w:spacing w:line="0" w:lineRule="atLeast"/>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一级指标</w:t>
            </w:r>
          </w:p>
        </w:tc>
        <w:tc>
          <w:tcPr>
            <w:tcW w:w="766" w:type="dxa"/>
            <w:shd w:val="clear" w:color="auto" w:fill="AEAAAA" w:themeFill="background2" w:themeFillShade="B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分值</w:t>
            </w:r>
          </w:p>
        </w:tc>
        <w:tc>
          <w:tcPr>
            <w:tcW w:w="1293" w:type="dxa"/>
            <w:shd w:val="clear" w:color="auto" w:fill="AEAAAA" w:themeFill="background2" w:themeFillShade="B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二级指标</w:t>
            </w:r>
          </w:p>
        </w:tc>
        <w:tc>
          <w:tcPr>
            <w:tcW w:w="1563" w:type="dxa"/>
            <w:shd w:val="clear" w:color="auto" w:fill="AEAAAA" w:themeFill="background2" w:themeFillShade="B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三级指标</w:t>
            </w:r>
          </w:p>
        </w:tc>
        <w:tc>
          <w:tcPr>
            <w:tcW w:w="923" w:type="dxa"/>
            <w:shd w:val="clear" w:color="auto" w:fill="AEAAAA" w:themeFill="background2" w:themeFillShade="B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权重</w:t>
            </w:r>
          </w:p>
        </w:tc>
        <w:tc>
          <w:tcPr>
            <w:tcW w:w="887" w:type="dxa"/>
            <w:shd w:val="clear" w:color="auto" w:fill="AEAAAA" w:themeFill="background2" w:themeFillShade="BF"/>
            <w:vAlign w:val="center"/>
          </w:tcPr>
          <w:p>
            <w:pPr>
              <w:widowControl/>
              <w:tabs>
                <w:tab w:val="left" w:pos="1333"/>
                <w:tab w:val="center" w:pos="3623"/>
              </w:tabs>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目标值</w:t>
            </w:r>
          </w:p>
        </w:tc>
        <w:tc>
          <w:tcPr>
            <w:tcW w:w="946" w:type="dxa"/>
            <w:shd w:val="clear" w:color="auto" w:fill="AEAAAA" w:themeFill="background2" w:themeFillShade="BF"/>
            <w:vAlign w:val="center"/>
          </w:tcPr>
          <w:p>
            <w:pPr>
              <w:widowControl/>
              <w:tabs>
                <w:tab w:val="left" w:pos="1333"/>
                <w:tab w:val="center" w:pos="3623"/>
              </w:tabs>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业绩值</w:t>
            </w:r>
          </w:p>
        </w:tc>
        <w:tc>
          <w:tcPr>
            <w:tcW w:w="991" w:type="dxa"/>
            <w:shd w:val="clear" w:color="auto" w:fill="AEAAAA" w:themeFill="background2" w:themeFillShade="BF"/>
            <w:vAlign w:val="center"/>
          </w:tcPr>
          <w:p>
            <w:pPr>
              <w:widowControl/>
              <w:tabs>
                <w:tab w:val="left" w:pos="1333"/>
                <w:tab w:val="center" w:pos="3623"/>
              </w:tabs>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得分率</w:t>
            </w:r>
          </w:p>
        </w:tc>
        <w:tc>
          <w:tcPr>
            <w:tcW w:w="751" w:type="dxa"/>
            <w:shd w:val="clear" w:color="auto" w:fill="AEAAAA" w:themeFill="background2" w:themeFillShade="BF"/>
            <w:vAlign w:val="center"/>
          </w:tcPr>
          <w:p>
            <w:pPr>
              <w:widowControl/>
              <w:tabs>
                <w:tab w:val="left" w:pos="1333"/>
                <w:tab w:val="center" w:pos="3623"/>
              </w:tabs>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决策　</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766"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kern w:val="0"/>
                <w:sz w:val="22"/>
                <w:szCs w:val="22"/>
              </w:rPr>
              <w:t>5分</w:t>
            </w: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　</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立项依据</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0.5</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立项程序</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0.5</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　</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绩效指标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资金投入</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预算编制</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资金分配</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过程</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766"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kern w:val="0"/>
                <w:sz w:val="22"/>
                <w:szCs w:val="22"/>
              </w:rPr>
              <w:t>5分</w:t>
            </w: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3"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资金使用</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合规性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合格</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合格</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组织实施</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管理制度</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2"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制度执行</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w:t>
            </w:r>
          </w:p>
        </w:tc>
        <w:tc>
          <w:tcPr>
            <w:tcW w:w="766"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kern w:val="0"/>
                <w:sz w:val="22"/>
                <w:szCs w:val="22"/>
              </w:rPr>
              <w:t>50分</w:t>
            </w:r>
          </w:p>
        </w:tc>
        <w:tc>
          <w:tcPr>
            <w:tcW w:w="129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产出数量</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15</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产出质量</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p>
        </w:tc>
        <w:tc>
          <w:tcPr>
            <w:tcW w:w="1293" w:type="dxa"/>
            <w:shd w:val="clear" w:color="auto" w:fill="auto"/>
            <w:vAlign w:val="center"/>
          </w:tcPr>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产出时效</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完成及时性</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15</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及时</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及时</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3"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产出成本</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成本节约率</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val="en-US" w:eastAsia="zh-CN"/>
              </w:rPr>
              <w:t>100</w:t>
            </w:r>
            <w:r>
              <w:rPr>
                <w:rFonts w:hint="eastAsia" w:ascii="仿宋_GB2312" w:hAnsi="仿宋_GB2312" w:eastAsia="仿宋_GB2312" w:cs="仿宋_GB2312"/>
                <w:color w:val="000000"/>
                <w:kern w:val="0"/>
                <w:sz w:val="22"/>
                <w:szCs w:val="22"/>
              </w:rPr>
              <w:t>%</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val="en-US" w:eastAsia="zh-CN"/>
              </w:rPr>
              <w:t>100</w:t>
            </w:r>
            <w:r>
              <w:rPr>
                <w:rFonts w:hint="eastAsia" w:ascii="仿宋_GB2312" w:hAnsi="仿宋_GB2312" w:eastAsia="仿宋_GB2312" w:cs="仿宋_GB2312"/>
                <w:color w:val="000000"/>
                <w:kern w:val="0"/>
                <w:sz w:val="22"/>
                <w:szCs w:val="22"/>
              </w:rPr>
              <w:t>%</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lang w:val="en-US" w:eastAsia="zh-CN"/>
              </w:rPr>
            </w:pPr>
            <w:r>
              <w:rPr>
                <w:rFonts w:hint="eastAsia" w:ascii="仿宋_GB2312" w:hAnsi="仿宋_GB2312" w:eastAsia="仿宋_GB2312" w:cs="仿宋_GB2312"/>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5" w:hRule="atLeast"/>
          <w:jc w:val="center"/>
        </w:trPr>
        <w:tc>
          <w:tcPr>
            <w:tcW w:w="794"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效益　</w:t>
            </w:r>
          </w:p>
        </w:tc>
        <w:tc>
          <w:tcPr>
            <w:tcW w:w="766"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40分</w:t>
            </w:r>
          </w:p>
        </w:tc>
        <w:tc>
          <w:tcPr>
            <w:tcW w:w="1293" w:type="dxa"/>
            <w:vMerge w:val="restart"/>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项目效益　</w:t>
            </w: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实施效益</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（社会效益、经济效益、可持续效益）</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30</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≥90%</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val="en-US" w:eastAsia="zh-CN"/>
              </w:rPr>
              <w:t>90</w:t>
            </w:r>
            <w:r>
              <w:rPr>
                <w:rFonts w:hint="eastAsia" w:ascii="仿宋_GB2312" w:hAnsi="仿宋_GB2312" w:eastAsia="仿宋_GB2312" w:cs="仿宋_GB2312"/>
                <w:color w:val="000000"/>
                <w:kern w:val="0"/>
                <w:sz w:val="22"/>
                <w:szCs w:val="22"/>
              </w:rPr>
              <w:t>%</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100%</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5" w:hRule="atLeast"/>
          <w:jc w:val="center"/>
        </w:trPr>
        <w:tc>
          <w:tcPr>
            <w:tcW w:w="794"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766"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293" w:type="dxa"/>
            <w:vMerge w:val="continue"/>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156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满意度</w:t>
            </w:r>
          </w:p>
        </w:tc>
        <w:tc>
          <w:tcPr>
            <w:tcW w:w="923"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10</w:t>
            </w:r>
          </w:p>
        </w:tc>
        <w:tc>
          <w:tcPr>
            <w:tcW w:w="887"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w:t>
            </w:r>
            <w:r>
              <w:rPr>
                <w:rFonts w:hint="eastAsia" w:ascii="仿宋_GB2312" w:hAnsi="仿宋_GB2312" w:eastAsia="仿宋_GB2312" w:cs="仿宋_GB2312"/>
                <w:color w:val="000000"/>
                <w:kern w:val="0"/>
                <w:sz w:val="22"/>
                <w:szCs w:val="22"/>
                <w:lang w:val="en-US" w:eastAsia="zh-CN"/>
              </w:rPr>
              <w:t>90</w:t>
            </w:r>
            <w:r>
              <w:rPr>
                <w:rFonts w:hint="eastAsia" w:ascii="仿宋_GB2312" w:hAnsi="仿宋_GB2312" w:eastAsia="仿宋_GB2312" w:cs="仿宋_GB2312"/>
                <w:color w:val="000000"/>
                <w:kern w:val="0"/>
                <w:sz w:val="22"/>
                <w:szCs w:val="22"/>
              </w:rPr>
              <w:t>%</w:t>
            </w:r>
          </w:p>
        </w:tc>
        <w:tc>
          <w:tcPr>
            <w:tcW w:w="946"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val="en-US" w:eastAsia="zh-CN"/>
              </w:rPr>
              <w:t>90</w:t>
            </w:r>
            <w:r>
              <w:rPr>
                <w:rFonts w:hint="eastAsia" w:ascii="仿宋_GB2312" w:hAnsi="仿宋_GB2312" w:eastAsia="仿宋_GB2312" w:cs="仿宋_GB2312"/>
                <w:color w:val="000000"/>
                <w:kern w:val="0"/>
                <w:sz w:val="22"/>
                <w:szCs w:val="22"/>
              </w:rPr>
              <w:t>%</w:t>
            </w:r>
          </w:p>
        </w:tc>
        <w:tc>
          <w:tcPr>
            <w:tcW w:w="99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val="en-US" w:eastAsia="zh-CN"/>
              </w:rPr>
              <w:t>100</w:t>
            </w:r>
            <w:r>
              <w:rPr>
                <w:rFonts w:hint="eastAsia" w:ascii="仿宋_GB2312" w:hAnsi="仿宋_GB2312" w:eastAsia="仿宋_GB2312" w:cs="仿宋_GB2312"/>
                <w:color w:val="000000"/>
                <w:kern w:val="0"/>
                <w:sz w:val="22"/>
                <w:szCs w:val="22"/>
              </w:rPr>
              <w:t>%</w:t>
            </w:r>
          </w:p>
        </w:tc>
        <w:tc>
          <w:tcPr>
            <w:tcW w:w="751" w:type="dxa"/>
            <w:shd w:val="clear" w:color="auto" w:fill="auto"/>
            <w:vAlign w:val="center"/>
          </w:tcPr>
          <w:p>
            <w:pPr>
              <w:widowControl/>
              <w:spacing w:line="0" w:lineRule="atLeast"/>
              <w:jc w:val="center"/>
              <w:rPr>
                <w:rFonts w:hint="eastAsia" w:ascii="仿宋_GB2312" w:hAnsi="仿宋_GB2312" w:eastAsia="仿宋_GB2312" w:cs="仿宋_GB2312"/>
                <w:color w:val="000000"/>
                <w:kern w:val="0"/>
                <w:sz w:val="22"/>
                <w:szCs w:val="22"/>
                <w:lang w:val="en-US" w:eastAsia="zh-CN"/>
              </w:rPr>
            </w:pPr>
            <w:r>
              <w:rPr>
                <w:rFonts w:hint="eastAsia" w:ascii="仿宋_GB2312" w:hAnsi="仿宋_GB2312" w:eastAsia="仿宋_GB2312" w:cs="仿宋_GB2312"/>
                <w:color w:val="000000"/>
                <w:kern w:val="0"/>
                <w:sz w:val="22"/>
                <w:szCs w:val="22"/>
                <w:lang w:val="en-US" w:eastAsia="zh-CN"/>
              </w:rPr>
              <w:t>10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hint="eastAsia" w:ascii="仿宋_GB2312"/>
        </w:rPr>
      </w:pPr>
      <w:r>
        <w:rPr>
          <w:rFonts w:hint="eastAsia" w:ascii="仿宋_GB2312"/>
        </w:rPr>
        <w:t>（一）项目决策情况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hAnsi="Times New Roman" w:cs="Times New Roman"/>
        </w:rPr>
      </w:pPr>
      <w:r>
        <w:rPr>
          <w:rFonts w:hint="eastAsia" w:ascii="仿宋_GB2312" w:hAnsi="Times New Roman" w:cs="Times New Roman"/>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spacing w:line="600" w:lineRule="exact"/>
        <w:ind w:firstLine="600" w:firstLineChars="200"/>
        <w:outlineLvl w:val="0"/>
        <w:rPr>
          <w:rFonts w:hint="eastAsia" w:ascii="仿宋_GB2312"/>
        </w:rPr>
      </w:pPr>
      <w:r>
        <w:rPr>
          <w:rFonts w:hint="eastAsia" w:ascii="仿宋_GB2312"/>
        </w:rPr>
        <w:t>（二）项目过程情况</w:t>
      </w:r>
    </w:p>
    <w:p>
      <w:pPr>
        <w:keepNext w:val="0"/>
        <w:keepLines w:val="0"/>
        <w:pageBreakBefore w:val="0"/>
        <w:kinsoku/>
        <w:wordWrap/>
        <w:overflowPunct/>
        <w:topLinePunct w:val="0"/>
        <w:autoSpaceDE/>
        <w:autoSpaceDN/>
        <w:bidi w:val="0"/>
        <w:adjustRightInd/>
        <w:snapToGrid/>
        <w:spacing w:line="560" w:lineRule="exact"/>
        <w:ind w:left="0" w:leftChars="0" w:firstLine="600" w:firstLineChars="200"/>
        <w:jc w:val="both"/>
        <w:textAlignment w:val="auto"/>
        <w:outlineLvl w:val="0"/>
        <w:rPr>
          <w:rFonts w:hint="eastAsia" w:ascii="仿宋_GB2312"/>
        </w:rPr>
      </w:pPr>
      <w:r>
        <w:rPr>
          <w:rFonts w:hint="eastAsia" w:ascii="仿宋_GB2312" w:hAnsi="Times New Roman" w:cs="Times New Roman"/>
        </w:rPr>
        <w:t>项目严格按照预期绩效目标执行预算资金。项目资金使用符合</w:t>
      </w:r>
      <w:r>
        <w:rPr>
          <w:rFonts w:hint="eastAsia" w:ascii="仿宋_GB2312" w:hAnsi="Times New Roman" w:cs="Times New Roman"/>
          <w:lang w:val="en-US" w:eastAsia="zh-CN"/>
        </w:rPr>
        <w:t>《自治区党政机关培训费管理暂行办法》《新疆农业职业技术学院横向科研项目管理办法》等</w:t>
      </w:r>
      <w:r>
        <w:rPr>
          <w:rFonts w:hint="eastAsia" w:ascii="仿宋_GB2312" w:hAnsi="Times New Roman" w:cs="Times New Roman"/>
        </w:rPr>
        <w:t>相关的管理制度规定，能够反映和考核项目资金的规范运行情况；项目实施单位的财务和业务管理制度健全，能够反映和考核财务和业务管理制度对项目顺利实施的保障情况。</w:t>
      </w:r>
    </w:p>
    <w:p>
      <w:pPr>
        <w:spacing w:line="600" w:lineRule="exact"/>
        <w:ind w:firstLine="600" w:firstLineChars="200"/>
        <w:outlineLvl w:val="0"/>
        <w:rPr>
          <w:rFonts w:hint="eastAsia" w:ascii="仿宋_GB2312"/>
        </w:rPr>
      </w:pPr>
      <w:r>
        <w:rPr>
          <w:rFonts w:hint="eastAsia" w:ascii="仿宋_GB2312"/>
        </w:rPr>
        <w:t>（三）项目产出情况</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lang w:val="en-US" w:eastAsia="zh-CN"/>
        </w:rPr>
        <w:t>开展</w:t>
      </w:r>
      <w:r>
        <w:rPr>
          <w:rFonts w:hint="eastAsia" w:ascii="仿宋_GB2312"/>
        </w:rPr>
        <w:t>农机行业从业人员培训</w:t>
      </w:r>
      <w:r>
        <w:rPr>
          <w:rFonts w:hint="eastAsia" w:ascii="仿宋_GB2312"/>
          <w:lang w:val="en-US" w:eastAsia="zh-CN"/>
        </w:rPr>
        <w:t>200人次，新</w:t>
      </w:r>
      <w:r>
        <w:rPr>
          <w:rFonts w:hint="eastAsia" w:ascii="仿宋_GB2312" w:hAnsi="Times New Roman" w:cs="Times New Roman"/>
          <w:lang w:val="en-US" w:eastAsia="zh-CN"/>
        </w:rPr>
        <w:t>签订横向技术服务合同5个，学校签订专利技术转让合同1项，自治区种子质量检测服务中心为伊犁嘉穗农业科技有限公司、新疆华夏农业有限公司开展技术服务2次；按照合同约定的时间按时完成了培训任务，培训学员出勤率98%，结业率98%</w:t>
      </w:r>
    </w:p>
    <w:p>
      <w:pPr>
        <w:spacing w:line="600" w:lineRule="exact"/>
        <w:ind w:firstLine="600" w:firstLineChars="200"/>
        <w:outlineLvl w:val="0"/>
        <w:rPr>
          <w:rFonts w:hint="eastAsia" w:ascii="仿宋_GB2312"/>
        </w:rPr>
      </w:pPr>
      <w:r>
        <w:rPr>
          <w:rFonts w:hint="eastAsia" w:ascii="仿宋_GB2312"/>
        </w:rPr>
        <w:t>（四）项目效益情况</w:t>
      </w:r>
    </w:p>
    <w:p>
      <w:pPr>
        <w:spacing w:line="600" w:lineRule="exact"/>
        <w:ind w:firstLine="600" w:firstLineChars="200"/>
        <w:outlineLvl w:val="0"/>
        <w:rPr>
          <w:rFonts w:hint="eastAsia" w:ascii="仿宋_GB2312"/>
        </w:rPr>
      </w:pPr>
      <w:r>
        <w:rPr>
          <w:rFonts w:hint="eastAsia" w:ascii="仿宋_GB2312" w:hAnsi="Times New Roman" w:cs="Times New Roman"/>
          <w:lang w:val="en-US" w:eastAsia="zh-CN"/>
        </w:rPr>
        <w:t>培训学员对学校承办的培训满意度测评结果为满意。</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hint="default" w:ascii="仿宋_GB2312" w:hAnsi="Times New Roman" w:cs="Times New Roman"/>
          <w:lang w:val="en-US"/>
        </w:rPr>
      </w:pPr>
      <w:r>
        <w:rPr>
          <w:rFonts w:hint="eastAsia" w:ascii="仿宋_GB2312" w:hAnsi="Times New Roman" w:cs="Times New Roman"/>
        </w:rPr>
        <w:t>《新疆</w:t>
      </w:r>
      <w:r>
        <w:rPr>
          <w:rFonts w:hint="eastAsia" w:ascii="仿宋_GB2312" w:hAnsi="Times New Roman" w:cs="Times New Roman"/>
          <w:lang w:val="en-US" w:eastAsia="zh-CN"/>
        </w:rPr>
        <w:t>农业职业技术学院科研</w:t>
      </w:r>
      <w:r>
        <w:rPr>
          <w:rFonts w:hint="eastAsia" w:ascii="仿宋_GB2312" w:hAnsi="Times New Roman" w:cs="Times New Roman"/>
        </w:rPr>
        <w:t>项目管理办法</w:t>
      </w:r>
      <w:r>
        <w:rPr>
          <w:rFonts w:hint="eastAsia" w:ascii="仿宋_GB2312" w:cs="Times New Roman"/>
          <w:lang w:eastAsia="zh-CN"/>
        </w:rPr>
        <w:t>》《</w:t>
      </w:r>
      <w:r>
        <w:rPr>
          <w:rFonts w:hint="eastAsia" w:ascii="仿宋_GB2312" w:cs="Times New Roman"/>
          <w:lang w:val="en-US" w:eastAsia="zh-CN"/>
        </w:rPr>
        <w:t>新疆农业职业技术学院横向科研项目管理办法</w:t>
      </w:r>
      <w:r>
        <w:rPr>
          <w:rFonts w:hint="eastAsia" w:ascii="仿宋_GB2312" w:cs="Times New Roman"/>
          <w:lang w:eastAsia="zh-CN"/>
        </w:rPr>
        <w:t>》</w:t>
      </w:r>
      <w:r>
        <w:rPr>
          <w:rFonts w:hint="eastAsia" w:ascii="仿宋_GB2312" w:hAnsi="Times New Roman" w:cs="Times New Roman"/>
        </w:rPr>
        <w:t>(新</w:t>
      </w:r>
      <w:r>
        <w:rPr>
          <w:rFonts w:hint="eastAsia" w:ascii="仿宋_GB2312" w:hAnsi="Times New Roman" w:cs="Times New Roman"/>
          <w:lang w:val="en-US" w:eastAsia="zh-CN"/>
        </w:rPr>
        <w:t>农职政</w:t>
      </w:r>
      <w:r>
        <w:rPr>
          <w:rFonts w:hint="eastAsia" w:ascii="仿宋_GB2312" w:hAnsi="Times New Roman" w:cs="Times New Roman"/>
        </w:rPr>
        <w:t>〔2022〕</w:t>
      </w:r>
      <w:r>
        <w:rPr>
          <w:rFonts w:hint="eastAsia" w:ascii="仿宋_GB2312" w:hAnsi="Times New Roman" w:cs="Times New Roman"/>
          <w:lang w:val="en-US" w:eastAsia="zh-CN"/>
        </w:rPr>
        <w:t>48</w:t>
      </w:r>
      <w:r>
        <w:rPr>
          <w:rFonts w:hint="eastAsia" w:ascii="仿宋_GB2312" w:hAnsi="Times New Roman" w:cs="Times New Roman"/>
        </w:rPr>
        <w:t>号)对项目申报、项目</w:t>
      </w:r>
      <w:r>
        <w:rPr>
          <w:rFonts w:hint="eastAsia" w:ascii="仿宋_GB2312" w:hAnsi="Times New Roman" w:cs="Times New Roman"/>
          <w:lang w:val="en-US" w:eastAsia="zh-CN"/>
        </w:rPr>
        <w:t>评审</w:t>
      </w:r>
      <w:r>
        <w:rPr>
          <w:rFonts w:hint="eastAsia" w:ascii="仿宋_GB2312" w:hAnsi="Times New Roman" w:cs="Times New Roman"/>
        </w:rPr>
        <w:t>、项目验收</w:t>
      </w:r>
      <w:r>
        <w:rPr>
          <w:rFonts w:hint="eastAsia" w:ascii="仿宋_GB2312" w:hAnsi="Times New Roman" w:cs="Times New Roman"/>
          <w:lang w:val="en-US" w:eastAsia="zh-CN"/>
        </w:rPr>
        <w:t>和</w:t>
      </w:r>
      <w:r>
        <w:rPr>
          <w:rFonts w:hint="eastAsia" w:ascii="仿宋_GB2312" w:hAnsi="Times New Roman" w:cs="Times New Roman"/>
        </w:rPr>
        <w:t>项目监督管理作出了明确要求，</w:t>
      </w:r>
      <w:r>
        <w:rPr>
          <w:rFonts w:hint="eastAsia" w:ascii="仿宋_GB2312" w:hAnsi="Times New Roman" w:cs="Times New Roman"/>
          <w:lang w:val="en-US" w:eastAsia="zh-CN"/>
        </w:rPr>
        <w:t>科学技术处</w:t>
      </w:r>
      <w:r>
        <w:rPr>
          <w:rFonts w:hint="eastAsia" w:ascii="仿宋_GB2312" w:hAnsi="Times New Roman" w:cs="Times New Roman"/>
        </w:rPr>
        <w:t>对项目申报、立项、管理、验收等进行日常管理监督，项目管理制度健全。</w:t>
      </w:r>
      <w:r>
        <w:rPr>
          <w:rFonts w:hint="eastAsia" w:ascii="仿宋_GB2312" w:cs="Times New Roman"/>
          <w:lang w:eastAsia="zh-CN"/>
        </w:rPr>
        <w:t>《</w:t>
      </w:r>
      <w:r>
        <w:rPr>
          <w:rFonts w:hint="eastAsia" w:ascii="仿宋_GB2312" w:cs="Times New Roman"/>
          <w:lang w:val="en-US" w:eastAsia="zh-CN"/>
        </w:rPr>
        <w:t>新疆农业职业技术学院社会服务管理办法</w:t>
      </w:r>
      <w:r>
        <w:rPr>
          <w:rFonts w:hint="eastAsia" w:ascii="仿宋_GB2312" w:cs="Times New Roman"/>
          <w:lang w:eastAsia="zh-CN"/>
        </w:rPr>
        <w:t>》</w:t>
      </w:r>
      <w:r>
        <w:rPr>
          <w:rFonts w:hint="eastAsia" w:ascii="仿宋_GB2312" w:cs="Times New Roman"/>
          <w:lang w:val="en-US" w:eastAsia="zh-CN"/>
        </w:rPr>
        <w:t>对学校承办的各级各类培训的管理作出了明确的要求。</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w:t>
      </w:r>
      <w:r>
        <w:rPr>
          <w:rFonts w:hint="eastAsia" w:ascii="仿宋_GB2312" w:hAnsi="Times New Roman" w:cs="Times New Roman"/>
          <w:lang w:val="en-US" w:eastAsia="zh-CN"/>
        </w:rPr>
        <w:t>及验收建档</w:t>
      </w:r>
      <w:r>
        <w:rPr>
          <w:rFonts w:hint="eastAsia" w:ascii="仿宋_GB2312" w:hAnsi="Times New Roman" w:cs="Times New Roman"/>
        </w:rPr>
        <w:t>工作。</w:t>
      </w:r>
    </w:p>
    <w:p>
      <w:pPr>
        <w:spacing w:line="600" w:lineRule="exact"/>
        <w:ind w:firstLine="600" w:firstLineChars="200"/>
        <w:outlineLvl w:val="0"/>
        <w:rPr>
          <w:rFonts w:hint="eastAsia" w:ascii="仿宋_GB2312" w:hAnsi="Times New Roman" w:cs="Times New Roman"/>
        </w:rPr>
      </w:pPr>
      <w:r>
        <w:rPr>
          <w:rFonts w:hint="eastAsia" w:ascii="仿宋_GB2312" w:hAnsi="Times New Roman" w:cs="Times New Roman"/>
        </w:rPr>
        <w:t>严格坚持先做事、后验收、再拨付的原则，基本杜绝了资金被挤占和挪用现象的发生，跟踪检查到位。</w:t>
      </w:r>
      <w:r>
        <w:rPr>
          <w:rFonts w:hint="eastAsia" w:ascii="仿宋_GB2312" w:hAnsi="Times New Roman" w:cs="Times New Roman"/>
          <w:lang w:val="en-US" w:eastAsia="zh-CN"/>
        </w:rPr>
        <w:t>财务</w:t>
      </w:r>
      <w:r>
        <w:rPr>
          <w:rFonts w:hint="eastAsia" w:ascii="仿宋_GB2312" w:hAnsi="Times New Roman" w:cs="Times New Roman"/>
        </w:rPr>
        <w:t>、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outlineLvl w:val="0"/>
        <w:rPr>
          <w:rFonts w:hint="eastAsia" w:ascii="黑体" w:hAnsi="黑体" w:eastAsia="黑体"/>
        </w:rPr>
      </w:pPr>
      <w:r>
        <w:rPr>
          <w:rFonts w:hint="eastAsia" w:ascii="仿宋_GB2312" w:hAnsi="Times New Roman" w:cs="Times New Roman"/>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spacing w:line="600" w:lineRule="exact"/>
        <w:ind w:firstLine="600" w:firstLineChars="200"/>
        <w:rPr>
          <w:rFonts w:hint="eastAsia" w:ascii="黑体" w:hAnsi="黑体" w:eastAsia="黑体"/>
        </w:rPr>
      </w:pPr>
      <w:r>
        <w:rPr>
          <w:rFonts w:hint="eastAsia" w:ascii="黑体" w:hAnsi="黑体" w:eastAsia="黑体"/>
        </w:rPr>
        <w:t>七、其他需要说明的问题</w:t>
      </w:r>
    </w:p>
    <w:p>
      <w:pPr>
        <w:spacing w:line="600" w:lineRule="exact"/>
        <w:ind w:firstLine="600" w:firstLineChars="200"/>
        <w:outlineLvl w:val="0"/>
        <w:rPr>
          <w:rFonts w:hint="eastAsia" w:ascii="仿宋_GB2312" w:hAnsi="Times New Roman" w:cs="Times New Roman"/>
          <w:lang w:val="en-US" w:eastAsia="zh-CN"/>
        </w:rPr>
      </w:pPr>
      <w:r>
        <w:rPr>
          <w:rFonts w:hint="eastAsia" w:ascii="仿宋_GB2312" w:hAnsi="Times New Roman" w:cs="Times New Roman"/>
          <w:lang w:val="en-US" w:eastAsia="zh-CN"/>
        </w:rPr>
        <w:t>无。</w:t>
      </w: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ind w:firstLine="640" w:firstLineChars="200"/>
        <w:rPr>
          <w:rFonts w:hint="eastAsia" w:ascii="仿宋_GB2312"/>
          <w:bCs/>
          <w:sz w:val="32"/>
          <w:szCs w:val="32"/>
        </w:rPr>
      </w:pPr>
    </w:p>
    <w:p>
      <w:pPr>
        <w:spacing w:line="600" w:lineRule="exact"/>
        <w:rPr>
          <w:rFonts w:hint="eastAsia" w:ascii="仿宋_GB2312"/>
          <w:bCs/>
          <w:sz w:val="32"/>
          <w:szCs w:val="32"/>
        </w:rPr>
      </w:pPr>
    </w:p>
    <w:p>
      <w:pPr>
        <w:pStyle w:val="2"/>
        <w:rPr>
          <w:rFonts w:hint="eastAsia" w:ascii="仿宋_GB2312"/>
          <w:bCs/>
          <w:sz w:val="32"/>
          <w:szCs w:val="32"/>
        </w:rPr>
      </w:pPr>
    </w:p>
    <w:p>
      <w:pPr>
        <w:pStyle w:val="2"/>
        <w:rPr>
          <w:rFonts w:hint="eastAsia" w:ascii="仿宋_GB2312"/>
          <w:bCs/>
          <w:sz w:val="32"/>
          <w:szCs w:val="32"/>
        </w:rPr>
      </w:pPr>
    </w:p>
    <w:p>
      <w:pPr>
        <w:pStyle w:val="2"/>
        <w:ind w:left="0" w:leftChars="0" w:firstLine="0" w:firstLineChars="0"/>
        <w:rPr>
          <w:rFonts w:hint="eastAsia" w:ascii="仿宋_GB2312"/>
          <w:bCs/>
          <w:sz w:val="32"/>
          <w:szCs w:val="32"/>
        </w:rPr>
      </w:pPr>
    </w:p>
    <w:p>
      <w:pPr>
        <w:pStyle w:val="4"/>
        <w:keepNext w:val="0"/>
        <w:keepLines w:val="0"/>
        <w:pageBreakBefore w:val="0"/>
        <w:kinsoku/>
        <w:wordWrap/>
        <w:overflowPunct/>
        <w:topLinePunct w:val="0"/>
        <w:autoSpaceDE/>
        <w:autoSpaceDN/>
        <w:bidi w:val="0"/>
        <w:adjustRightInd/>
        <w:snapToGrid/>
        <w:spacing w:before="0" w:after="0" w:line="560" w:lineRule="exact"/>
        <w:jc w:val="center"/>
        <w:textAlignment w:val="auto"/>
        <w:rPr>
          <w:rFonts w:hint="eastAsia" w:ascii="Times New Roman" w:hAnsi="Times New Roman"/>
        </w:rPr>
      </w:pPr>
      <w:r>
        <w:rPr>
          <w:rFonts w:hint="eastAsia" w:ascii="Times New Roman" w:hAnsi="Times New Roman"/>
        </w:rPr>
        <w:t>项目支出绩效自评表</w:t>
      </w:r>
    </w:p>
    <w:p>
      <w:pPr>
        <w:spacing w:line="600" w:lineRule="exact"/>
        <w:jc w:val="center"/>
        <w:rPr>
          <w:bCs/>
          <w:sz w:val="32"/>
          <w:szCs w:val="32"/>
        </w:rPr>
      </w:pPr>
      <w:r>
        <w:rPr>
          <w:rFonts w:hint="eastAsia"/>
          <w:sz w:val="28"/>
          <w:szCs w:val="36"/>
        </w:rPr>
        <w:t>（ 202</w:t>
      </w:r>
      <w:r>
        <w:rPr>
          <w:rFonts w:hint="eastAsia"/>
          <w:sz w:val="28"/>
          <w:szCs w:val="36"/>
          <w:lang w:val="en-US" w:eastAsia="zh-CN"/>
        </w:rPr>
        <w:t>4</w:t>
      </w:r>
      <w:r>
        <w:rPr>
          <w:rFonts w:hint="eastAsia"/>
          <w:sz w:val="28"/>
          <w:szCs w:val="36"/>
        </w:rPr>
        <w:t>年度）</w:t>
      </w:r>
    </w:p>
    <w:tbl>
      <w:tblPr>
        <w:tblStyle w:val="5"/>
        <w:tblW w:w="524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1"/>
        <w:gridCol w:w="532"/>
        <w:gridCol w:w="657"/>
        <w:gridCol w:w="934"/>
        <w:gridCol w:w="255"/>
        <w:gridCol w:w="723"/>
        <w:gridCol w:w="736"/>
        <w:gridCol w:w="672"/>
        <w:gridCol w:w="515"/>
        <w:gridCol w:w="812"/>
        <w:gridCol w:w="648"/>
        <w:gridCol w:w="417"/>
        <w:gridCol w:w="346"/>
        <w:gridCol w:w="495"/>
        <w:gridCol w:w="549"/>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jc w:val="center"/>
        </w:trPr>
        <w:tc>
          <w:tcPr>
            <w:tcW w:w="5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4482"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培训及横向课题经费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jc w:val="center"/>
        </w:trPr>
        <w:tc>
          <w:tcPr>
            <w:tcW w:w="5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39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lang w:val="en-US" w:eastAsia="zh-CN"/>
              </w:rPr>
              <w:t>自治区农业农村厅</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32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新疆农业职业技术大学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资金来源</w:t>
            </w:r>
          </w:p>
        </w:tc>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7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6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56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分值权重</w:t>
            </w:r>
          </w:p>
        </w:tc>
        <w:tc>
          <w:tcPr>
            <w:tcW w:w="73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5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367.4</w:t>
            </w:r>
          </w:p>
        </w:tc>
        <w:tc>
          <w:tcPr>
            <w:tcW w:w="741"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367.4</w:t>
            </w:r>
          </w:p>
        </w:tc>
        <w:tc>
          <w:tcPr>
            <w:tcW w:w="6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367.4</w:t>
            </w:r>
          </w:p>
        </w:tc>
        <w:tc>
          <w:tcPr>
            <w:tcW w:w="56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3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5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其中：当年财政拨款</w:t>
            </w:r>
          </w:p>
        </w:tc>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741" w:type="pct"/>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56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3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5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83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367.40 </w:t>
            </w:r>
          </w:p>
        </w:tc>
        <w:tc>
          <w:tcPr>
            <w:tcW w:w="741"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367.40 </w:t>
            </w:r>
          </w:p>
        </w:tc>
        <w:tc>
          <w:tcPr>
            <w:tcW w:w="698"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367.4</w:t>
            </w:r>
          </w:p>
        </w:tc>
        <w:tc>
          <w:tcPr>
            <w:tcW w:w="56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73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237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总体目标</w:t>
            </w:r>
          </w:p>
        </w:tc>
        <w:tc>
          <w:tcPr>
            <w:tcW w:w="2388"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8"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37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培训合同内容，认真制定培训方案，年度内承接并完成农机行业从业人员培训不少于200人次，承接并完成农业行业其他领域从业人员培训不少于200人次；面向农业行业、企业开展关键技术攻关、质量检测、工艺优化、技术推广和服务，签订横向技术服务合同到款额不少于200万元；积极促进学院现有科研成果实现转化。</w:t>
            </w:r>
          </w:p>
        </w:tc>
        <w:tc>
          <w:tcPr>
            <w:tcW w:w="2388"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面向农业行业、企业开展关键技术攻关、质量检测、工艺优化、技术推广和服务，签订横向技术服务合同5项，签订科研成果专利转化合同1项，技术服务和技术转让到款额300万元；开展种子质量检测服务2次。按照培训合同内容，认真制定培训方案，年度内承接并完成农机行业从业人员培训200人次，培训学员满意度大于等于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9"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指标值</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指标值设置依据</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上年完成值</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指标分值权重</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指标赋分规则</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佐证资料</w:t>
            </w:r>
          </w:p>
        </w:tc>
        <w:tc>
          <w:tcPr>
            <w:tcW w:w="4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指标实际完成值</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完成率</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年度绩效指标完成情况</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农机行业从业人员培训人次</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&gt;=200人</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201人</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签订横向技术服务合同</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&gt;=5个</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5个</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科研成果实现技术转化数</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&gt;=1项</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1项</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开展种子质量检测服务</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&gt;=2次</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2次</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培训学员结业率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&gt;=98%</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培训出勤率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&gt;=98%</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培训按期完成率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经济成本指标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承接培训班</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&lt;=67.40万元</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67.16万元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科研收入、技术（成果）转让、实验室对外服务</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&lt;=300万元</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计划标准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按照完成比例赋分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300.24万元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9"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学员对培训的满意度</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&gt;=98%</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其他标准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&gt;=98%</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满意度赋分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工作资料</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3"/>
                <w:szCs w:val="13"/>
                <w:u w:val="none"/>
              </w:rPr>
            </w:pPr>
            <w:r>
              <w:rPr>
                <w:rFonts w:hint="eastAsia" w:ascii="宋体" w:hAnsi="宋体" w:eastAsia="宋体" w:cs="宋体"/>
                <w:i w:val="0"/>
                <w:iCs w:val="0"/>
                <w:color w:val="000000"/>
                <w:kern w:val="0"/>
                <w:sz w:val="18"/>
                <w:szCs w:val="18"/>
                <w:u w:val="none"/>
                <w:lang w:val="en-US" w:eastAsia="zh-CN" w:bidi="ar"/>
              </w:rPr>
              <w:t>98%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1489" w:type="pct"/>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8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b/>
                <w:bCs/>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4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rPr>
                <w:rFonts w:hint="eastAsia" w:asciiTheme="minorEastAsia" w:hAnsiTheme="minorEastAsia" w:eastAsiaTheme="minorEastAsia" w:cstheme="minorEastAsia"/>
                <w:i w:val="0"/>
                <w:iCs w:val="0"/>
                <w:color w:val="000000"/>
                <w:sz w:val="18"/>
                <w:szCs w:val="18"/>
                <w:u w:val="none"/>
              </w:rPr>
            </w:pPr>
          </w:p>
        </w:tc>
      </w:tr>
    </w:tbl>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bCs/>
          <w:sz w:val="32"/>
          <w:szCs w:val="32"/>
        </w:rPr>
      </w:pPr>
    </w:p>
    <w:p>
      <w:pPr>
        <w:spacing w:line="600" w:lineRule="exact"/>
        <w:rPr>
          <w:rFonts w:hint="eastAsia"/>
          <w:bCs/>
          <w:sz w:val="32"/>
          <w:szCs w:val="32"/>
          <w:lang w:val="en-US" w:eastAsia="zh-CN"/>
        </w:rPr>
      </w:pPr>
      <w:r>
        <w:rPr>
          <w:bCs/>
          <w:sz w:val="32"/>
          <w:szCs w:val="32"/>
        </w:rPr>
        <w:t>附件1</w:t>
      </w:r>
      <w:r>
        <w:rPr>
          <w:rFonts w:hint="eastAsia"/>
          <w:bCs/>
          <w:sz w:val="32"/>
          <w:szCs w:val="32"/>
          <w:lang w:val="en-US" w:eastAsia="zh-CN"/>
        </w:rPr>
        <w:t xml:space="preserve"> </w:t>
      </w:r>
    </w:p>
    <w:p>
      <w:pPr>
        <w:spacing w:line="600" w:lineRule="exact"/>
        <w:jc w:val="center"/>
        <w:rPr>
          <w:rFonts w:hint="eastAsia" w:eastAsia="仿宋_GB2312"/>
          <w:bCs/>
          <w:sz w:val="32"/>
          <w:szCs w:val="32"/>
          <w:lang w:val="en-US" w:eastAsia="zh-CN"/>
        </w:rPr>
      </w:pPr>
      <w:r>
        <w:rPr>
          <w:rFonts w:hint="eastAsia" w:ascii="Times New Roman" w:hAnsi="Times New Roman" w:cs="Times New Roman" w:eastAsiaTheme="majorEastAsia"/>
          <w:b/>
          <w:bCs/>
          <w:kern w:val="28"/>
          <w:sz w:val="32"/>
          <w:szCs w:val="32"/>
          <w:lang w:val="en-US" w:eastAsia="zh-CN" w:bidi="ar-SA"/>
        </w:rPr>
        <w:t>绩效评价指标体系及评分过程</w:t>
      </w:r>
    </w:p>
    <w:tbl>
      <w:tblPr>
        <w:tblStyle w:val="5"/>
        <w:tblW w:w="96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17"/>
        <w:gridCol w:w="728"/>
        <w:gridCol w:w="728"/>
        <w:gridCol w:w="2040"/>
        <w:gridCol w:w="3934"/>
        <w:gridCol w:w="728"/>
        <w:gridCol w:w="7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717"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04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3934"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3934"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2"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决策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5"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717" w:type="dxa"/>
            <w:vMerge w:val="restart"/>
            <w:shd w:val="clear" w:color="auto" w:fill="auto"/>
            <w:vAlign w:val="center"/>
          </w:tcPr>
          <w:p>
            <w:pPr>
              <w:spacing w:line="0" w:lineRule="atLeast"/>
              <w:jc w:val="center"/>
              <w:rPr>
                <w:color w:val="000000"/>
                <w:kern w:val="0"/>
                <w:sz w:val="22"/>
                <w:szCs w:val="22"/>
              </w:rPr>
            </w:pPr>
            <w:r>
              <w:rPr>
                <w:color w:val="000000"/>
                <w:kern w:val="0"/>
                <w:sz w:val="22"/>
                <w:szCs w:val="22"/>
              </w:rPr>
              <w:t>过程</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43"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717"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717" w:type="dxa"/>
            <w:vMerge w:val="continue"/>
            <w:shd w:val="clear" w:color="auto" w:fill="auto"/>
            <w:vAlign w:val="center"/>
          </w:tcPr>
          <w:p>
            <w:pPr>
              <w:spacing w:line="0" w:lineRule="atLeast"/>
              <w:jc w:val="center"/>
              <w:rPr>
                <w:color w:val="000000"/>
                <w:kern w:val="0"/>
                <w:sz w:val="22"/>
                <w:szCs w:val="22"/>
              </w:rPr>
            </w:pPr>
          </w:p>
        </w:tc>
        <w:tc>
          <w:tcPr>
            <w:tcW w:w="728"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17"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28"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tc>
        <w:tc>
          <w:tcPr>
            <w:tcW w:w="2040" w:type="dxa"/>
            <w:shd w:val="clear" w:color="auto" w:fill="auto"/>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c>
          <w:tcPr>
            <w:tcW w:w="73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62" w:hRule="atLeast"/>
          <w:jc w:val="center"/>
        </w:trPr>
        <w:tc>
          <w:tcPr>
            <w:tcW w:w="717" w:type="dxa"/>
            <w:vMerge w:val="continue"/>
            <w:shd w:val="clear" w:color="auto" w:fill="auto"/>
            <w:vAlign w:val="center"/>
          </w:tcPr>
          <w:p>
            <w:pPr>
              <w:widowControl/>
              <w:spacing w:line="0" w:lineRule="atLeast"/>
              <w:jc w:val="center"/>
              <w:rPr>
                <w:color w:val="000000"/>
                <w:kern w:val="0"/>
                <w:sz w:val="22"/>
                <w:szCs w:val="22"/>
              </w:rPr>
            </w:pPr>
          </w:p>
        </w:tc>
        <w:tc>
          <w:tcPr>
            <w:tcW w:w="728" w:type="dxa"/>
            <w:vMerge w:val="continue"/>
            <w:shd w:val="clear" w:color="auto" w:fill="auto"/>
            <w:vAlign w:val="center"/>
          </w:tcPr>
          <w:p>
            <w:pPr>
              <w:widowControl/>
              <w:spacing w:line="0" w:lineRule="atLeast"/>
              <w:jc w:val="center"/>
              <w:rPr>
                <w:color w:val="000000"/>
                <w:kern w:val="0"/>
                <w:sz w:val="22"/>
                <w:szCs w:val="22"/>
              </w:rPr>
            </w:pPr>
          </w:p>
        </w:tc>
        <w:tc>
          <w:tcPr>
            <w:tcW w:w="728"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2040"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3934"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72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730" w:type="dxa"/>
            <w:shd w:val="clear" w:color="auto" w:fill="auto"/>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bl>
    <w:p>
      <w:pPr>
        <w:spacing w:line="600" w:lineRule="exact"/>
        <w:rPr>
          <w:rFonts w:hint="eastAsia"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6FD4082"/>
    <w:rsid w:val="11D85DB0"/>
    <w:rsid w:val="1F0B55D3"/>
    <w:rsid w:val="268D6C34"/>
    <w:rsid w:val="358E1E3F"/>
    <w:rsid w:val="372D39A2"/>
    <w:rsid w:val="45BD6B2E"/>
    <w:rsid w:val="45EC0627"/>
    <w:rsid w:val="46876249"/>
    <w:rsid w:val="48391D37"/>
    <w:rsid w:val="544064AF"/>
    <w:rsid w:val="59047230"/>
    <w:rsid w:val="6BC11C69"/>
    <w:rsid w:val="6E0B0D4F"/>
    <w:rsid w:val="6F4155A5"/>
    <w:rsid w:val="75D87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ind w:firstLine="630"/>
    </w:pPr>
    <w:rPr>
      <w:rFonts w:ascii="Times New Roman" w:hAnsi="Times New Roman" w:eastAsia="仿宋_GB2312"/>
      <w:b/>
      <w:bCs/>
      <w:sz w:val="32"/>
    </w:rPr>
  </w:style>
  <w:style w:type="paragraph" w:styleId="4">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7">
    <w:name w:val="Strong"/>
    <w:basedOn w:val="6"/>
    <w:autoRedefine/>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6877</Words>
  <Characters>7308</Characters>
  <Lines>0</Lines>
  <Paragraphs>0</Paragraphs>
  <TotalTime>0</TotalTime>
  <ScaleCrop>false</ScaleCrop>
  <LinksUpToDate>false</LinksUpToDate>
  <CharactersWithSpaces>7341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冯瑞</cp:lastModifiedBy>
  <cp:lastPrinted>2025-02-19T03:08:00Z</cp:lastPrinted>
  <dcterms:modified xsi:type="dcterms:W3CDTF">2025-08-26T05:09:08Z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4CBA51F098A84EE1BF0E059B495C134A</vt:lpwstr>
  </property>
  <property fmtid="{D5CDD505-2E9C-101B-9397-08002B2CF9AE}" pid="4" name="KSOTemplateDocerSaveRecord">
    <vt:lpwstr>eyJoZGlkIjoiOWNkNTExNGRkZmJhOGEwM2ViNzE1ZmU3NTY0NTBhMDkiLCJ1c2VySWQiOiI5NzY5NjA3ODAifQ==</vt:lpwstr>
  </property>
</Properties>
</file>