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00E" w:rsidRDefault="0068100E">
      <w:pPr>
        <w:spacing w:after="0" w:line="240" w:lineRule="auto"/>
        <w:rPr>
          <w:rFonts w:ascii="宋体" w:eastAsia="宋体"/>
          <w:sz w:val="32"/>
          <w:szCs w:val="32"/>
        </w:rPr>
      </w:pPr>
    </w:p>
    <w:p w:rsidR="0068100E" w:rsidRDefault="0068100E">
      <w:pPr>
        <w:spacing w:after="0" w:line="240" w:lineRule="auto"/>
        <w:rPr>
          <w:rFonts w:ascii="宋体" w:eastAsia="宋体"/>
          <w:sz w:val="44"/>
          <w:szCs w:val="44"/>
        </w:rPr>
      </w:pPr>
    </w:p>
    <w:p w:rsidR="0068100E" w:rsidRDefault="0068100E">
      <w:pPr>
        <w:spacing w:after="0" w:line="240" w:lineRule="auto"/>
        <w:rPr>
          <w:rFonts w:ascii="宋体" w:eastAsia="宋体"/>
          <w:sz w:val="44"/>
          <w:szCs w:val="44"/>
        </w:rPr>
      </w:pPr>
    </w:p>
    <w:p w:rsidR="0068100E" w:rsidRDefault="0068100E">
      <w:pPr>
        <w:spacing w:after="0" w:line="240" w:lineRule="auto"/>
        <w:rPr>
          <w:rFonts w:ascii="宋体" w:eastAsia="宋体"/>
          <w:sz w:val="44"/>
          <w:szCs w:val="44"/>
        </w:rPr>
      </w:pPr>
    </w:p>
    <w:p w:rsidR="0068100E" w:rsidRDefault="009428B4">
      <w:pPr>
        <w:spacing w:after="0" w:line="240" w:lineRule="auto"/>
        <w:jc w:val="center"/>
        <w:outlineLvl w:val="0"/>
        <w:rPr>
          <w:rFonts w:ascii="宋体" w:eastAsia="黑体"/>
          <w:sz w:val="44"/>
          <w:szCs w:val="44"/>
          <w:lang w:eastAsia="zh-CN"/>
        </w:rPr>
      </w:pPr>
      <w:r>
        <w:rPr>
          <w:rFonts w:ascii="宋体" w:eastAsia="黑体"/>
          <w:sz w:val="44"/>
          <w:szCs w:val="44"/>
          <w:lang w:eastAsia="zh-CN"/>
        </w:rPr>
        <w:t>新疆维吾尔自治区土壤肥料工作站</w:t>
      </w:r>
    </w:p>
    <w:p w:rsidR="0068100E" w:rsidRDefault="009428B4">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rsidR="0068100E" w:rsidRDefault="009428B4">
      <w:pPr>
        <w:rPr>
          <w:lang w:eastAsia="zh-CN"/>
        </w:rPr>
      </w:pPr>
      <w:r>
        <w:rPr>
          <w:sz w:val="0"/>
          <w:szCs w:val="0"/>
          <w:lang w:eastAsia="zh-CN"/>
        </w:rPr>
        <w:br w:type="page"/>
      </w:r>
    </w:p>
    <w:p w:rsidR="0068100E" w:rsidRDefault="009428B4">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目录</w:t>
      </w:r>
    </w:p>
    <w:p w:rsidR="0068100E" w:rsidRDefault="009428B4">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68100E" w:rsidRDefault="009428B4">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第二部分部门决算情况说明</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68100E" w:rsidRDefault="009428B4">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第三部分专业名词解释</w:t>
      </w:r>
    </w:p>
    <w:p w:rsidR="0068100E" w:rsidRDefault="009428B4">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第四部分部门决算报表（见附表）</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68100E" w:rsidRDefault="009428B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68100E" w:rsidRDefault="009428B4">
      <w:pPr>
        <w:rPr>
          <w:lang w:eastAsia="zh-CN"/>
        </w:rPr>
      </w:pPr>
      <w:r>
        <w:rPr>
          <w:sz w:val="0"/>
          <w:szCs w:val="0"/>
          <w:lang w:eastAsia="zh-CN"/>
        </w:rPr>
        <w:br w:type="page"/>
      </w:r>
    </w:p>
    <w:p w:rsidR="0068100E" w:rsidRDefault="009428B4">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承担地力培肥、科学施肥、农业节水技术的试验、示范、推广工作；开展有关土壤、肥料方面的调查、研究与监测、评价工作；研究拟定土壤、肥料相关技术标准与规程；承担土壤、肥料及市场监管技术指导和服务；组织开展土壤、肥料、节水相关技术宣传培训和信息的收集、整理与分析。</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新疆维吾尔自治区土壤肥料工作站2024年度，实有人数25人，其中：在职人员14人，</w:t>
      </w:r>
      <w:r w:rsidR="00157D76">
        <w:rPr>
          <w:rFonts w:ascii="仿宋_GB2312" w:eastAsia="仿宋_GB2312"/>
          <w:sz w:val="32"/>
          <w:szCs w:val="32"/>
          <w:lang w:eastAsia="zh-CN"/>
        </w:rPr>
        <w:t>增加</w:t>
      </w:r>
      <w:r w:rsidR="00157D76">
        <w:rPr>
          <w:rFonts w:ascii="仿宋_GB2312" w:eastAsia="仿宋_GB2312" w:hint="eastAsia"/>
          <w:sz w:val="32"/>
          <w:szCs w:val="32"/>
          <w:lang w:eastAsia="zh-CN"/>
        </w:rPr>
        <w:t>0人</w:t>
      </w:r>
      <w:r>
        <w:rPr>
          <w:rFonts w:ascii="仿宋_GB2312" w:eastAsia="仿宋_GB2312"/>
          <w:sz w:val="32"/>
          <w:szCs w:val="32"/>
          <w:lang w:eastAsia="zh-CN"/>
        </w:rPr>
        <w:t>；离休人员0人，</w:t>
      </w:r>
      <w:r w:rsidR="00157D76">
        <w:rPr>
          <w:rFonts w:ascii="仿宋_GB2312" w:eastAsia="仿宋_GB2312"/>
          <w:sz w:val="32"/>
          <w:szCs w:val="32"/>
          <w:lang w:eastAsia="zh-CN"/>
        </w:rPr>
        <w:t>增加</w:t>
      </w:r>
      <w:r w:rsidR="00157D76">
        <w:rPr>
          <w:rFonts w:ascii="仿宋_GB2312" w:eastAsia="仿宋_GB2312" w:hint="eastAsia"/>
          <w:sz w:val="32"/>
          <w:szCs w:val="32"/>
          <w:lang w:eastAsia="zh-CN"/>
        </w:rPr>
        <w:t>0人</w:t>
      </w:r>
      <w:r>
        <w:rPr>
          <w:rFonts w:ascii="仿宋_GB2312" w:eastAsia="仿宋_GB2312"/>
          <w:sz w:val="32"/>
          <w:szCs w:val="32"/>
          <w:lang w:eastAsia="zh-CN"/>
        </w:rPr>
        <w:t>；退休人员11人，减少1人。</w:t>
      </w:r>
    </w:p>
    <w:p w:rsidR="0068100E" w:rsidRDefault="00157D76"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单位</w:t>
      </w:r>
      <w:r w:rsidR="009428B4">
        <w:rPr>
          <w:rFonts w:ascii="仿宋_GB2312" w:eastAsia="仿宋_GB2312"/>
          <w:sz w:val="32"/>
          <w:szCs w:val="32"/>
          <w:lang w:eastAsia="zh-CN"/>
        </w:rPr>
        <w:t>无下属预算单位，下设4个科室，分别是：综合科、肥料登记管理科、节水科、土壤科。</w:t>
      </w:r>
    </w:p>
    <w:p w:rsidR="0068100E" w:rsidRDefault="009428B4">
      <w:pPr>
        <w:rPr>
          <w:lang w:eastAsia="zh-CN"/>
        </w:rPr>
      </w:pPr>
      <w:r>
        <w:rPr>
          <w:sz w:val="0"/>
          <w:szCs w:val="0"/>
          <w:lang w:eastAsia="zh-CN"/>
        </w:rPr>
        <w:br w:type="page"/>
      </w:r>
    </w:p>
    <w:p w:rsidR="0068100E" w:rsidRDefault="009428B4">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第二部分部门决算情况说明</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2024年度收入总计707.65万元，其中：本年收入合计524.59万元，使用非财政拨款结余（含专用结余）0.00万元，年初结转和结余183.06万元。</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2024年度支出总计707.65万元，其中：本年支出合计513.75万元，结余分配0.00万元，年末结转和结余193.90万元。</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收入支出总体与上年相比，增加31.93万元，增长4.73%，主要原因是：一是本年人员正常晋升；二是自治区统一调增基本工资。</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本年收入524.59万元，其中：财政拨款收入493.93万元,占94.16%；上级补助收入0.00万元,占0.00%；事业收入30.00万元，占5.72%；经营收入0.00万元,占0.00%；附属单位上缴收入0.00万元，占0.00%；其他收入0.67万元，占0.13%。</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本年支出513.75万元，其中：基本支出385.57万元，占75.05%；项目支出128.18万元，占24.95%；上缴上级支出0.00万元，占0.00%；经营支出0.00万元，占0.00%；对附属单位补助支出0.00万元，占0.00%。</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2024年度财政拨款收入总计502.44万元，其中：年初财政拨款结转和结余8.52万元，本年财政拨款收入493.93万元。财政拨款支出总计502.44万元，其中：年末财政拨款结转和结余19.30万元，本年财政拨款支出483.15万元。</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23.53万元，增长4.91%，主要原因是：一是本年人员正常晋升；二是自治区统一调增基本工资。与年初预算相比，年初预算数453.39万元，决算数502.44万元，预决算差异率10.82%，主要原因是：</w:t>
      </w:r>
      <w:r>
        <w:rPr>
          <w:rFonts w:ascii="仿宋_GB2312" w:eastAsia="仿宋_GB2312"/>
          <w:sz w:val="32"/>
          <w:szCs w:val="32"/>
          <w:lang w:eastAsia="zh-CN"/>
        </w:rPr>
        <w:lastRenderedPageBreak/>
        <w:t>一是自治区统一调增基本工资；二是年中追加天山英才项目；三是年中追加结亲交通费。</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68100E" w:rsidRDefault="009428B4" w:rsidP="00157D76">
      <w:pPr>
        <w:spacing w:after="0" w:line="240" w:lineRule="auto"/>
        <w:ind w:firstLineChars="200" w:firstLine="643"/>
        <w:outlineLvl w:val="2"/>
        <w:rPr>
          <w:rFonts w:ascii="仿宋_GB2312" w:eastAsia="仿宋_GB2312"/>
          <w:sz w:val="32"/>
          <w:szCs w:val="32"/>
          <w:lang w:eastAsia="zh-CN"/>
        </w:rPr>
      </w:pPr>
      <w:r>
        <w:rPr>
          <w:rFonts w:ascii="仿宋_GB2312" w:eastAsia="仿宋_GB2312"/>
          <w:b/>
          <w:sz w:val="32"/>
          <w:szCs w:val="32"/>
          <w:lang w:eastAsia="zh-CN"/>
        </w:rPr>
        <w:t>（一）一般公共预算财政拨款支出决算总体情况</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483.15万元，占本年支出合计的94.04%。与上年相比，增加12.76万元，增长2.71%，主要原因是：自治区统一调增基本工资。与年初预算相比，年初预算数453.39万元，决算数483.15万元，预决算差异率6.56%，主要原因是：自治区统一调增基本工资。</w:t>
      </w:r>
    </w:p>
    <w:p w:rsidR="0068100E" w:rsidRDefault="009428B4" w:rsidP="00157D76">
      <w:pPr>
        <w:spacing w:after="0" w:line="240" w:lineRule="auto"/>
        <w:ind w:firstLineChars="200" w:firstLine="643"/>
        <w:outlineLvl w:val="2"/>
        <w:rPr>
          <w:rFonts w:ascii="仿宋_GB2312" w:eastAsia="仿宋_GB2312"/>
          <w:sz w:val="32"/>
          <w:szCs w:val="32"/>
          <w:lang w:eastAsia="zh-CN"/>
        </w:rPr>
      </w:pPr>
      <w:r>
        <w:rPr>
          <w:rFonts w:ascii="仿宋_GB2312" w:eastAsia="仿宋_GB2312"/>
          <w:b/>
          <w:sz w:val="32"/>
          <w:szCs w:val="32"/>
          <w:lang w:eastAsia="zh-CN"/>
        </w:rPr>
        <w:t>（二）一般公共预算财政拨款支出决算结构情况</w:t>
      </w:r>
    </w:p>
    <w:p w:rsidR="0068100E" w:rsidRDefault="00447EE6"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sidR="009428B4">
        <w:rPr>
          <w:rFonts w:ascii="仿宋_GB2312" w:eastAsia="仿宋_GB2312"/>
          <w:sz w:val="32"/>
          <w:szCs w:val="32"/>
          <w:lang w:eastAsia="zh-CN"/>
        </w:rPr>
        <w:t>社会保障和就业支出（类）67.56万元，占13.98%。</w:t>
      </w:r>
    </w:p>
    <w:p w:rsidR="0068100E" w:rsidRDefault="00447EE6"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sidR="009428B4">
        <w:rPr>
          <w:rFonts w:ascii="仿宋_GB2312" w:eastAsia="仿宋_GB2312"/>
          <w:sz w:val="32"/>
          <w:szCs w:val="32"/>
          <w:lang w:eastAsia="zh-CN"/>
        </w:rPr>
        <w:t>卫生健康支出（类）24.98万元，占5.17%。</w:t>
      </w:r>
    </w:p>
    <w:p w:rsidR="0068100E" w:rsidRDefault="00447EE6"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sidR="009428B4">
        <w:rPr>
          <w:rFonts w:ascii="仿宋_GB2312" w:eastAsia="仿宋_GB2312"/>
          <w:sz w:val="32"/>
          <w:szCs w:val="32"/>
          <w:lang w:eastAsia="zh-CN"/>
        </w:rPr>
        <w:t>农林水支出（类）366.54万元，占75.86%。</w:t>
      </w:r>
    </w:p>
    <w:p w:rsidR="0068100E" w:rsidRDefault="00447EE6"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sidR="009428B4">
        <w:rPr>
          <w:rFonts w:ascii="仿宋_GB2312" w:eastAsia="仿宋_GB2312"/>
          <w:sz w:val="32"/>
          <w:szCs w:val="32"/>
          <w:lang w:eastAsia="zh-CN"/>
        </w:rPr>
        <w:t>住房保障支出（类）24.06万元，占4.98%。</w:t>
      </w:r>
    </w:p>
    <w:p w:rsidR="0068100E" w:rsidRDefault="009428B4" w:rsidP="00157D76">
      <w:pPr>
        <w:spacing w:after="0" w:line="240" w:lineRule="auto"/>
        <w:ind w:firstLineChars="200" w:firstLine="643"/>
        <w:outlineLvl w:val="2"/>
        <w:rPr>
          <w:rFonts w:ascii="仿宋_GB2312" w:eastAsia="仿宋_GB2312"/>
          <w:sz w:val="32"/>
          <w:szCs w:val="32"/>
          <w:lang w:eastAsia="zh-CN"/>
        </w:rPr>
      </w:pPr>
      <w:r>
        <w:rPr>
          <w:rFonts w:ascii="仿宋_GB2312" w:eastAsia="仿宋_GB2312"/>
          <w:b/>
          <w:sz w:val="32"/>
          <w:szCs w:val="32"/>
          <w:lang w:eastAsia="zh-CN"/>
        </w:rPr>
        <w:t>（三）一般公共预算财政拨款支出决算具体情况</w:t>
      </w:r>
    </w:p>
    <w:p w:rsidR="0068100E" w:rsidRDefault="009428B4" w:rsidP="00157D76">
      <w:pPr>
        <w:numPr>
          <w:ilvl w:val="0"/>
          <w:numId w:val="1"/>
        </w:numPr>
        <w:spacing w:after="0"/>
        <w:rPr>
          <w:rFonts w:ascii="仿宋_GB2312" w:eastAsia="仿宋_GB2312"/>
          <w:sz w:val="32"/>
          <w:szCs w:val="32"/>
          <w:lang w:eastAsia="zh-CN"/>
        </w:rPr>
      </w:pPr>
      <w:r>
        <w:rPr>
          <w:rFonts w:ascii="仿宋_GB2312" w:eastAsia="仿宋_GB2312"/>
          <w:sz w:val="32"/>
          <w:szCs w:val="32"/>
          <w:lang w:eastAsia="zh-CN"/>
        </w:rPr>
        <w:t>社会保障和就业支出（类）行政事业单位养老支出（款）事业单位离退休（项）：支出决算数为25.87万元，比上年决算减少1.00万元，下降3.72%，主要原因是：我单位退休人员减少1人。</w:t>
      </w:r>
    </w:p>
    <w:p w:rsidR="0068100E" w:rsidRDefault="009428B4" w:rsidP="00157D76">
      <w:pPr>
        <w:numPr>
          <w:ilvl w:val="0"/>
          <w:numId w:val="1"/>
        </w:numPr>
        <w:spacing w:after="0"/>
        <w:rPr>
          <w:rFonts w:ascii="仿宋_GB2312" w:eastAsia="仿宋_GB2312"/>
          <w:sz w:val="32"/>
          <w:szCs w:val="32"/>
          <w:lang w:eastAsia="zh-CN"/>
        </w:rPr>
      </w:pPr>
      <w:r>
        <w:rPr>
          <w:rFonts w:ascii="仿宋_GB2312" w:eastAsia="仿宋_GB2312"/>
          <w:sz w:val="32"/>
          <w:szCs w:val="32"/>
          <w:lang w:eastAsia="zh-CN"/>
        </w:rPr>
        <w:t>社会保障和就业支出（类）行政事业单位养老支出（款）机关事业单位基本养老保险缴费支出（项）：支出决算数为30.79万元，比上年决算增加0.04万元，增长0.13%，主要原因是：在职人员基本养老保险缴费基数调增，支出增加</w:t>
      </w:r>
    </w:p>
    <w:p w:rsidR="0068100E" w:rsidRDefault="009428B4" w:rsidP="00157D76">
      <w:pPr>
        <w:numPr>
          <w:ilvl w:val="0"/>
          <w:numId w:val="1"/>
        </w:numPr>
        <w:spacing w:after="0"/>
        <w:rPr>
          <w:rFonts w:ascii="仿宋_GB2312" w:eastAsia="仿宋_GB2312"/>
          <w:sz w:val="32"/>
          <w:szCs w:val="32"/>
          <w:lang w:eastAsia="zh-CN"/>
        </w:rPr>
      </w:pPr>
      <w:r>
        <w:rPr>
          <w:rFonts w:ascii="仿宋_GB2312" w:eastAsia="仿宋_GB2312"/>
          <w:sz w:val="32"/>
          <w:szCs w:val="32"/>
          <w:lang w:eastAsia="zh-CN"/>
        </w:rPr>
        <w:t>社会保障和就业支出（类）行政事业单位养老支出（款）机关事业单位职业年金缴费支出（项）：支出决算数为10.90万元，比上年决算增加10.90万元，增长100.00%，主要原因是：我单位2023年</w:t>
      </w:r>
      <w:proofErr w:type="gramStart"/>
      <w:r>
        <w:rPr>
          <w:rFonts w:ascii="仿宋_GB2312" w:eastAsia="仿宋_GB2312"/>
          <w:sz w:val="32"/>
          <w:szCs w:val="32"/>
          <w:lang w:eastAsia="zh-CN"/>
        </w:rPr>
        <w:t>在职转</w:t>
      </w:r>
      <w:proofErr w:type="gramEnd"/>
      <w:r>
        <w:rPr>
          <w:rFonts w:ascii="仿宋_GB2312" w:eastAsia="仿宋_GB2312"/>
          <w:sz w:val="32"/>
          <w:szCs w:val="32"/>
          <w:lang w:eastAsia="zh-CN"/>
        </w:rPr>
        <w:t>退休1人，相关职业年金2024年拨付。</w:t>
      </w:r>
    </w:p>
    <w:p w:rsidR="0068100E" w:rsidRDefault="009428B4" w:rsidP="00157D76">
      <w:pPr>
        <w:numPr>
          <w:ilvl w:val="0"/>
          <w:numId w:val="1"/>
        </w:numPr>
        <w:spacing w:after="0"/>
        <w:rPr>
          <w:rFonts w:ascii="仿宋_GB2312" w:eastAsia="仿宋_GB2312"/>
          <w:sz w:val="32"/>
          <w:szCs w:val="32"/>
          <w:lang w:eastAsia="zh-CN"/>
        </w:rPr>
      </w:pPr>
      <w:r>
        <w:rPr>
          <w:rFonts w:ascii="仿宋_GB2312" w:eastAsia="仿宋_GB2312"/>
          <w:sz w:val="32"/>
          <w:szCs w:val="32"/>
          <w:lang w:eastAsia="zh-CN"/>
        </w:rPr>
        <w:t>卫生健康支出（类）行政事业单位医疗（款）事业单位医疗（项）：支出决算数为12.78万元，比上年决算减少</w:t>
      </w:r>
      <w:r>
        <w:rPr>
          <w:rFonts w:ascii="仿宋_GB2312" w:eastAsia="仿宋_GB2312"/>
          <w:sz w:val="32"/>
          <w:szCs w:val="32"/>
          <w:lang w:eastAsia="zh-CN"/>
        </w:rPr>
        <w:lastRenderedPageBreak/>
        <w:t>1.64万元，下降11.37%，主要原因是：</w:t>
      </w:r>
      <w:r w:rsidR="009E5981">
        <w:rPr>
          <w:rFonts w:ascii="仿宋_GB2312" w:eastAsia="仿宋_GB2312" w:hAnsi="仿宋_GB2312" w:cs="仿宋_GB2312" w:hint="eastAsia"/>
          <w:bCs/>
          <w:sz w:val="32"/>
          <w:szCs w:val="32"/>
          <w:lang w:eastAsia="zh-CN"/>
        </w:rPr>
        <w:t>退休人员不再缴纳医疗保险</w:t>
      </w:r>
      <w:r>
        <w:rPr>
          <w:rFonts w:ascii="仿宋_GB2312" w:eastAsia="仿宋_GB2312"/>
          <w:sz w:val="32"/>
          <w:szCs w:val="32"/>
          <w:lang w:eastAsia="zh-CN"/>
        </w:rPr>
        <w:t>。</w:t>
      </w:r>
    </w:p>
    <w:p w:rsidR="0068100E" w:rsidRDefault="009428B4" w:rsidP="00157D76">
      <w:pPr>
        <w:numPr>
          <w:ilvl w:val="0"/>
          <w:numId w:val="1"/>
        </w:numPr>
        <w:spacing w:after="0"/>
        <w:rPr>
          <w:rFonts w:ascii="仿宋_GB2312" w:eastAsia="仿宋_GB2312"/>
          <w:sz w:val="32"/>
          <w:szCs w:val="32"/>
          <w:lang w:eastAsia="zh-CN"/>
        </w:rPr>
      </w:pPr>
      <w:r>
        <w:rPr>
          <w:rFonts w:ascii="仿宋_GB2312" w:eastAsia="仿宋_GB2312"/>
          <w:sz w:val="32"/>
          <w:szCs w:val="32"/>
          <w:lang w:eastAsia="zh-CN"/>
        </w:rPr>
        <w:t>卫生健康支出（类）行政事业单位医疗（款）公务员医疗补助（项）：支出决算数为12.20万元，比上年决算增加3.70万元，增长43.53%，主要原因是：基数调增。</w:t>
      </w:r>
    </w:p>
    <w:p w:rsidR="0068100E" w:rsidRDefault="009428B4" w:rsidP="00157D76">
      <w:pPr>
        <w:numPr>
          <w:ilvl w:val="0"/>
          <w:numId w:val="1"/>
        </w:numPr>
        <w:spacing w:after="0"/>
        <w:rPr>
          <w:rFonts w:ascii="仿宋_GB2312" w:eastAsia="仿宋_GB2312"/>
          <w:sz w:val="32"/>
          <w:szCs w:val="32"/>
          <w:lang w:eastAsia="zh-CN"/>
        </w:rPr>
      </w:pPr>
      <w:r>
        <w:rPr>
          <w:rFonts w:ascii="仿宋_GB2312" w:eastAsia="仿宋_GB2312"/>
          <w:sz w:val="32"/>
          <w:szCs w:val="32"/>
          <w:lang w:eastAsia="zh-CN"/>
        </w:rPr>
        <w:t>农林水支出（类）农业农村（款）事业运行（项）：支出决算数为266.47万元，比上年决算增加15.03万元，增长5.98%，主要原因是：一是自治区统一调增基本工资；二是年中追加结亲交通费。</w:t>
      </w:r>
    </w:p>
    <w:p w:rsidR="0068100E" w:rsidRDefault="009428B4" w:rsidP="00157D76">
      <w:pPr>
        <w:numPr>
          <w:ilvl w:val="0"/>
          <w:numId w:val="1"/>
        </w:numPr>
        <w:spacing w:after="0"/>
        <w:rPr>
          <w:rFonts w:ascii="仿宋_GB2312" w:eastAsia="仿宋_GB2312"/>
          <w:sz w:val="32"/>
          <w:szCs w:val="32"/>
          <w:lang w:eastAsia="zh-CN"/>
        </w:rPr>
      </w:pPr>
      <w:r>
        <w:rPr>
          <w:rFonts w:ascii="仿宋_GB2312" w:eastAsia="仿宋_GB2312"/>
          <w:sz w:val="32"/>
          <w:szCs w:val="32"/>
          <w:lang w:eastAsia="zh-CN"/>
        </w:rPr>
        <w:t>农林水支出（类）农业农村（款）科技转化与推广服务（项）：支出决算数为10.16万元，比上年决算减少14.68万元，下降59.10%，主要原因是：我单位2024年申请天山英才项目数减少。</w:t>
      </w:r>
    </w:p>
    <w:p w:rsidR="0068100E" w:rsidRDefault="009428B4" w:rsidP="00157D76">
      <w:pPr>
        <w:numPr>
          <w:ilvl w:val="0"/>
          <w:numId w:val="1"/>
        </w:numPr>
        <w:spacing w:after="0"/>
        <w:rPr>
          <w:rFonts w:ascii="仿宋_GB2312" w:eastAsia="仿宋_GB2312"/>
          <w:sz w:val="32"/>
          <w:szCs w:val="32"/>
          <w:lang w:eastAsia="zh-CN"/>
        </w:rPr>
      </w:pPr>
      <w:r>
        <w:rPr>
          <w:rFonts w:ascii="仿宋_GB2312" w:eastAsia="仿宋_GB2312"/>
          <w:sz w:val="32"/>
          <w:szCs w:val="32"/>
          <w:lang w:eastAsia="zh-CN"/>
        </w:rPr>
        <w:t>农林水支出（类）农业农村（款）农业生产发展（项）：支出决算数为21.00万元，比上年决算减少69.50万元，下降76.80%，主要原因是：我单位2024年将双随机</w:t>
      </w:r>
      <w:proofErr w:type="gramStart"/>
      <w:r>
        <w:rPr>
          <w:rFonts w:ascii="仿宋_GB2312" w:eastAsia="仿宋_GB2312"/>
          <w:sz w:val="32"/>
          <w:szCs w:val="32"/>
          <w:lang w:eastAsia="zh-CN"/>
        </w:rPr>
        <w:t>一</w:t>
      </w:r>
      <w:proofErr w:type="gramEnd"/>
      <w:r>
        <w:rPr>
          <w:rFonts w:ascii="仿宋_GB2312" w:eastAsia="仿宋_GB2312"/>
          <w:sz w:val="32"/>
          <w:szCs w:val="32"/>
          <w:lang w:eastAsia="zh-CN"/>
        </w:rPr>
        <w:t>公开、耕地质量监测项目纳入农业生态资源保护科目核算。</w:t>
      </w:r>
    </w:p>
    <w:p w:rsidR="0068100E" w:rsidRDefault="009428B4" w:rsidP="00157D76">
      <w:pPr>
        <w:numPr>
          <w:ilvl w:val="0"/>
          <w:numId w:val="1"/>
        </w:numPr>
        <w:spacing w:after="0"/>
        <w:rPr>
          <w:rFonts w:ascii="仿宋_GB2312" w:eastAsia="仿宋_GB2312"/>
          <w:sz w:val="32"/>
          <w:szCs w:val="32"/>
          <w:lang w:eastAsia="zh-CN"/>
        </w:rPr>
      </w:pPr>
      <w:r>
        <w:rPr>
          <w:rFonts w:ascii="仿宋_GB2312" w:eastAsia="仿宋_GB2312"/>
          <w:sz w:val="32"/>
          <w:szCs w:val="32"/>
          <w:lang w:eastAsia="zh-CN"/>
        </w:rPr>
        <w:t>农林水支出（类）农业农村（款）农业生态资源保护（项）：支出决算数为68.91万元，比上年决算增加68.91万元，增长100.00%，主要原因是：我单位2024年将双随机</w:t>
      </w:r>
      <w:proofErr w:type="gramStart"/>
      <w:r>
        <w:rPr>
          <w:rFonts w:ascii="仿宋_GB2312" w:eastAsia="仿宋_GB2312"/>
          <w:sz w:val="32"/>
          <w:szCs w:val="32"/>
          <w:lang w:eastAsia="zh-CN"/>
        </w:rPr>
        <w:t>一</w:t>
      </w:r>
      <w:proofErr w:type="gramEnd"/>
      <w:r>
        <w:rPr>
          <w:rFonts w:ascii="仿宋_GB2312" w:eastAsia="仿宋_GB2312"/>
          <w:sz w:val="32"/>
          <w:szCs w:val="32"/>
          <w:lang w:eastAsia="zh-CN"/>
        </w:rPr>
        <w:t>公开、耕地质量监测项目由农业生产发展科目并入农业生态资源保护科目核算。</w:t>
      </w:r>
    </w:p>
    <w:p w:rsidR="0068100E" w:rsidRDefault="009428B4" w:rsidP="00157D76">
      <w:pPr>
        <w:numPr>
          <w:ilvl w:val="0"/>
          <w:numId w:val="1"/>
        </w:numPr>
        <w:spacing w:after="0"/>
        <w:rPr>
          <w:rFonts w:ascii="仿宋_GB2312" w:eastAsia="仿宋_GB2312"/>
          <w:sz w:val="32"/>
          <w:szCs w:val="32"/>
          <w:lang w:eastAsia="zh-CN"/>
        </w:rPr>
      </w:pPr>
      <w:r>
        <w:rPr>
          <w:rFonts w:ascii="仿宋_GB2312" w:eastAsia="仿宋_GB2312"/>
          <w:sz w:val="32"/>
          <w:szCs w:val="32"/>
          <w:lang w:eastAsia="zh-CN"/>
        </w:rPr>
        <w:t>住房保障支出（类）住房改革支出（款）住房公积金（项）：支出决算数为24.06万元，比上年决算增加0.99万元，增长4.29%，主要原因是：在职人员工资调增，支出增加。</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383.08万元，其中：人员经费357.85万元，包括：基本工资、津贴补贴、奖金、绩效工资、机关事业单位基本养老保险缴费、职业年金缴费、职工基本医疗保险缴费、公务员医疗补助缴费、其他社</w:t>
      </w:r>
      <w:r>
        <w:rPr>
          <w:rFonts w:ascii="仿宋_GB2312" w:eastAsia="仿宋_GB2312"/>
          <w:sz w:val="32"/>
          <w:szCs w:val="32"/>
          <w:lang w:eastAsia="zh-CN"/>
        </w:rPr>
        <w:lastRenderedPageBreak/>
        <w:t>会保障缴费、住房公积金、其他工资福利支出、退休费、抚恤金和其他对个人和家庭的补助。</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公用经费25.22万元，包括：办公费、水费、电费、邮电费、物业管理费、差旅费、工会经费、福利费、公务用车运行维护费、其他交通费用和其他商品和服务支出。</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w:t>
      </w:r>
      <w:r w:rsidR="006463C1">
        <w:rPr>
          <w:rFonts w:ascii="仿宋_GB2312" w:eastAsia="仿宋_GB2312"/>
          <w:sz w:val="32"/>
          <w:szCs w:val="32"/>
          <w:lang w:eastAsia="zh-CN"/>
        </w:rPr>
        <w:t>、</w:t>
      </w:r>
      <w:r>
        <w:rPr>
          <w:rFonts w:ascii="仿宋_GB2312" w:eastAsia="仿宋_GB2312"/>
          <w:sz w:val="32"/>
          <w:szCs w:val="32"/>
          <w:lang w:eastAsia="zh-CN"/>
        </w:rPr>
        <w:t>支出及结转和结余</w:t>
      </w:r>
      <w:r w:rsidR="006463C1">
        <w:rPr>
          <w:rFonts w:ascii="仿宋_GB2312" w:eastAsia="仿宋_GB2312"/>
          <w:sz w:val="32"/>
          <w:szCs w:val="32"/>
          <w:lang w:eastAsia="zh-CN"/>
        </w:rPr>
        <w:t>，</w:t>
      </w:r>
      <w:r>
        <w:rPr>
          <w:rFonts w:ascii="仿宋_GB2312" w:eastAsia="仿宋_GB2312"/>
          <w:sz w:val="32"/>
          <w:szCs w:val="32"/>
          <w:lang w:eastAsia="zh-CN"/>
        </w:rPr>
        <w:t>政府性基金预算财政拨款收入支出决算表为空表。</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经费支出1.80万元，</w:t>
      </w:r>
      <w:r w:rsidR="009C4B06">
        <w:rPr>
          <w:rFonts w:ascii="仿宋_GB2312" w:eastAsia="仿宋_GB2312"/>
          <w:sz w:val="32"/>
          <w:szCs w:val="32"/>
          <w:lang w:eastAsia="zh-CN"/>
        </w:rPr>
        <w:t>比上年增加</w:t>
      </w:r>
      <w:r w:rsidR="009C4B06">
        <w:rPr>
          <w:rFonts w:ascii="仿宋_GB2312" w:eastAsia="仿宋_GB2312" w:hint="eastAsia"/>
          <w:sz w:val="32"/>
          <w:szCs w:val="32"/>
          <w:lang w:eastAsia="zh-CN"/>
        </w:rPr>
        <w:t>0万元</w:t>
      </w:r>
      <w:r>
        <w:rPr>
          <w:rFonts w:ascii="仿宋_GB2312" w:eastAsia="仿宋_GB2312"/>
          <w:sz w:val="32"/>
          <w:szCs w:val="32"/>
          <w:lang w:eastAsia="zh-CN"/>
        </w:rPr>
        <w:t>，主要原因是：</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经费与上年一致，无变化。其中：因公出国（境）费支出0.00万元,占0.00%，</w:t>
      </w:r>
      <w:r w:rsidR="009C4B06">
        <w:rPr>
          <w:rFonts w:ascii="仿宋_GB2312" w:eastAsia="仿宋_GB2312"/>
          <w:sz w:val="32"/>
          <w:szCs w:val="32"/>
          <w:lang w:eastAsia="zh-CN"/>
        </w:rPr>
        <w:t>比上年增加</w:t>
      </w:r>
      <w:r w:rsidR="009C4B06">
        <w:rPr>
          <w:rFonts w:ascii="仿宋_GB2312" w:eastAsia="仿宋_GB2312" w:hint="eastAsia"/>
          <w:sz w:val="32"/>
          <w:szCs w:val="32"/>
          <w:lang w:eastAsia="zh-CN"/>
        </w:rPr>
        <w:t>0万元</w:t>
      </w:r>
      <w:r>
        <w:rPr>
          <w:rFonts w:ascii="仿宋_GB2312" w:eastAsia="仿宋_GB2312"/>
          <w:sz w:val="32"/>
          <w:szCs w:val="32"/>
          <w:lang w:eastAsia="zh-CN"/>
        </w:rPr>
        <w:t>，主要原因是：我单位无因公出国（境）费；公务用车购置及运行维护费支出1.80万元，占100.00%，</w:t>
      </w:r>
      <w:r w:rsidR="009C4B06">
        <w:rPr>
          <w:rFonts w:ascii="仿宋_GB2312" w:eastAsia="仿宋_GB2312"/>
          <w:sz w:val="32"/>
          <w:szCs w:val="32"/>
          <w:lang w:eastAsia="zh-CN"/>
        </w:rPr>
        <w:t>比上年增加</w:t>
      </w:r>
      <w:r w:rsidR="009C4B06">
        <w:rPr>
          <w:rFonts w:ascii="仿宋_GB2312" w:eastAsia="仿宋_GB2312" w:hint="eastAsia"/>
          <w:sz w:val="32"/>
          <w:szCs w:val="32"/>
          <w:lang w:eastAsia="zh-CN"/>
        </w:rPr>
        <w:t>0万元</w:t>
      </w:r>
      <w:r>
        <w:rPr>
          <w:rFonts w:ascii="仿宋_GB2312" w:eastAsia="仿宋_GB2312"/>
          <w:sz w:val="32"/>
          <w:szCs w:val="32"/>
          <w:lang w:eastAsia="zh-CN"/>
        </w:rPr>
        <w:t>，主要原因是：</w:t>
      </w:r>
      <w:r w:rsidR="009E5981" w:rsidRPr="009E5981">
        <w:rPr>
          <w:rFonts w:ascii="仿宋_GB2312" w:eastAsia="仿宋_GB2312" w:hint="eastAsia"/>
          <w:sz w:val="32"/>
          <w:szCs w:val="32"/>
          <w:lang w:eastAsia="zh-CN"/>
        </w:rPr>
        <w:t>公务用车购置及运行维护费支出与上年一致无变化</w:t>
      </w:r>
      <w:r>
        <w:rPr>
          <w:rFonts w:ascii="仿宋_GB2312" w:eastAsia="仿宋_GB2312"/>
          <w:sz w:val="32"/>
          <w:szCs w:val="32"/>
          <w:lang w:eastAsia="zh-CN"/>
        </w:rPr>
        <w:t>；公务接待费支出0.00万元，占0.00%，</w:t>
      </w:r>
      <w:r w:rsidR="009C4B06">
        <w:rPr>
          <w:rFonts w:ascii="仿宋_GB2312" w:eastAsia="仿宋_GB2312"/>
          <w:sz w:val="32"/>
          <w:szCs w:val="32"/>
          <w:lang w:eastAsia="zh-CN"/>
        </w:rPr>
        <w:t>比上年增加</w:t>
      </w:r>
      <w:r w:rsidR="009C4B06">
        <w:rPr>
          <w:rFonts w:ascii="仿宋_GB2312" w:eastAsia="仿宋_GB2312" w:hint="eastAsia"/>
          <w:sz w:val="32"/>
          <w:szCs w:val="32"/>
          <w:lang w:eastAsia="zh-CN"/>
        </w:rPr>
        <w:t>0万元</w:t>
      </w:r>
      <w:r>
        <w:rPr>
          <w:rFonts w:ascii="仿宋_GB2312" w:eastAsia="仿宋_GB2312"/>
          <w:sz w:val="32"/>
          <w:szCs w:val="32"/>
          <w:lang w:eastAsia="zh-CN"/>
        </w:rPr>
        <w:t>，主要原因是：我单位无公务接待费。</w:t>
      </w:r>
    </w:p>
    <w:p w:rsidR="0068100E" w:rsidRDefault="009428B4" w:rsidP="00157D7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因公出国（境）费支出0.00万元，开支内容包括我单位无因公出国（境）费。单位全年安排的因公出国（境）团组0个，因公出国（境）0人次。</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1.80万元，其中：公务用车购置费0.00万元，公务用车运行维护费1.80万元。公务用车运行维护费开支内容包括车辆燃油费、车辆保险费、车辆维修费。公务用车购置数0辆，公务用车保有量2辆。国有资产占用情况中固定资产车辆2辆，与公务用车保有量差异原因是：无差异。</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公务接待费0.00万元，开支内容包括我单位无公务接待费。单位全年安排的国内公务接待0批次，0人次。</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1.80万元，决算数1.80万元，预决算差异率0.00%，主要原因是：严格按照全年预算数执行，无差异。其中：因公出国（境）费全年预算数0.00万元，决算数0.00万元，预决算差异率0.00%，主要原因是：我单位无因公出国（境）费</w:t>
      </w:r>
      <w:r w:rsidR="009C4B06">
        <w:rPr>
          <w:rFonts w:ascii="仿宋_GB2312" w:eastAsia="仿宋_GB2312"/>
          <w:sz w:val="32"/>
          <w:szCs w:val="32"/>
          <w:lang w:eastAsia="zh-CN"/>
        </w:rPr>
        <w:t>；</w:t>
      </w:r>
      <w:r>
        <w:rPr>
          <w:rFonts w:ascii="仿宋_GB2312" w:eastAsia="仿宋_GB2312"/>
          <w:sz w:val="32"/>
          <w:szCs w:val="32"/>
          <w:lang w:eastAsia="zh-CN"/>
        </w:rPr>
        <w:t>公务用车购置费全年预算数0.00万元，决算数0.00万元，预决算差异率0.00%，主要原因是：</w:t>
      </w:r>
      <w:r w:rsidR="00023DB7" w:rsidRPr="00023DB7">
        <w:rPr>
          <w:rFonts w:ascii="仿宋_GB2312" w:eastAsia="仿宋_GB2312" w:hint="eastAsia"/>
          <w:sz w:val="32"/>
          <w:szCs w:val="32"/>
          <w:lang w:eastAsia="zh-CN"/>
        </w:rPr>
        <w:t>我单位无公务用车购置费</w:t>
      </w:r>
      <w:r w:rsidR="009C4B06">
        <w:rPr>
          <w:rFonts w:ascii="仿宋_GB2312" w:eastAsia="仿宋_GB2312"/>
          <w:sz w:val="32"/>
          <w:szCs w:val="32"/>
          <w:lang w:eastAsia="zh-CN"/>
        </w:rPr>
        <w:t>；</w:t>
      </w:r>
      <w:r>
        <w:rPr>
          <w:rFonts w:ascii="仿宋_GB2312" w:eastAsia="仿宋_GB2312"/>
          <w:sz w:val="32"/>
          <w:szCs w:val="32"/>
          <w:lang w:eastAsia="zh-CN"/>
        </w:rPr>
        <w:t>公务用车运行维护费全年预算数1.80万元，决算数1.80万元，预决算差异率0.00%，主要原因是：严格按照全年预算数执行，无差异</w:t>
      </w:r>
      <w:r w:rsidR="009C4B06">
        <w:rPr>
          <w:rFonts w:ascii="仿宋_GB2312" w:eastAsia="仿宋_GB2312"/>
          <w:sz w:val="32"/>
          <w:szCs w:val="32"/>
          <w:lang w:eastAsia="zh-CN"/>
        </w:rPr>
        <w:t>；</w:t>
      </w:r>
      <w:r>
        <w:rPr>
          <w:rFonts w:ascii="仿宋_GB2312" w:eastAsia="仿宋_GB2312"/>
          <w:sz w:val="32"/>
          <w:szCs w:val="32"/>
          <w:lang w:eastAsia="zh-CN"/>
        </w:rPr>
        <w:t>公务接待费全年预算数0.00万元，决算数0.00万元，预决算差异率0.00%，主要原因是：我单位无公务接待费。</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68100E" w:rsidRDefault="009428B4" w:rsidP="00157D76">
      <w:pPr>
        <w:spacing w:after="0" w:line="240" w:lineRule="auto"/>
        <w:ind w:firstLineChars="200" w:firstLine="643"/>
        <w:outlineLvl w:val="2"/>
        <w:rPr>
          <w:rFonts w:ascii="仿宋_GB2312" w:eastAsia="仿宋_GB2312"/>
          <w:sz w:val="32"/>
          <w:szCs w:val="32"/>
          <w:lang w:eastAsia="zh-CN"/>
        </w:rPr>
      </w:pPr>
      <w:r>
        <w:rPr>
          <w:rFonts w:ascii="仿宋_GB2312" w:eastAsia="仿宋_GB2312"/>
          <w:b/>
          <w:sz w:val="32"/>
          <w:szCs w:val="32"/>
          <w:lang w:eastAsia="zh-CN"/>
        </w:rPr>
        <w:t>（一）机关运行经费及公用经费支出情况</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w:t>
      </w:r>
      <w:r w:rsidR="00CB780D">
        <w:rPr>
          <w:rFonts w:ascii="仿宋_GB2312" w:eastAsia="仿宋_GB2312"/>
          <w:sz w:val="32"/>
          <w:szCs w:val="32"/>
          <w:lang w:eastAsia="zh-CN"/>
        </w:rPr>
        <w:t>新疆维吾尔自治区土壤肥料工作站</w:t>
      </w:r>
      <w:r w:rsidR="00023DB7" w:rsidRPr="00023DB7">
        <w:rPr>
          <w:rFonts w:ascii="仿宋_GB2312" w:eastAsia="仿宋_GB2312" w:hint="eastAsia"/>
          <w:sz w:val="32"/>
          <w:szCs w:val="32"/>
          <w:lang w:eastAsia="zh-CN"/>
        </w:rPr>
        <w:t>（事业单位）公用经费支出</w:t>
      </w:r>
      <w:r>
        <w:rPr>
          <w:rFonts w:ascii="仿宋_GB2312" w:eastAsia="仿宋_GB2312"/>
          <w:sz w:val="32"/>
          <w:szCs w:val="32"/>
          <w:lang w:eastAsia="zh-CN"/>
        </w:rPr>
        <w:t>25.22万元，比上年增加2.51万元，增长11.05%，主要原因是：差旅费、工会经费、福利费增加，公用经费增加。</w:t>
      </w:r>
    </w:p>
    <w:p w:rsidR="0068100E" w:rsidRDefault="009428B4" w:rsidP="00157D76">
      <w:pPr>
        <w:spacing w:after="0" w:line="240" w:lineRule="auto"/>
        <w:ind w:firstLineChars="200" w:firstLine="643"/>
        <w:outlineLvl w:val="2"/>
        <w:rPr>
          <w:rFonts w:ascii="仿宋_GB2312" w:eastAsia="仿宋_GB2312"/>
          <w:sz w:val="32"/>
          <w:szCs w:val="32"/>
          <w:lang w:eastAsia="zh-CN"/>
        </w:rPr>
      </w:pPr>
      <w:r>
        <w:rPr>
          <w:rFonts w:ascii="仿宋_GB2312" w:eastAsia="仿宋_GB2312"/>
          <w:b/>
          <w:sz w:val="32"/>
          <w:szCs w:val="32"/>
          <w:lang w:eastAsia="zh-CN"/>
        </w:rPr>
        <w:t>（二）政府采购情况</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2024年度政府采购支出总额49.50万元，其中：政府采购货物支出3.52万元、政府采购工程支出0.00万元、政府采购服务支出45.98万元。</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授予中小企业合同金额13.24万元，占政府采购支出总额的26.75%，其中：授予小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合同金额13.24万元，占政府采购支出总额的26.75%。</w:t>
      </w:r>
    </w:p>
    <w:p w:rsidR="0068100E" w:rsidRDefault="009428B4" w:rsidP="00157D76">
      <w:pPr>
        <w:spacing w:after="0" w:line="240" w:lineRule="auto"/>
        <w:ind w:firstLineChars="200" w:firstLine="643"/>
        <w:outlineLvl w:val="2"/>
        <w:rPr>
          <w:rFonts w:ascii="仿宋_GB2312" w:eastAsia="仿宋_GB2312"/>
          <w:sz w:val="32"/>
          <w:szCs w:val="32"/>
          <w:lang w:eastAsia="zh-CN"/>
        </w:rPr>
      </w:pPr>
      <w:r>
        <w:rPr>
          <w:rFonts w:ascii="仿宋_GB2312" w:eastAsia="仿宋_GB2312"/>
          <w:b/>
          <w:sz w:val="32"/>
          <w:szCs w:val="32"/>
          <w:lang w:eastAsia="zh-CN"/>
        </w:rPr>
        <w:t>（三）国有资产占用情况说明</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车辆2辆，价值69.12万元，其中：副部（省）级及以上领导用车0辆、主要负责人用车0辆、机要通信用车0辆、应急保障用车0辆、执法执勤用车0辆、特种专业技术用车0</w:t>
      </w:r>
      <w:r>
        <w:rPr>
          <w:rFonts w:ascii="仿宋_GB2312" w:eastAsia="仿宋_GB2312"/>
          <w:sz w:val="32"/>
          <w:szCs w:val="32"/>
          <w:lang w:eastAsia="zh-CN"/>
        </w:rPr>
        <w:lastRenderedPageBreak/>
        <w:t>辆、离退休干部服务用车0辆、其他用车2辆，其他用车主要是：</w:t>
      </w:r>
      <w:r w:rsidR="00023DB7">
        <w:rPr>
          <w:rFonts w:ascii="仿宋_GB2312" w:eastAsia="仿宋_GB2312" w:hAnsi="仿宋_GB2312" w:cs="仿宋_GB2312" w:hint="eastAsia"/>
          <w:bCs/>
          <w:sz w:val="32"/>
          <w:szCs w:val="32"/>
          <w:lang w:eastAsia="zh-CN"/>
        </w:rPr>
        <w:t>一般公务用车</w:t>
      </w:r>
      <w:r>
        <w:rPr>
          <w:rFonts w:ascii="仿宋_GB2312" w:eastAsia="仿宋_GB2312"/>
          <w:sz w:val="32"/>
          <w:szCs w:val="32"/>
          <w:lang w:eastAsia="zh-CN"/>
        </w:rPr>
        <w:t>;单价100万元（含）以上设备（不含车辆）0台（套）。</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根据预算绩效管理要求，本单位2024年度预算绩效评价项目</w:t>
      </w:r>
      <w:r w:rsidR="00AE01A4">
        <w:rPr>
          <w:rFonts w:ascii="仿宋_GB2312" w:eastAsia="仿宋_GB2312" w:hint="eastAsia"/>
          <w:sz w:val="32"/>
          <w:szCs w:val="32"/>
          <w:lang w:eastAsia="zh-CN"/>
        </w:rPr>
        <w:t>1</w:t>
      </w:r>
      <w:r>
        <w:rPr>
          <w:rFonts w:ascii="仿宋_GB2312" w:eastAsia="仿宋_GB2312"/>
          <w:sz w:val="32"/>
          <w:szCs w:val="32"/>
          <w:lang w:eastAsia="zh-CN"/>
        </w:rPr>
        <w:t>个，全年预算数</w:t>
      </w:r>
      <w:r w:rsidR="00AE01A4">
        <w:rPr>
          <w:rFonts w:ascii="仿宋_GB2312" w:eastAsia="仿宋_GB2312" w:hint="eastAsia"/>
          <w:sz w:val="32"/>
          <w:szCs w:val="32"/>
          <w:lang w:eastAsia="zh-CN"/>
        </w:rPr>
        <w:t>45</w:t>
      </w:r>
      <w:r>
        <w:rPr>
          <w:rFonts w:ascii="仿宋_GB2312" w:eastAsia="仿宋_GB2312"/>
          <w:sz w:val="32"/>
          <w:szCs w:val="32"/>
          <w:lang w:eastAsia="zh-CN"/>
        </w:rPr>
        <w:t>万元，全年执行数</w:t>
      </w:r>
      <w:r w:rsidR="00AE01A4">
        <w:rPr>
          <w:rFonts w:ascii="仿宋_GB2312" w:eastAsia="仿宋_GB2312" w:hint="eastAsia"/>
          <w:sz w:val="32"/>
          <w:szCs w:val="32"/>
          <w:lang w:eastAsia="zh-CN"/>
        </w:rPr>
        <w:t>41.11</w:t>
      </w:r>
      <w:r>
        <w:rPr>
          <w:rFonts w:ascii="仿宋_GB2312" w:eastAsia="仿宋_GB2312"/>
          <w:sz w:val="32"/>
          <w:szCs w:val="32"/>
          <w:lang w:eastAsia="zh-CN"/>
        </w:rPr>
        <w:t>万元，预算绩效管理取得的成效：一是构建全面实施预算绩效管理体系框架。通过不断完善工作机制和相关制度，逐步形成从目标编审到绩效跟踪、绩效自评、第三方评价等贯穿预算管理全过程的绩效管理工作制度。二是推动预算绩效深度融合，促进预算管理改革。将绩效目标管理融入部门预算编制的各个环节，做到绩效目标与预算编制同步申报、同步审核、同步批复，推动预算绩效深度融合；发现的问题及原因：一是对绩效监控工作重要性认识不足，缺乏开展绩效监控工作的主动性；二是绩效监控工作制度建设有待完善，对偏离绩效目标的项目，采取相应的纠偏措施较为缓慢，归根结底是在制定绩效目标时考虑不够全面、细致，导致实际工作与绩效目标产生偏离；下一步改进措施：一是加强组织领导，明确绩效监控主体责任，扎实推进项目实施，动态跟踪项目进度，及时采取纠偏纠错措施，促进预算绩效目标顺利实现；二是扎实开展学习相关政策文件，提高绩效监控管理人员的思想认识和业务水平，完成项目筹备情况、项目实施情况、资金拨付情况和绩效目标完成情况的全过程管理。</w:t>
      </w:r>
      <w:bookmarkStart w:id="0" w:name="_GoBack"/>
      <w:bookmarkEnd w:id="0"/>
      <w:r>
        <w:rPr>
          <w:rFonts w:ascii="仿宋_GB2312" w:eastAsia="仿宋_GB2312"/>
          <w:sz w:val="32"/>
          <w:szCs w:val="32"/>
          <w:lang w:eastAsia="zh-CN"/>
        </w:rPr>
        <w:t>具体</w:t>
      </w:r>
      <w:proofErr w:type="gramStart"/>
      <w:r>
        <w:rPr>
          <w:rFonts w:ascii="仿宋_GB2312" w:eastAsia="仿宋_GB2312"/>
          <w:sz w:val="32"/>
          <w:szCs w:val="32"/>
          <w:lang w:eastAsia="zh-CN"/>
        </w:rPr>
        <w:t>附项目</w:t>
      </w:r>
      <w:proofErr w:type="gramEnd"/>
      <w:r>
        <w:rPr>
          <w:rFonts w:ascii="仿宋_GB2312" w:eastAsia="仿宋_GB2312"/>
          <w:sz w:val="32"/>
          <w:szCs w:val="32"/>
          <w:lang w:eastAsia="zh-CN"/>
        </w:rPr>
        <w:t>支出绩效自评表。</w:t>
      </w:r>
    </w:p>
    <w:p w:rsidR="0068100E" w:rsidRDefault="009428B4" w:rsidP="00157D7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68100E" w:rsidRDefault="009428B4" w:rsidP="00157D7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68100E" w:rsidRDefault="0068100E" w:rsidP="00157D76">
      <w:pPr>
        <w:spacing w:after="0" w:line="240" w:lineRule="auto"/>
        <w:ind w:firstLineChars="200" w:firstLine="640"/>
        <w:rPr>
          <w:rFonts w:ascii="仿宋_GB2312" w:eastAsia="仿宋_GB2312"/>
          <w:sz w:val="32"/>
          <w:szCs w:val="32"/>
          <w:lang w:eastAsia="zh-CN"/>
        </w:rPr>
      </w:pPr>
    </w:p>
    <w:p w:rsidR="0068100E" w:rsidRDefault="009428B4">
      <w:pPr>
        <w:rPr>
          <w:lang w:eastAsia="zh-CN"/>
        </w:rPr>
      </w:pPr>
      <w:r>
        <w:rPr>
          <w:sz w:val="0"/>
          <w:szCs w:val="0"/>
          <w:lang w:eastAsia="zh-CN"/>
        </w:rPr>
        <w:br w:type="page"/>
      </w:r>
    </w:p>
    <w:p w:rsidR="0068100E" w:rsidRDefault="009428B4">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第三部分专业名词解释</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rsidR="0068100E" w:rsidRDefault="009428B4" w:rsidP="00157D7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68100E" w:rsidRDefault="009428B4">
      <w:pPr>
        <w:rPr>
          <w:lang w:eastAsia="zh-CN"/>
        </w:rPr>
      </w:pPr>
      <w:r>
        <w:rPr>
          <w:sz w:val="0"/>
          <w:szCs w:val="0"/>
          <w:lang w:eastAsia="zh-CN"/>
        </w:rPr>
        <w:br w:type="page"/>
      </w:r>
    </w:p>
    <w:p w:rsidR="0068100E" w:rsidRDefault="009428B4">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第四部分部门决算报表（见附表）</w:t>
      </w:r>
    </w:p>
    <w:p w:rsidR="0068100E" w:rsidRDefault="009428B4" w:rsidP="00157D7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68100E" w:rsidRDefault="009428B4" w:rsidP="00157D7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68100E" w:rsidRDefault="009428B4" w:rsidP="00157D7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68100E" w:rsidRDefault="009428B4" w:rsidP="00157D7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68100E" w:rsidRDefault="009428B4" w:rsidP="00157D7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68100E" w:rsidRDefault="009428B4" w:rsidP="00157D7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68100E" w:rsidRDefault="009428B4" w:rsidP="00157D7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68100E" w:rsidRDefault="009428B4" w:rsidP="00157D7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68100E" w:rsidRDefault="009428B4" w:rsidP="0068100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68100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4A8" w:rsidRDefault="009524A8" w:rsidP="00157D76">
      <w:pPr>
        <w:spacing w:after="0" w:line="240" w:lineRule="auto"/>
      </w:pPr>
      <w:r>
        <w:separator/>
      </w:r>
    </w:p>
  </w:endnote>
  <w:endnote w:type="continuationSeparator" w:id="0">
    <w:p w:rsidR="009524A8" w:rsidRDefault="009524A8" w:rsidP="00157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4A8" w:rsidRDefault="009524A8" w:rsidP="00157D76">
      <w:pPr>
        <w:spacing w:after="0" w:line="240" w:lineRule="auto"/>
      </w:pPr>
      <w:r>
        <w:separator/>
      </w:r>
    </w:p>
  </w:footnote>
  <w:footnote w:type="continuationSeparator" w:id="0">
    <w:p w:rsidR="009524A8" w:rsidRDefault="009524A8" w:rsidP="00157D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52C20"/>
    <w:multiLevelType w:val="multilevel"/>
    <w:tmpl w:val="1E4229C4"/>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215CF7"/>
    <w:multiLevelType w:val="multilevel"/>
    <w:tmpl w:val="5AA4E152"/>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818D2"/>
    <w:multiLevelType w:val="multilevel"/>
    <w:tmpl w:val="A9A84486"/>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E025C6"/>
    <w:multiLevelType w:val="multilevel"/>
    <w:tmpl w:val="921CC386"/>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AB7F41"/>
    <w:multiLevelType w:val="multilevel"/>
    <w:tmpl w:val="767CEB98"/>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D461FA"/>
    <w:multiLevelType w:val="multilevel"/>
    <w:tmpl w:val="E348C824"/>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A26021"/>
    <w:multiLevelType w:val="multilevel"/>
    <w:tmpl w:val="1F042CC8"/>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CC118A"/>
    <w:multiLevelType w:val="multilevel"/>
    <w:tmpl w:val="0BE0CAD6"/>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661DA7"/>
    <w:multiLevelType w:val="multilevel"/>
    <w:tmpl w:val="780842D4"/>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9413A1"/>
    <w:multiLevelType w:val="multilevel"/>
    <w:tmpl w:val="9B745FD0"/>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46336D"/>
    <w:multiLevelType w:val="multilevel"/>
    <w:tmpl w:val="4464056E"/>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B53328"/>
    <w:multiLevelType w:val="multilevel"/>
    <w:tmpl w:val="71D0B886"/>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DF6287"/>
    <w:multiLevelType w:val="multilevel"/>
    <w:tmpl w:val="6778F130"/>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FC7037"/>
    <w:multiLevelType w:val="multilevel"/>
    <w:tmpl w:val="5A26DE76"/>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214DCF"/>
    <w:multiLevelType w:val="multilevel"/>
    <w:tmpl w:val="617C69EC"/>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470DE4"/>
    <w:multiLevelType w:val="multilevel"/>
    <w:tmpl w:val="14207AB6"/>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4AA12B1"/>
    <w:multiLevelType w:val="multilevel"/>
    <w:tmpl w:val="81BEBDD2"/>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476A57"/>
    <w:multiLevelType w:val="multilevel"/>
    <w:tmpl w:val="C65435E2"/>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3EA2828"/>
    <w:multiLevelType w:val="multilevel"/>
    <w:tmpl w:val="A31865C6"/>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627416"/>
    <w:multiLevelType w:val="multilevel"/>
    <w:tmpl w:val="5E14B812"/>
    <w:lvl w:ilvl="0">
      <w:start w:val="1"/>
      <w:numFmt w:val="decimal"/>
      <w:suff w:val="nothing"/>
      <w:lvlText w:val="%1."/>
      <w:lvlJc w:val="left"/>
      <w:pPr>
        <w:spacing w:beforeLines="0" w:before="0" w:beforeAutospacing="0" w:line="240" w:lineRule="auto"/>
        <w:ind w:firstLineChars="200" w:firstLine="640"/>
      </w:pPr>
    </w:lvl>
    <w:lvl w:ilvl="1">
      <w:start w:val="1"/>
      <w:numFmt w:val="decimal"/>
      <w:suff w:val="nothing"/>
      <w:lvlText w:val="%1.%2."/>
      <w:lvlJc w:val="left"/>
      <w:pPr>
        <w:spacing w:beforeLines="0" w:before="0" w:beforeAutospacing="0" w:line="240" w:lineRule="auto"/>
        <w:ind w:firstLineChars="200" w:firstLine="640"/>
      </w:pPr>
    </w:lvl>
    <w:lvl w:ilvl="2">
      <w:start w:val="1"/>
      <w:numFmt w:val="decimal"/>
      <w:suff w:val="nothing"/>
      <w:lvlText w:val="%1.%2.%3."/>
      <w:lvlJc w:val="left"/>
      <w:pPr>
        <w:ind w:left="0" w:firstLine="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7"/>
  </w:num>
  <w:num w:numId="4">
    <w:abstractNumId w:val="19"/>
  </w:num>
  <w:num w:numId="5">
    <w:abstractNumId w:val="2"/>
  </w:num>
  <w:num w:numId="6">
    <w:abstractNumId w:val="6"/>
  </w:num>
  <w:num w:numId="7">
    <w:abstractNumId w:val="8"/>
  </w:num>
  <w:num w:numId="8">
    <w:abstractNumId w:val="5"/>
  </w:num>
  <w:num w:numId="9">
    <w:abstractNumId w:val="9"/>
  </w:num>
  <w:num w:numId="10">
    <w:abstractNumId w:val="3"/>
  </w:num>
  <w:num w:numId="11">
    <w:abstractNumId w:val="12"/>
  </w:num>
  <w:num w:numId="12">
    <w:abstractNumId w:val="10"/>
  </w:num>
  <w:num w:numId="13">
    <w:abstractNumId w:val="15"/>
  </w:num>
  <w:num w:numId="14">
    <w:abstractNumId w:val="4"/>
  </w:num>
  <w:num w:numId="15">
    <w:abstractNumId w:val="18"/>
  </w:num>
  <w:num w:numId="16">
    <w:abstractNumId w:val="16"/>
  </w:num>
  <w:num w:numId="17">
    <w:abstractNumId w:val="14"/>
  </w:num>
  <w:num w:numId="18">
    <w:abstractNumId w:val="0"/>
  </w:num>
  <w:num w:numId="19">
    <w:abstractNumId w:val="1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
  <w:rsids>
    <w:rsidRoot w:val="0068100E"/>
    <w:rsid w:val="00023DB7"/>
    <w:rsid w:val="00157D76"/>
    <w:rsid w:val="00447EE6"/>
    <w:rsid w:val="006463C1"/>
    <w:rsid w:val="0068100E"/>
    <w:rsid w:val="009428B4"/>
    <w:rsid w:val="009524A8"/>
    <w:rsid w:val="009C4B06"/>
    <w:rsid w:val="009E3AE1"/>
    <w:rsid w:val="009E5981"/>
    <w:rsid w:val="00AC484F"/>
    <w:rsid w:val="00AE01A4"/>
    <w:rsid w:val="00AF256D"/>
    <w:rsid w:val="00CB780D"/>
    <w:rsid w:val="00D40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1CD9"/>
    <w:pPr>
      <w:tabs>
        <w:tab w:val="center" w:pos="4680"/>
        <w:tab w:val="right" w:pos="9360"/>
      </w:tabs>
    </w:pPr>
  </w:style>
  <w:style w:type="character" w:customStyle="1" w:styleId="Char">
    <w:name w:val="页眉 Char"/>
    <w:basedOn w:val="a0"/>
    <w:link w:val="a3"/>
    <w:uiPriority w:val="99"/>
    <w:rsid w:val="00841CD9"/>
  </w:style>
  <w:style w:type="character" w:customStyle="1" w:styleId="1Char">
    <w:name w:val="标题 1 Char"/>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rsid w:val="00841CD9"/>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rsid w:val="00841CD9"/>
    <w:rPr>
      <w:rFonts w:asciiTheme="majorHAnsi" w:eastAsiaTheme="majorEastAsia" w:hAnsiTheme="majorHAnsi" w:cstheme="majorBidi"/>
      <w:b/>
      <w:bCs/>
      <w:i/>
      <w:iCs/>
      <w:color w:val="4F81BD" w:themeColor="accent1"/>
    </w:rPr>
  </w:style>
  <w:style w:type="paragraph" w:styleId="a4">
    <w:name w:val="Normal Indent"/>
    <w:basedOn w:val="a"/>
    <w:uiPriority w:val="99"/>
    <w:unhideWhenUsed/>
    <w:rsid w:val="00841CD9"/>
    <w:pPr>
      <w:ind w:left="720"/>
    </w:pPr>
  </w:style>
  <w:style w:type="paragraph" w:styleId="a5">
    <w:name w:val="Subtitle"/>
    <w:basedOn w:val="a"/>
    <w:next w:val="a"/>
    <w:link w:val="Char0"/>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0"/>
    <w:link w:val="a5"/>
    <w:uiPriority w:val="11"/>
    <w:rsid w:val="00841CD9"/>
    <w:rPr>
      <w:rFonts w:asciiTheme="majorHAnsi" w:eastAsiaTheme="majorEastAsia" w:hAnsiTheme="majorHAnsi" w:cstheme="majorBidi"/>
      <w:i/>
      <w:iCs/>
      <w:color w:val="4F81BD" w:themeColor="accent1"/>
      <w:spacing w:val="15"/>
      <w:sz w:val="24"/>
      <w:szCs w:val="24"/>
    </w:rPr>
  </w:style>
  <w:style w:type="paragraph" w:styleId="a6">
    <w:name w:val="Title"/>
    <w:basedOn w:val="a"/>
    <w:next w:val="a"/>
    <w:link w:val="Char1"/>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标题 Char"/>
    <w:basedOn w:val="a0"/>
    <w:link w:val="a6"/>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7">
    <w:name w:val="Emphasis"/>
    <w:basedOn w:val="a0"/>
    <w:uiPriority w:val="20"/>
    <w:qFormat/>
    <w:rsid w:val="00D1197D"/>
    <w:rPr>
      <w:i/>
      <w:iCs/>
    </w:rPr>
  </w:style>
  <w:style w:type="character" w:styleId="a8">
    <w:name w:val="Hyperlink"/>
    <w:basedOn w:val="a0"/>
    <w:uiPriority w:val="99"/>
    <w:unhideWhenUsed/>
    <w:rPr>
      <w:color w:val="0000FF" w:themeColor="hyperlink"/>
      <w:u w:val="single"/>
    </w:rPr>
  </w:style>
  <w:style w:type="table" w:styleId="a9">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b">
    <w:name w:val="footer"/>
    <w:basedOn w:val="a"/>
    <w:link w:val="Char2"/>
    <w:uiPriority w:val="99"/>
    <w:unhideWhenUsed/>
    <w:rsid w:val="00157D76"/>
    <w:pPr>
      <w:tabs>
        <w:tab w:val="center" w:pos="4153"/>
        <w:tab w:val="right" w:pos="8306"/>
      </w:tabs>
      <w:snapToGrid w:val="0"/>
      <w:spacing w:line="240" w:lineRule="auto"/>
    </w:pPr>
    <w:rPr>
      <w:sz w:val="18"/>
      <w:szCs w:val="18"/>
    </w:rPr>
  </w:style>
  <w:style w:type="character" w:customStyle="1" w:styleId="Char2">
    <w:name w:val="页脚 Char"/>
    <w:basedOn w:val="a0"/>
    <w:link w:val="ab"/>
    <w:uiPriority w:val="99"/>
    <w:rsid w:val="00157D7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939</Words>
  <Characters>5358</Characters>
  <Application>Microsoft Office Word</Application>
  <DocSecurity>0</DocSecurity>
  <Lines>44</Lines>
  <Paragraphs>12</Paragraphs>
  <ScaleCrop>false</ScaleCrop>
  <Company>微软中国</Company>
  <LinksUpToDate>false</LinksUpToDate>
  <CharactersWithSpaces>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12</cp:revision>
  <cp:lastPrinted>2025-08-19T02:45:00Z</cp:lastPrinted>
  <dcterms:created xsi:type="dcterms:W3CDTF">2025-08-19T02:37:00Z</dcterms:created>
  <dcterms:modified xsi:type="dcterms:W3CDTF">2025-08-26T02:59:00Z</dcterms:modified>
</cp:coreProperties>
</file>