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after="0" w:line="560" w:lineRule="exact"/>
        <w:jc w:val="center"/>
        <w:textAlignment w:val="auto"/>
        <w:rPr>
          <w:rFonts w:hint="default" w:ascii="Times New Roman" w:hAnsi="Times New Roman" w:eastAsia="方正小标宋简体" w:cs="Times New Roman"/>
          <w:b w:val="0"/>
          <w:bCs w:val="0"/>
          <w:kern w:val="2"/>
          <w:sz w:val="44"/>
          <w:szCs w:val="44"/>
          <w:highlight w:val="none"/>
          <w:lang w:val="en-US" w:eastAsia="zh-CN"/>
        </w:rPr>
      </w:pPr>
      <w:r>
        <w:rPr>
          <w:rFonts w:hint="default" w:ascii="Times New Roman" w:hAnsi="Times New Roman" w:eastAsia="方正小标宋简体" w:cs="Times New Roman"/>
          <w:b w:val="0"/>
          <w:bCs w:val="0"/>
          <w:kern w:val="2"/>
          <w:sz w:val="44"/>
          <w:szCs w:val="44"/>
          <w:highlight w:val="none"/>
          <w:lang w:val="en-US" w:eastAsia="zh-CN"/>
        </w:rPr>
        <w:t>新疆维吾尔自治区农机安全监理总站</w:t>
      </w:r>
    </w:p>
    <w:p>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Times New Roman" w:hAnsi="Times New Roman" w:eastAsia="方正小标宋简体" w:cs="Times New Roman"/>
          <w:b w:val="0"/>
          <w:bCs w:val="0"/>
          <w:sz w:val="44"/>
          <w:szCs w:val="44"/>
          <w:highlight w:val="none"/>
        </w:rPr>
      </w:pPr>
      <w:r>
        <w:rPr>
          <w:rFonts w:hint="default" w:ascii="Times New Roman" w:hAnsi="Times New Roman" w:eastAsia="方正小标宋简体" w:cs="Times New Roman"/>
          <w:b w:val="0"/>
          <w:bCs w:val="0"/>
          <w:kern w:val="2"/>
          <w:sz w:val="44"/>
          <w:szCs w:val="44"/>
          <w:highlight w:val="none"/>
          <w:lang w:val="en-US" w:eastAsia="zh-CN"/>
        </w:rPr>
        <w:t>2024年度部门决算公开说明</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default" w:ascii="Times New Roman" w:hAnsi="Times New Roman" w:eastAsia="仿宋_GB2312" w:cs="Times New Roman"/>
          <w:b w:val="0"/>
          <w:bCs/>
          <w:kern w:val="0"/>
          <w:sz w:val="32"/>
          <w:szCs w:val="32"/>
          <w:highlight w:val="none"/>
        </w:rPr>
      </w:pPr>
      <w:r>
        <w:rPr>
          <w:rFonts w:hint="default" w:ascii="Times New Roman" w:hAnsi="Times New Roman" w:eastAsia="方正小标宋_GBK" w:cs="Times New Roman"/>
          <w:sz w:val="44"/>
          <w:szCs w:val="44"/>
          <w:highlight w:val="none"/>
        </w:rPr>
        <w:br w:type="page"/>
      </w:r>
      <w:r>
        <w:rPr>
          <w:rFonts w:hint="default" w:ascii="Times New Roman" w:hAnsi="Times New Roman" w:eastAsia="仿宋_GB2312" w:cs="Times New Roman"/>
          <w:b/>
          <w:bCs w:val="0"/>
          <w:kern w:val="0"/>
          <w:sz w:val="36"/>
          <w:szCs w:val="36"/>
          <w:highlight w:val="none"/>
        </w:rPr>
        <w:t>目  录</w:t>
      </w:r>
    </w:p>
    <w:p>
      <w:pPr>
        <w:pStyle w:val="4"/>
        <w:keepNext w:val="0"/>
        <w:keepLines w:val="0"/>
        <w:pageBreakBefore w:val="0"/>
        <w:tabs>
          <w:tab w:val="right" w:pos="8306"/>
        </w:tabs>
        <w:kinsoku/>
        <w:wordWrap/>
        <w:overflowPunct/>
        <w:topLinePunct w:val="0"/>
        <w:bidi w:val="0"/>
        <w:adjustRightInd/>
        <w:snapToGrid/>
        <w:spacing w:line="560" w:lineRule="exact"/>
        <w:textAlignment w:val="auto"/>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TOC \o "1-3" \n  \h \u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_Toc32036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 xml:space="preserve">第一部分 </w:t>
      </w:r>
      <w:r>
        <w:rPr>
          <w:rFonts w:hint="eastAsia" w:eastAsia="仿宋_GB2312" w:cs="Times New Roman"/>
          <w:b/>
          <w:bCs/>
          <w:sz w:val="32"/>
          <w:szCs w:val="32"/>
          <w:highlight w:val="none"/>
          <w:lang w:val="en-US" w:eastAsia="zh-CN"/>
        </w:rPr>
        <w:t>单位</w:t>
      </w:r>
      <w:r>
        <w:rPr>
          <w:rFonts w:hint="default" w:ascii="Times New Roman" w:hAnsi="Times New Roman" w:eastAsia="仿宋_GB2312" w:cs="Times New Roman"/>
          <w:b/>
          <w:bCs/>
          <w:sz w:val="32"/>
          <w:szCs w:val="32"/>
          <w:highlight w:val="none"/>
        </w:rPr>
        <w:t>概况</w:t>
      </w:r>
      <w:r>
        <w:rPr>
          <w:rFonts w:hint="default" w:ascii="Times New Roman" w:hAnsi="Times New Roman" w:eastAsia="仿宋_GB2312" w:cs="Times New Roman"/>
          <w:b/>
          <w:bCs/>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_Toc22563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一、主要职能</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_Toc11134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二、机构设置</w:t>
      </w:r>
      <w:r>
        <w:rPr>
          <w:rFonts w:hint="default" w:ascii="Times New Roman" w:hAnsi="Times New Roman" w:eastAsia="仿宋_GB2312" w:cs="Times New Roman"/>
          <w:sz w:val="32"/>
          <w:szCs w:val="32"/>
          <w:highlight w:val="none"/>
          <w:lang w:eastAsia="zh-CN"/>
        </w:rPr>
        <w:t>及人员</w:t>
      </w:r>
      <w:r>
        <w:rPr>
          <w:rFonts w:hint="default" w:ascii="Times New Roman" w:hAnsi="Times New Roman" w:eastAsia="仿宋_GB2312" w:cs="Times New Roman"/>
          <w:sz w:val="32"/>
          <w:szCs w:val="32"/>
          <w:highlight w:val="none"/>
        </w:rPr>
        <w:t>情况</w:t>
      </w:r>
      <w:r>
        <w:rPr>
          <w:rFonts w:hint="default" w:ascii="Times New Roman" w:hAnsi="Times New Roman" w:eastAsia="仿宋_GB2312" w:cs="Times New Roman"/>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_Toc8281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w:t>
      </w:r>
      <w:r>
        <w:rPr>
          <w:rFonts w:hint="default" w:ascii="Times New Roman" w:hAnsi="Times New Roman" w:eastAsia="仿宋_GB2312" w:cs="Times New Roman"/>
          <w:b/>
          <w:bCs/>
          <w:sz w:val="32"/>
          <w:szCs w:val="32"/>
          <w:highlight w:val="none"/>
          <w:lang w:val="en-US" w:eastAsia="zh-CN"/>
        </w:rPr>
        <w:t>二</w:t>
      </w:r>
      <w:r>
        <w:rPr>
          <w:rFonts w:hint="default" w:ascii="Times New Roman" w:hAnsi="Times New Roman" w:eastAsia="仿宋_GB2312" w:cs="Times New Roman"/>
          <w:b/>
          <w:bCs/>
          <w:sz w:val="32"/>
          <w:szCs w:val="32"/>
          <w:highlight w:val="none"/>
        </w:rPr>
        <w:t>部分 部门决算情况说明</w:t>
      </w:r>
      <w:r>
        <w:rPr>
          <w:rFonts w:hint="default" w:ascii="Times New Roman" w:hAnsi="Times New Roman" w:eastAsia="仿宋_GB2312" w:cs="Times New Roman"/>
          <w:b/>
          <w:bCs/>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_Toc24880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一、收入支出决算总体情况说明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_Toc15332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w:t>
      </w:r>
      <w:r>
        <w:rPr>
          <w:rFonts w:hint="default" w:ascii="Times New Roman" w:hAnsi="Times New Roman" w:eastAsia="仿宋_GB2312" w:cs="Times New Roman"/>
          <w:sz w:val="32"/>
          <w:szCs w:val="32"/>
          <w:highlight w:val="none"/>
        </w:rPr>
        <w:t>收入</w:t>
      </w:r>
      <w:r>
        <w:rPr>
          <w:rFonts w:hint="default" w:ascii="Times New Roman" w:hAnsi="Times New Roman" w:eastAsia="仿宋_GB2312" w:cs="Times New Roman"/>
          <w:sz w:val="32"/>
          <w:szCs w:val="32"/>
          <w:highlight w:val="none"/>
          <w:lang w:eastAsia="zh-CN"/>
        </w:rPr>
        <w:t>决算</w:t>
      </w:r>
      <w:r>
        <w:rPr>
          <w:rFonts w:hint="default" w:ascii="Times New Roman" w:hAnsi="Times New Roman" w:eastAsia="仿宋_GB2312" w:cs="Times New Roman"/>
          <w:sz w:val="32"/>
          <w:szCs w:val="32"/>
          <w:highlight w:val="none"/>
        </w:rPr>
        <w:t>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_Toc8658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三、支出决算情况说明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_Toc25820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四、财政拨款收入支出决算总体情况说明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_Toc30830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五、一般公共预算财政拨款支出决算情况说明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_Toc13846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（一）一般公共预算财政拨款支出决算总体情况</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_Toc10421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（二）一般公共预算</w:t>
      </w:r>
      <w:r>
        <w:rPr>
          <w:rFonts w:hint="default" w:ascii="Times New Roman" w:hAnsi="Times New Roman" w:eastAsia="仿宋_GB2312" w:cs="Times New Roman"/>
          <w:sz w:val="32"/>
          <w:szCs w:val="32"/>
          <w:highlight w:val="none"/>
          <w:lang w:val="en-US" w:eastAsia="zh-CN"/>
        </w:rPr>
        <w:t>财政拨款支出决算</w:t>
      </w:r>
      <w:r>
        <w:rPr>
          <w:rFonts w:hint="default" w:ascii="Times New Roman" w:hAnsi="Times New Roman" w:eastAsia="仿宋_GB2312" w:cs="Times New Roman"/>
          <w:sz w:val="32"/>
          <w:szCs w:val="32"/>
          <w:highlight w:val="none"/>
          <w:lang w:eastAsia="zh-CN"/>
        </w:rPr>
        <w:t>结构情况</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_Toc20480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（三）一般公共预算财政拨款支出决算具体情况</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_Toc5845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六、一般公共预算财政拨款基本支出决算情况说明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_Toc7591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val="en-US" w:eastAsia="zh-CN"/>
        </w:rPr>
        <w:t>七、</w:t>
      </w:r>
      <w:r>
        <w:rPr>
          <w:rFonts w:hint="default" w:ascii="Times New Roman" w:hAnsi="Times New Roman" w:eastAsia="仿宋_GB2312" w:cs="Times New Roman"/>
          <w:sz w:val="32"/>
          <w:szCs w:val="32"/>
          <w:highlight w:val="none"/>
          <w:lang w:eastAsia="zh-CN"/>
        </w:rPr>
        <w:t>政府性基金预算财政拨款收入支出决算情况说明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_Toc755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val="en-US" w:eastAsia="zh-CN"/>
        </w:rPr>
        <w:t>八</w:t>
      </w:r>
      <w:r>
        <w:rPr>
          <w:rFonts w:hint="default" w:ascii="Times New Roman" w:hAnsi="Times New Roman" w:eastAsia="仿宋_GB2312" w:cs="Times New Roman"/>
          <w:sz w:val="32"/>
          <w:szCs w:val="32"/>
          <w:highlight w:val="none"/>
          <w:lang w:eastAsia="zh-CN"/>
        </w:rPr>
        <w:t>、国有资本经营预算财政拨款收入支出决算情况说明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_Toc696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val="en-US" w:eastAsia="zh-CN"/>
        </w:rPr>
        <w:t>九</w:t>
      </w:r>
      <w:r>
        <w:rPr>
          <w:rFonts w:hint="default" w:ascii="Times New Roman" w:hAnsi="Times New Roman" w:eastAsia="仿宋_GB2312" w:cs="Times New Roman"/>
          <w:sz w:val="32"/>
          <w:szCs w:val="32"/>
          <w:highlight w:val="none"/>
          <w:lang w:eastAsia="zh-CN"/>
        </w:rPr>
        <w:t>、财政拨款</w:t>
      </w:r>
      <w:r>
        <w:rPr>
          <w:rFonts w:hint="default" w:ascii="Times New Roman" w:hAnsi="Times New Roman" w:eastAsia="仿宋_GB2312" w:cs="Times New Roman"/>
          <w:sz w:val="32"/>
          <w:szCs w:val="32"/>
          <w:highlight w:val="none"/>
        </w:rPr>
        <w:t>“三公”经费支出</w:t>
      </w:r>
      <w:r>
        <w:rPr>
          <w:rFonts w:hint="default" w:ascii="Times New Roman" w:hAnsi="Times New Roman" w:eastAsia="仿宋_GB2312" w:cs="Times New Roman"/>
          <w:sz w:val="32"/>
          <w:szCs w:val="32"/>
          <w:highlight w:val="none"/>
          <w:lang w:eastAsia="zh-CN"/>
        </w:rPr>
        <w:t>决算</w:t>
      </w:r>
      <w:r>
        <w:rPr>
          <w:rFonts w:hint="default" w:ascii="Times New Roman" w:hAnsi="Times New Roman" w:eastAsia="仿宋_GB2312" w:cs="Times New Roman"/>
          <w:sz w:val="32"/>
          <w:szCs w:val="32"/>
          <w:highlight w:val="none"/>
        </w:rPr>
        <w:t>情况</w:t>
      </w:r>
      <w:r>
        <w:rPr>
          <w:rFonts w:hint="default" w:ascii="Times New Roman" w:hAnsi="Times New Roman" w:eastAsia="仿宋_GB2312" w:cs="Times New Roman"/>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_Toc23967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sz w:val="32"/>
          <w:szCs w:val="32"/>
          <w:highlight w:val="none"/>
        </w:rPr>
        <w:t>、其他重要事项的情况</w:t>
      </w:r>
      <w:r>
        <w:rPr>
          <w:rFonts w:hint="default" w:ascii="Times New Roman" w:hAnsi="Times New Roman" w:eastAsia="仿宋_GB2312" w:cs="Times New Roman"/>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_Toc17078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机关运行经费</w:t>
      </w:r>
      <w:r>
        <w:rPr>
          <w:rFonts w:hint="default" w:ascii="Times New Roman" w:hAnsi="Times New Roman" w:eastAsia="仿宋_GB2312" w:cs="Times New Roman"/>
          <w:sz w:val="32"/>
          <w:szCs w:val="32"/>
          <w:highlight w:val="none"/>
          <w:lang w:val="en-US" w:eastAsia="zh-CN"/>
        </w:rPr>
        <w:t>及公用经费</w:t>
      </w:r>
      <w:r>
        <w:rPr>
          <w:rFonts w:hint="default" w:ascii="Times New Roman" w:hAnsi="Times New Roman" w:eastAsia="仿宋_GB2312" w:cs="Times New Roman"/>
          <w:sz w:val="32"/>
          <w:szCs w:val="32"/>
          <w:highlight w:val="none"/>
        </w:rPr>
        <w:t>支出情况</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_Toc25787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（二）政府采购情况</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_Toc12993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（三）国有资产占用情况说明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_Toc29856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sz w:val="32"/>
          <w:szCs w:val="32"/>
          <w:highlight w:val="none"/>
          <w:lang w:val="en-US" w:eastAsia="zh-CN"/>
        </w:rPr>
        <w:t>一</w:t>
      </w:r>
      <w:r>
        <w:rPr>
          <w:rFonts w:hint="default" w:ascii="Times New Roman" w:hAnsi="Times New Roman" w:eastAsia="仿宋_GB2312" w:cs="Times New Roman"/>
          <w:sz w:val="32"/>
          <w:szCs w:val="32"/>
          <w:highlight w:val="none"/>
          <w:lang w:eastAsia="zh-CN"/>
        </w:rPr>
        <w:t>、预算绩效的情况说明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_Toc4763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sz w:val="32"/>
          <w:szCs w:val="32"/>
          <w:highlight w:val="none"/>
          <w:lang w:val="en-US" w:eastAsia="zh-CN"/>
        </w:rPr>
        <w:t>二</w:t>
      </w:r>
      <w:r>
        <w:rPr>
          <w:rFonts w:hint="default" w:ascii="Times New Roman" w:hAnsi="Times New Roman" w:eastAsia="仿宋_GB2312" w:cs="Times New Roman"/>
          <w:sz w:val="32"/>
          <w:szCs w:val="32"/>
          <w:highlight w:val="none"/>
          <w:lang w:eastAsia="zh-CN"/>
        </w:rPr>
        <w:t>、其他需说明的事项</w:t>
      </w:r>
      <w:r>
        <w:rPr>
          <w:rFonts w:hint="default" w:ascii="Times New Roman" w:hAnsi="Times New Roman" w:eastAsia="仿宋_GB2312" w:cs="Times New Roman"/>
          <w:sz w:val="32"/>
          <w:szCs w:val="32"/>
          <w:highlight w:val="none"/>
        </w:rPr>
        <w:fldChar w:fldCharType="end"/>
      </w:r>
    </w:p>
    <w:p>
      <w:pPr>
        <w:pStyle w:val="4"/>
        <w:keepNext w:val="0"/>
        <w:keepLines w:val="0"/>
        <w:pageBreakBefore w:val="0"/>
        <w:tabs>
          <w:tab w:val="right" w:pos="8306"/>
        </w:tabs>
        <w:kinsoku/>
        <w:wordWrap/>
        <w:overflowPunct/>
        <w:topLinePunct w:val="0"/>
        <w:bidi w:val="0"/>
        <w:adjustRightInd/>
        <w:snapToGrid/>
        <w:spacing w:line="560" w:lineRule="exact"/>
        <w:textAlignment w:val="auto"/>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_Toc6039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w:t>
      </w:r>
      <w:r>
        <w:rPr>
          <w:rFonts w:hint="default" w:ascii="Times New Roman" w:hAnsi="Times New Roman" w:eastAsia="仿宋_GB2312" w:cs="Times New Roman"/>
          <w:b/>
          <w:bCs/>
          <w:sz w:val="32"/>
          <w:szCs w:val="32"/>
          <w:highlight w:val="none"/>
          <w:lang w:val="en-US" w:eastAsia="zh-CN"/>
        </w:rPr>
        <w:t>三</w:t>
      </w:r>
      <w:r>
        <w:rPr>
          <w:rFonts w:hint="default" w:ascii="Times New Roman" w:hAnsi="Times New Roman" w:eastAsia="仿宋_GB2312" w:cs="Times New Roman"/>
          <w:b/>
          <w:bCs/>
          <w:sz w:val="32"/>
          <w:szCs w:val="32"/>
          <w:highlight w:val="none"/>
        </w:rPr>
        <w:t>部分 专业名词解释</w:t>
      </w:r>
      <w:r>
        <w:rPr>
          <w:rFonts w:hint="default" w:ascii="Times New Roman" w:hAnsi="Times New Roman" w:eastAsia="仿宋_GB2312" w:cs="Times New Roman"/>
          <w:b/>
          <w:bCs/>
          <w:sz w:val="32"/>
          <w:szCs w:val="32"/>
          <w:highlight w:val="none"/>
        </w:rPr>
        <w:fldChar w:fldCharType="end"/>
      </w:r>
    </w:p>
    <w:p>
      <w:pPr>
        <w:pStyle w:val="4"/>
        <w:keepNext w:val="0"/>
        <w:keepLines w:val="0"/>
        <w:pageBreakBefore w:val="0"/>
        <w:tabs>
          <w:tab w:val="right" w:pos="8306"/>
        </w:tabs>
        <w:kinsoku/>
        <w:wordWrap/>
        <w:overflowPunct/>
        <w:topLinePunct w:val="0"/>
        <w:bidi w:val="0"/>
        <w:adjustRightInd/>
        <w:snapToGrid/>
        <w:spacing w:line="560" w:lineRule="exact"/>
        <w:textAlignment w:val="auto"/>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_Toc3789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第四部分 部门决算报表（见附表）</w:t>
      </w:r>
      <w:r>
        <w:rPr>
          <w:rFonts w:hint="default" w:ascii="Times New Roman" w:hAnsi="Times New Roman" w:eastAsia="仿宋_GB2312" w:cs="Times New Roman"/>
          <w:b/>
          <w:bCs/>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_Toc28119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一、《收入支出决算总表》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_Toc15655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二、《收入决算表》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_Toc6817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三、《支出决算表》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_Toc11745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四、《财政拨款收入支出决算总表》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_Toc1859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五、《一般公共预算财政拨款支出决算表》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_Toc16172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六、《一般公共预算财政拨款基本支出决算表》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_Toc4853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七、《政府性基金预算财政拨款收入支出决算表》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_Toc3580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八、《</w:t>
      </w:r>
      <w:r>
        <w:rPr>
          <w:rFonts w:hint="default" w:ascii="Times New Roman" w:hAnsi="Times New Roman" w:eastAsia="仿宋_GB2312" w:cs="Times New Roman"/>
          <w:sz w:val="32"/>
          <w:szCs w:val="32"/>
          <w:highlight w:val="none"/>
          <w:lang w:eastAsia="zh-CN"/>
        </w:rPr>
        <w:t>国有资本经营</w:t>
      </w:r>
      <w:r>
        <w:rPr>
          <w:rFonts w:hint="default" w:ascii="Times New Roman" w:hAnsi="Times New Roman" w:eastAsia="仿宋_GB2312" w:cs="Times New Roman"/>
          <w:sz w:val="32"/>
          <w:szCs w:val="32"/>
          <w:highlight w:val="none"/>
        </w:rPr>
        <w:t>预算财政拨款收入支出决算表》</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_Toc16119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val="en-US" w:eastAsia="zh-CN"/>
        </w:rPr>
        <w:t>九</w:t>
      </w:r>
      <w:r>
        <w:rPr>
          <w:rFonts w:hint="default" w:ascii="Times New Roman" w:hAnsi="Times New Roman" w:eastAsia="仿宋_GB2312" w:cs="Times New Roman"/>
          <w:sz w:val="32"/>
          <w:szCs w:val="32"/>
          <w:highlight w:val="none"/>
        </w:rPr>
        <w:t>、《财政拨款“三公”经费支出决算表》</w:t>
      </w:r>
      <w:r>
        <w:rPr>
          <w:rFonts w:hint="default" w:ascii="Times New Roman" w:hAnsi="Times New Roman" w:eastAsia="仿宋_GB2312" w:cs="Times New Roman"/>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sz w:val="32"/>
          <w:szCs w:val="32"/>
          <w:highlight w:val="none"/>
        </w:rPr>
      </w:pPr>
      <w:r>
        <w:rPr>
          <w:rFonts w:hint="default" w:ascii="Times New Roman" w:hAnsi="Times New Roman" w:eastAsia="仿宋_GB2312" w:cs="Times New Roman"/>
          <w:szCs w:val="32"/>
          <w:highlight w:val="none"/>
        </w:rPr>
        <w:fldChar w:fldCharType="end"/>
      </w:r>
      <w:bookmarkStart w:id="0" w:name="_Toc32036"/>
      <w:r>
        <w:rPr>
          <w:rFonts w:hint="default" w:ascii="Times New Roman" w:hAnsi="Times New Roman" w:eastAsia="仿宋_GB2312" w:cs="Times New Roman"/>
          <w:sz w:val="32"/>
          <w:szCs w:val="32"/>
          <w:highlight w:val="none"/>
        </w:rPr>
        <w:br w:type="page"/>
      </w:r>
      <w:bookmarkStart w:id="1" w:name="_Toc24028"/>
      <w:r>
        <w:rPr>
          <w:rFonts w:hint="default" w:ascii="Times New Roman" w:hAnsi="Times New Roman" w:eastAsia="黑体" w:cs="Times New Roman"/>
          <w:sz w:val="32"/>
          <w:szCs w:val="32"/>
          <w:highlight w:val="none"/>
        </w:rPr>
        <w:t xml:space="preserve">第一部分 </w:t>
      </w:r>
      <w:r>
        <w:rPr>
          <w:rFonts w:hint="eastAsia" w:eastAsia="黑体" w:cs="Times New Roman"/>
          <w:sz w:val="32"/>
          <w:szCs w:val="32"/>
          <w:highlight w:val="none"/>
          <w:lang w:val="en-US" w:eastAsia="zh-CN"/>
        </w:rPr>
        <w:t>单位</w:t>
      </w:r>
      <w:r>
        <w:rPr>
          <w:rFonts w:hint="default" w:ascii="Times New Roman" w:hAnsi="Times New Roman" w:eastAsia="黑体" w:cs="Times New Roman"/>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2" w:name="_Toc30738"/>
      <w:bookmarkStart w:id="3" w:name="_Toc22563"/>
      <w:r>
        <w:rPr>
          <w:rFonts w:hint="default" w:ascii="Times New Roman" w:hAnsi="Times New Roman" w:eastAsia="黑体" w:cs="Times New Roman"/>
          <w:bCs/>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bookmarkStart w:id="4" w:name="_Toc31238"/>
      <w:bookmarkStart w:id="5" w:name="_Toc11134"/>
      <w:r>
        <w:rPr>
          <w:rFonts w:hint="default" w:ascii="Times New Roman" w:hAnsi="Times New Roman" w:eastAsia="仿宋_GB2312" w:cs="Times New Roman"/>
          <w:sz w:val="32"/>
          <w:szCs w:val="32"/>
          <w:highlight w:val="none"/>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贯彻执行国家和自治区有关农业机械监督管理和安全生产的方针、政策、法律、法规，指导并组织实施全区(含兵团)农机监理工作；</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负责组织实施对拖拉机、联合收割机等农业机械进行登记、核发牌证、定期安全技术检验，对农业机械驾驶人员进行考试、核发驾驶证、定期审验；</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承担农机安全技术检验标准、农机安全作业规程等地方性法规和标准的研究、起草、论证等项工作并组织实施；</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负责农机安全生产重大问题的调查研究；</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开展农机监理人员培训与业务交流活动，并负责对农机监理员、考试员、检验员、事故处理员、计算机操作员核发相关上岗证件；</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6</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组织农机安全生产检查；</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7</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承担农机事故统计分析上报并提出防范措施，负责处理重特大农机事故；</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8</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负责统一制发号牌、证件、标志及表册等；</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9</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负责对拖拉机驾驶培训机构资格进行审查；</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10</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负责农机监理技术装备的管理及推广应用；</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负责全区农机监理计算机软件开发和组织农机监理信息网络建设工作；</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负责对拖拉机等农业机械参加机动车交通事故责任强制保险的情况实施监督检查，与公安、保险等部门交流农机事故等信息；</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13</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组织开展农机安全生产宣传和教育活动，编写农机安全宣传材料和农机监理人员培训教材；</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14</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完成上级主管部门交办的其他事项。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rPr>
      </w:pPr>
      <w:r>
        <w:rPr>
          <w:rFonts w:hint="default" w:ascii="Times New Roman" w:hAnsi="Times New Roman" w:eastAsia="黑体" w:cs="Times New Roman"/>
          <w:bCs/>
          <w:kern w:val="0"/>
          <w:sz w:val="32"/>
          <w:szCs w:val="32"/>
          <w:highlight w:val="none"/>
        </w:rPr>
        <w:t>二、机构设置</w:t>
      </w:r>
      <w:r>
        <w:rPr>
          <w:rFonts w:hint="default" w:ascii="Times New Roman" w:hAnsi="Times New Roman" w:eastAsia="黑体" w:cs="Times New Roman"/>
          <w:bCs/>
          <w:kern w:val="0"/>
          <w:sz w:val="32"/>
          <w:szCs w:val="32"/>
          <w:highlight w:val="none"/>
          <w:lang w:eastAsia="zh-CN"/>
        </w:rPr>
        <w:t>及</w:t>
      </w:r>
      <w:bookmarkEnd w:id="4"/>
      <w:r>
        <w:rPr>
          <w:rFonts w:hint="default" w:ascii="Times New Roman" w:hAnsi="Times New Roman" w:eastAsia="黑体" w:cs="Times New Roman"/>
          <w:bCs/>
          <w:kern w:val="0"/>
          <w:sz w:val="32"/>
          <w:szCs w:val="32"/>
          <w:highlight w:val="none"/>
          <w:lang w:eastAsia="zh-CN"/>
        </w:rPr>
        <w:t>人员</w:t>
      </w:r>
      <w:r>
        <w:rPr>
          <w:rFonts w:hint="default" w:ascii="Times New Roman" w:hAnsi="Times New Roman" w:eastAsia="黑体" w:cs="Times New Roman"/>
          <w:bCs/>
          <w:kern w:val="0"/>
          <w:sz w:val="32"/>
          <w:szCs w:val="32"/>
          <w:highlight w:val="none"/>
        </w:rPr>
        <w:t>情况</w:t>
      </w:r>
      <w:bookmarkEnd w:id="5"/>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新疆维吾尔自治区农机安全监理总站2024年度，实有人数13人，其中：在职人员8人，较上年无变化；离休人员0人，较上年无变化；退休人员5人，减少1人。</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b w:val="0"/>
          <w:sz w:val="32"/>
          <w:szCs w:val="32"/>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ascii="仿宋_GB2312" w:eastAsia="仿宋_GB2312"/>
          <w:b w:val="0"/>
          <w:sz w:val="32"/>
          <w:szCs w:val="32"/>
        </w:rPr>
        <w:t>新疆维吾尔自治区农机安全监理总站无下属预算单位，下设2个科室，分别是：办公室、业务</w:t>
      </w:r>
      <w:r>
        <w:rPr>
          <w:rFonts w:hint="eastAsia" w:ascii="仿宋_GB2312" w:eastAsia="仿宋_GB2312"/>
          <w:b w:val="0"/>
          <w:sz w:val="32"/>
          <w:szCs w:val="32"/>
          <w:lang w:val="en-US" w:eastAsia="zh-CN"/>
        </w:rPr>
        <w:t>室。</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sz w:val="32"/>
          <w:szCs w:val="32"/>
          <w:highlight w:val="none"/>
        </w:rPr>
      </w:pPr>
      <w:bookmarkStart w:id="6" w:name="_Toc8281"/>
      <w:bookmarkStart w:id="7" w:name="_Toc3092"/>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二</w:t>
      </w:r>
      <w:r>
        <w:rPr>
          <w:rFonts w:hint="default" w:ascii="Times New Roman" w:hAnsi="Times New Roman" w:eastAsia="黑体" w:cs="Times New Roman"/>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8" w:name="_Toc12566"/>
      <w:bookmarkStart w:id="9" w:name="_Toc24880"/>
      <w:r>
        <w:rPr>
          <w:rFonts w:hint="default" w:ascii="Times New Roman" w:hAnsi="Times New Roman" w:eastAsia="黑体" w:cs="Times New Roman"/>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lang w:eastAsia="zh-CN"/>
        </w:rPr>
        <w:t>2024年度收入总计929.29万元</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其中：本年收入合计880.50万元，使用非财政拨款结余（含专用结余）0.00万元，年初结转和结余48.78万元。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lang w:eastAsia="zh-CN"/>
        </w:rPr>
        <w:t>2024年度支出总计929.29万元</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其中：本年支出合计882.00万元，结余分配0.00万元，年末结转和结余47.28万元。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kern w:val="0"/>
          <w:sz w:val="32"/>
          <w:szCs w:val="32"/>
          <w:highlight w:val="none"/>
        </w:rPr>
        <w:t>收入支出总体与上年相比，</w:t>
      </w:r>
      <w:r>
        <w:rPr>
          <w:rFonts w:ascii="仿宋_GB2312" w:eastAsia="仿宋_GB2312"/>
          <w:b w:val="0"/>
          <w:bCs w:val="0"/>
          <w:sz w:val="32"/>
          <w:szCs w:val="32"/>
        </w:rPr>
        <w:t>增加94.04万元，增长11.26%，主要原因是：本年财政扶持农机化专项农机安全监理与能力建设经费拨款数增加，项目经费较上年增加。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10" w:name="_Toc15332"/>
      <w:bookmarkStart w:id="11" w:name="_Toc1979"/>
      <w:r>
        <w:rPr>
          <w:rFonts w:hint="default" w:ascii="Times New Roman" w:hAnsi="Times New Roman" w:eastAsia="黑体" w:cs="Times New Roman"/>
          <w:bCs/>
          <w:kern w:val="0"/>
          <w:sz w:val="32"/>
          <w:szCs w:val="32"/>
          <w:highlight w:val="none"/>
          <w:lang w:eastAsia="zh-CN"/>
        </w:rPr>
        <w:t>二、</w:t>
      </w:r>
      <w:r>
        <w:rPr>
          <w:rFonts w:hint="default" w:ascii="Times New Roman" w:hAnsi="Times New Roman" w:eastAsia="黑体" w:cs="Times New Roman"/>
          <w:bCs/>
          <w:kern w:val="0"/>
          <w:sz w:val="32"/>
          <w:szCs w:val="32"/>
          <w:highlight w:val="none"/>
        </w:rPr>
        <w:t>收入</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情况说明</w:t>
      </w:r>
      <w:bookmarkEnd w:id="10"/>
      <w:bookmarkEnd w:id="11"/>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bookmarkStart w:id="12" w:name="_Toc27961"/>
      <w:bookmarkStart w:id="13" w:name="_Toc8658"/>
      <w:r>
        <w:rPr>
          <w:rFonts w:hint="default" w:ascii="Times New Roman" w:hAnsi="Times New Roman" w:eastAsia="仿宋_GB2312" w:cs="Times New Roman"/>
          <w:b w:val="0"/>
          <w:bCs w:val="0"/>
          <w:sz w:val="32"/>
          <w:szCs w:val="32"/>
          <w:highlight w:val="none"/>
        </w:rPr>
        <w:t>本年收入880.50万元，</w:t>
      </w:r>
      <w:r>
        <w:rPr>
          <w:rFonts w:ascii="仿宋_GB2312" w:eastAsia="仿宋_GB2312"/>
          <w:b w:val="0"/>
          <w:bCs w:val="0"/>
          <w:sz w:val="32"/>
          <w:szCs w:val="32"/>
        </w:rPr>
        <w:t>其中：财政拨款收入880.12万元,占99.96%；上级补助收入0.00万元,占0.00%；事业收入0.00万元，占0.00%；经营收入0.00万元,占0.00%；附属单位上缴收入0.00万元，占0.00%；其他收入0.39万元，占0.04%。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三、支出决算情况说明</w:t>
      </w:r>
      <w:bookmarkEnd w:id="12"/>
      <w:bookmarkEnd w:id="13"/>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本年支出882.00万元，其中：基本支出197.06万元，占22.34%；项目支出684.94万元，占77.66%；上缴上级支出0.00万元，占0.00%；经营支出0.00万元，占0.00%；对附属单位补助支出0.00万元，占0.00%。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4" w:name="_Toc4393"/>
      <w:bookmarkStart w:id="15" w:name="_Toc25820"/>
      <w:r>
        <w:rPr>
          <w:rFonts w:hint="default" w:ascii="Times New Roman" w:hAnsi="Times New Roman" w:eastAsia="黑体" w:cs="Times New Roman"/>
          <w:bCs/>
          <w:kern w:val="0"/>
          <w:sz w:val="32"/>
          <w:szCs w:val="32"/>
          <w:highlight w:val="none"/>
          <w:lang w:eastAsia="zh-CN"/>
        </w:rPr>
        <w:t>四、财政拨款收入支出决算总体情况说明</w:t>
      </w:r>
      <w:bookmarkEnd w:id="14"/>
      <w:bookmarkEnd w:id="15"/>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bCs w:val="0"/>
          <w:sz w:val="32"/>
          <w:szCs w:val="32"/>
        </w:rPr>
      </w:pPr>
      <w:r>
        <w:rPr>
          <w:rFonts w:hint="default" w:ascii="Times New Roman" w:hAnsi="Times New Roman" w:eastAsia="仿宋_GB2312" w:cs="Times New Roman"/>
          <w:b w:val="0"/>
          <w:bCs w:val="0"/>
          <w:spacing w:val="0"/>
          <w:sz w:val="32"/>
          <w:szCs w:val="32"/>
          <w:highlight w:val="none"/>
          <w:lang w:eastAsia="zh-CN"/>
        </w:rPr>
        <w:t>2024年度财政拨款收入总计927.09万元，</w:t>
      </w:r>
      <w:r>
        <w:rPr>
          <w:rFonts w:hint="default" w:ascii="Times New Roman" w:hAnsi="Times New Roman" w:eastAsia="仿宋_GB2312" w:cs="Times New Roman"/>
          <w:b w:val="0"/>
          <w:bCs w:val="0"/>
          <w:sz w:val="32"/>
          <w:szCs w:val="32"/>
          <w:highlight w:val="none"/>
        </w:rPr>
        <w:t>其中：年初财政拨款结转和结余46.97万元，本年财政拨款收入880.12万元。财政拨款支出总计927.09万元，其中：年末财政拨款结转和结余45.09万元，本年财政拨款支出882.00万元。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财政拨款收入支出总体与上年相比，增加93.65万元，增长11.24%，主要原因是：本年财政扶持农机化专项农机安全监理与能力建设经费拨款数增加，项目经费较上年增加。与年初预算相比，年初预算数850.67万元，决算数927.09万元，预决算差异率8.98%，主要原因是：一是本年财政扶持农机化专项农机安全监理与能力建设经费拨款数增加；二是本年上调职工住房公积金缴费基数，人员住房公积金缴费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6" w:name="_Toc30830"/>
      <w:bookmarkStart w:id="17" w:name="_Toc13833"/>
      <w:r>
        <w:rPr>
          <w:rFonts w:hint="default" w:ascii="Times New Roman" w:hAnsi="Times New Roman" w:eastAsia="黑体" w:cs="Times New Roman"/>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黑体" w:cs="Times New Roman"/>
          <w:sz w:val="32"/>
          <w:szCs w:val="32"/>
          <w:highlight w:val="none"/>
          <w:lang w:eastAsia="zh-CN"/>
        </w:rPr>
      </w:pPr>
      <w:bookmarkStart w:id="18" w:name="_Toc13846"/>
      <w:r>
        <w:rPr>
          <w:rFonts w:hint="default" w:ascii="Times New Roman" w:hAnsi="Times New Roman" w:eastAsia="黑体" w:cs="Times New Roman"/>
          <w:sz w:val="32"/>
          <w:szCs w:val="32"/>
          <w:highlight w:val="none"/>
          <w:lang w:eastAsia="zh-CN"/>
        </w:rPr>
        <w:t>（一）一般公共预算财政拨款支出决算总体情况</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spacing w:val="0"/>
          <w:sz w:val="32"/>
          <w:szCs w:val="32"/>
          <w:highlight w:val="none"/>
        </w:rPr>
      </w:pPr>
      <w:r>
        <w:rPr>
          <w:rFonts w:hint="default" w:ascii="Times New Roman" w:hAnsi="Times New Roman" w:eastAsia="仿宋_GB2312" w:cs="Times New Roman"/>
          <w:b w:val="0"/>
          <w:bCs w:val="0"/>
          <w:spacing w:val="0"/>
          <w:sz w:val="32"/>
          <w:szCs w:val="32"/>
          <w:highlight w:val="none"/>
          <w:lang w:eastAsia="zh-CN"/>
        </w:rPr>
        <w:t>2024年度一般公共预算财政拨款支出882.00万元，</w:t>
      </w:r>
      <w:r>
        <w:rPr>
          <w:rFonts w:ascii="仿宋_GB2312" w:eastAsia="仿宋_GB2312"/>
          <w:b w:val="0"/>
          <w:bCs w:val="0"/>
          <w:sz w:val="32"/>
          <w:szCs w:val="32"/>
        </w:rPr>
        <w:t>占本年支出合计的100.00%。</w:t>
      </w:r>
      <w:r>
        <w:rPr>
          <w:rFonts w:hint="default" w:ascii="Times New Roman" w:hAnsi="Times New Roman" w:eastAsia="仿宋_GB2312" w:cs="Times New Roman"/>
          <w:b w:val="0"/>
          <w:bCs w:val="0"/>
          <w:spacing w:val="0"/>
          <w:sz w:val="32"/>
          <w:szCs w:val="32"/>
          <w:highlight w:val="none"/>
          <w:lang w:eastAsia="zh-CN"/>
        </w:rPr>
        <w:t>与上年相比，</w:t>
      </w:r>
      <w:r>
        <w:rPr>
          <w:rFonts w:ascii="仿宋_GB2312" w:eastAsia="仿宋_GB2312"/>
          <w:b w:val="0"/>
          <w:bCs w:val="0"/>
          <w:sz w:val="32"/>
          <w:szCs w:val="32"/>
        </w:rPr>
        <w:t>增加95.54万元，增长12.15%，主要原因是：一是本年度人员社保基数调增，支出增大；二是本年财政扶持农机化专项农机安全监理与能力建设经费支出增加。与年初预算相比，年初预算数850.67万元，决算数882.00万元，预决算差异率3.68%，主要原因是：本年度人员社保基数调增，支出增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黑体" w:cs="Times New Roman"/>
          <w:sz w:val="32"/>
          <w:szCs w:val="32"/>
          <w:highlight w:val="none"/>
          <w:lang w:eastAsia="zh-CN"/>
        </w:rPr>
      </w:pPr>
      <w:bookmarkStart w:id="19" w:name="_Toc10421"/>
      <w:r>
        <w:rPr>
          <w:rFonts w:hint="default" w:ascii="Times New Roman" w:hAnsi="Times New Roman" w:eastAsia="黑体" w:cs="Times New Roman"/>
          <w:sz w:val="32"/>
          <w:szCs w:val="32"/>
          <w:highlight w:val="none"/>
          <w:lang w:eastAsia="zh-CN"/>
        </w:rPr>
        <w:t>（二）一般公共预算</w:t>
      </w:r>
      <w:r>
        <w:rPr>
          <w:rFonts w:hint="default" w:ascii="Times New Roman" w:hAnsi="Times New Roman" w:eastAsia="黑体" w:cs="Times New Roman"/>
          <w:sz w:val="32"/>
          <w:szCs w:val="32"/>
          <w:highlight w:val="none"/>
          <w:lang w:val="en-US" w:eastAsia="zh-CN"/>
        </w:rPr>
        <w:t>财政拨款支出决算</w:t>
      </w:r>
      <w:r>
        <w:rPr>
          <w:rFonts w:hint="default" w:ascii="Times New Roman" w:hAnsi="Times New Roman" w:eastAsia="黑体" w:cs="Times New Roman"/>
          <w:sz w:val="32"/>
          <w:szCs w:val="32"/>
          <w:highlight w:val="none"/>
          <w:lang w:eastAsia="zh-CN"/>
        </w:rPr>
        <w:t>结构情况</w:t>
      </w:r>
      <w:bookmarkEnd w:id="19"/>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highlight w:val="none"/>
        </w:rPr>
      </w:pPr>
      <w:bookmarkStart w:id="20" w:name="_Toc20480"/>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社会保障和就业支出（类）33.00万元，占3.74%。</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卫生健康支出（类）13.85万元，占1.57%。</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农林水支出（类）823.70万元，占93.39%。</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住房保障支出（类）11.46万元，占1.30%。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（三）一般公共预算财政拨款支出决算具体情况</w:t>
      </w:r>
      <w:bookmarkEnd w:id="20"/>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bookmarkStart w:id="21" w:name="_Toc5845"/>
      <w:bookmarkStart w:id="22" w:name="_Toc11146"/>
      <w:r>
        <w:rPr>
          <w:rFonts w:hint="default" w:ascii="Times New Roman" w:hAnsi="Times New Roman" w:eastAsia="仿宋_GB2312" w:cs="Times New Roman"/>
          <w:kern w:val="0"/>
          <w:sz w:val="32"/>
          <w:szCs w:val="32"/>
          <w:highlight w:val="none"/>
        </w:rPr>
        <w:t>1</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社会保障和就业支出（类）行政事业单位养老支出（款）行政单位离退休（项）：支出决算数为12.26万元，比上年决算增加1.39万元，增长12.79%，主要原因是：</w:t>
      </w:r>
      <w:r>
        <w:rPr>
          <w:rFonts w:ascii="仿宋_GB2312" w:eastAsia="仿宋_GB2312"/>
          <w:b w:val="0"/>
          <w:sz w:val="32"/>
          <w:szCs w:val="32"/>
        </w:rPr>
        <w:t>本年度退休人员绩效奖调增，导致相关支出增加。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2</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社会保障和就业支出（类）行政事业单位养老支出（款）机关事业单位基本养老保险缴费支出（项）：支出决算数为15.28万元，比上年决算增加4.52万元，增长42.01%，主要原因是：本年人员社保基数调增，机关事业单位基本养老保险缴费支出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3</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社会保障和就业支出（类）行政事业单位养老支出（款）机关事业单位职业年金缴费支出（项）：支出决算数为5.46万元，比上年决算增加5.46万元，增长100.00%，主要原因是：本年</w:t>
      </w:r>
      <w:r>
        <w:rPr>
          <w:rFonts w:hint="eastAsia" w:eastAsia="仿宋_GB2312" w:cs="Times New Roman"/>
          <w:kern w:val="0"/>
          <w:sz w:val="32"/>
          <w:szCs w:val="32"/>
          <w:highlight w:val="none"/>
          <w:lang w:val="en-US" w:eastAsia="zh-CN"/>
        </w:rPr>
        <w:t>在职人员调出1人</w:t>
      </w:r>
      <w:r>
        <w:rPr>
          <w:rFonts w:hint="default" w:ascii="Times New Roman" w:hAnsi="Times New Roman" w:eastAsia="仿宋_GB2312" w:cs="Times New Roman"/>
          <w:kern w:val="0"/>
          <w:sz w:val="32"/>
          <w:szCs w:val="32"/>
          <w:highlight w:val="none"/>
        </w:rPr>
        <w:t>，机关事业单位职业年金缴费支出增加。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4</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卫生健康支出（类）行政事业单位医疗（款）行政单位医疗（项）：支出决算数为7.16万元，比上年决算增加2.12万元，增长42.06%，主要原因是：本年单位人员医疗缴费基数调增，行政单位医疗支出增加。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5</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卫生健康支出（类）行政事业单位医疗（款）公务员医疗补助（项）：支出决算数为6.69万元，比上年决算增加1.98万元，增长42.04%，主要原因是：本年单位人员医疗缴费基数调增，公务员医疗补助支出增加。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6</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农林水支出（类）农业农村（款）行政运行（项）：支出决算数为138.75万元，比上年决算增加36.55万元，增长35.76%，主要原因是：农机化专项农机安全监理与能力建设经费</w:t>
      </w:r>
      <w:r>
        <w:rPr>
          <w:rFonts w:hint="eastAsia" w:eastAsia="仿宋_GB2312" w:cs="Times New Roman"/>
          <w:kern w:val="0"/>
          <w:sz w:val="32"/>
          <w:szCs w:val="32"/>
          <w:highlight w:val="none"/>
          <w:lang w:val="en-US" w:eastAsia="zh-CN"/>
        </w:rPr>
        <w:t>支出</w:t>
      </w:r>
      <w:r>
        <w:rPr>
          <w:rFonts w:hint="default" w:ascii="Times New Roman" w:hAnsi="Times New Roman" w:eastAsia="仿宋_GB2312" w:cs="Times New Roman"/>
          <w:kern w:val="0"/>
          <w:sz w:val="32"/>
          <w:szCs w:val="32"/>
          <w:highlight w:val="none"/>
        </w:rPr>
        <w:t>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7</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农林水支出（类）农业农村（款）执法监管（项）：支出决算数为524.94万元，比上年决算减少0.06万元，下降0.01%，主要原因是：单位物业管理费以及维修（护）费减少。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8</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农林水支出（类）农业农村（款）农业生产发展（项）：支出决算数为160.00万元，比上年决算增加40.19万元，增长33.54%，主要原因是：本年财政扶持农机化专项农机安全监理与能力建设，农机化专项农机安全监理与能力建设经费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eastAsia="仿宋_GB2312"/>
          <w:b w:val="0"/>
          <w:sz w:val="32"/>
          <w:szCs w:val="32"/>
        </w:rPr>
      </w:pPr>
      <w:r>
        <w:rPr>
          <w:rFonts w:hint="default" w:ascii="Times New Roman" w:hAnsi="Times New Roman" w:eastAsia="仿宋_GB2312" w:cs="Times New Roman"/>
          <w:kern w:val="0"/>
          <w:sz w:val="32"/>
          <w:szCs w:val="32"/>
          <w:highlight w:val="none"/>
        </w:rPr>
        <w:t>9</w:t>
      </w:r>
      <w:r>
        <w:rPr>
          <w:rFonts w:hint="eastAsia" w:eastAsia="仿宋_GB2312" w:cs="Times New Roman"/>
          <w:kern w:val="0"/>
          <w:sz w:val="32"/>
          <w:szCs w:val="32"/>
          <w:highlight w:val="none"/>
          <w:lang w:eastAsia="zh-CN"/>
        </w:rPr>
        <w:t>.</w:t>
      </w:r>
      <w:r>
        <w:rPr>
          <w:rFonts w:hint="default" w:ascii="Times New Roman" w:hAnsi="Times New Roman" w:eastAsia="仿宋_GB2312" w:cs="Times New Roman"/>
          <w:kern w:val="0"/>
          <w:sz w:val="32"/>
          <w:szCs w:val="32"/>
          <w:highlight w:val="none"/>
        </w:rPr>
        <w:t>住房保障支出（类）住房改革支出（款）住房公积金（项）：支出决算数为11.46万元，比上年决算增加3.39万元，增长42.01%，主要原因是：本年上调职工住房公积金缴费基数，人员住房公积金缴费较上年增加。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lang w:eastAsia="zh-CN"/>
        </w:rPr>
        <w:t>2024年度一般公共预算财政拨款基本支出197.06万元，其中：</w:t>
      </w:r>
      <w:r>
        <w:rPr>
          <w:rFonts w:hint="default" w:ascii="Times New Roman" w:hAnsi="Times New Roman" w:eastAsia="仿宋_GB2312" w:cs="Times New Roman"/>
          <w:b w:val="0"/>
          <w:bCs w:val="0"/>
          <w:sz w:val="32"/>
          <w:szCs w:val="32"/>
          <w:highlight w:val="none"/>
          <w:lang w:eastAsia="zh-CN"/>
        </w:rPr>
        <w:t>人员经费182.13万元，</w:t>
      </w:r>
      <w:r>
        <w:rPr>
          <w:rFonts w:hint="default" w:ascii="Times New Roman" w:hAnsi="Times New Roman" w:eastAsia="仿宋_GB2312" w:cs="Times New Roman"/>
          <w:b w:val="0"/>
          <w:bCs w:val="0"/>
          <w:spacing w:val="0"/>
          <w:sz w:val="32"/>
          <w:szCs w:val="32"/>
          <w:highlight w:val="none"/>
          <w:lang w:eastAsia="zh-CN"/>
        </w:rPr>
        <w:t>包括：基本工资、津贴补贴、奖金、机关事业单位基本养老保险缴费、职业年金缴费、职工基本医疗保险缴费、公务员医疗补助缴费、其他社会保障缴费、住房公积金、退休费、抚恤金和其他对个人和家庭的补助。</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b w:val="0"/>
          <w:bCs w:val="0"/>
          <w:sz w:val="32"/>
          <w:szCs w:val="32"/>
          <w:highlight w:val="none"/>
          <w:lang w:eastAsia="zh-CN"/>
        </w:rPr>
        <w:t>公用经费14.93万元，</w:t>
      </w:r>
      <w:r>
        <w:rPr>
          <w:rFonts w:hint="default" w:ascii="Times New Roman" w:hAnsi="Times New Roman" w:eastAsia="仿宋_GB2312" w:cs="Times New Roman"/>
          <w:b w:val="0"/>
          <w:bCs w:val="0"/>
          <w:spacing w:val="0"/>
          <w:sz w:val="32"/>
          <w:szCs w:val="32"/>
          <w:highlight w:val="none"/>
          <w:lang w:eastAsia="zh-CN"/>
        </w:rPr>
        <w:t>包括：办公费、手续费</w:t>
      </w:r>
      <w:r>
        <w:rPr>
          <w:rFonts w:hint="default" w:ascii="Times New Roman" w:hAnsi="Times New Roman" w:eastAsia="仿宋_GB2312" w:cs="Times New Roman"/>
          <w:spacing w:val="0"/>
          <w:sz w:val="32"/>
          <w:szCs w:val="32"/>
          <w:highlight w:val="none"/>
          <w:lang w:eastAsia="zh-CN"/>
        </w:rPr>
        <w:t>、电费、劳务费、工会经费、福利费、公务用车运行维护费、其他交通费用、税金及附加费用和其他商品和服务支出。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23" w:name="_Toc7927"/>
      <w:bookmarkStart w:id="24" w:name="_Toc7591"/>
      <w:r>
        <w:rPr>
          <w:rFonts w:hint="default" w:ascii="Times New Roman" w:hAnsi="Times New Roman" w:eastAsia="黑体" w:cs="Times New Roman"/>
          <w:bCs/>
          <w:kern w:val="0"/>
          <w:sz w:val="32"/>
          <w:szCs w:val="32"/>
          <w:highlight w:val="none"/>
          <w:lang w:val="en-US" w:eastAsia="zh-CN"/>
        </w:rPr>
        <w:t>七、</w:t>
      </w:r>
      <w:r>
        <w:rPr>
          <w:rFonts w:hint="default" w:ascii="Times New Roman" w:hAnsi="Times New Roman" w:eastAsia="黑体" w:cs="Times New Roman"/>
          <w:bCs/>
          <w:kern w:val="0"/>
          <w:sz w:val="32"/>
          <w:szCs w:val="32"/>
          <w:highlight w:val="none"/>
          <w:lang w:eastAsia="zh-CN"/>
        </w:rPr>
        <w:t>政府性基金预算财政拨款收入支出决算情况说明</w:t>
      </w:r>
      <w:bookmarkEnd w:id="23"/>
      <w:bookmarkEnd w:id="24"/>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bookmarkStart w:id="25" w:name="_Toc755"/>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八</w:t>
      </w:r>
      <w:r>
        <w:rPr>
          <w:rFonts w:hint="default" w:ascii="Times New Roman" w:hAnsi="Times New Roman" w:eastAsia="黑体" w:cs="Times New Roman"/>
          <w:bCs/>
          <w:kern w:val="0"/>
          <w:sz w:val="32"/>
          <w:szCs w:val="32"/>
          <w:highlight w:val="none"/>
          <w:lang w:eastAsia="zh-CN"/>
        </w:rPr>
        <w:t>、国有资本经营预算财政拨款收入支出决算情况说明</w:t>
      </w:r>
      <w:bookmarkEnd w:id="25"/>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kern w:val="0"/>
          <w:sz w:val="32"/>
          <w:szCs w:val="32"/>
          <w:highlight w:val="none"/>
        </w:rPr>
      </w:pPr>
      <w:bookmarkStart w:id="26" w:name="_Toc7190"/>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27" w:name="_Toc696"/>
      <w:r>
        <w:rPr>
          <w:rFonts w:hint="default" w:ascii="Times New Roman" w:hAnsi="Times New Roman" w:eastAsia="黑体" w:cs="Times New Roman"/>
          <w:bCs/>
          <w:kern w:val="0"/>
          <w:sz w:val="32"/>
          <w:szCs w:val="32"/>
          <w:highlight w:val="none"/>
          <w:lang w:val="en-US" w:eastAsia="zh-CN"/>
        </w:rPr>
        <w:t>九</w:t>
      </w:r>
      <w:r>
        <w:rPr>
          <w:rFonts w:hint="default" w:ascii="Times New Roman" w:hAnsi="Times New Roman" w:eastAsia="黑体" w:cs="Times New Roman"/>
          <w:bCs/>
          <w:kern w:val="0"/>
          <w:sz w:val="32"/>
          <w:szCs w:val="32"/>
          <w:highlight w:val="none"/>
          <w:lang w:eastAsia="zh-CN"/>
        </w:rPr>
        <w:t>、财政拨款</w:t>
      </w:r>
      <w:r>
        <w:rPr>
          <w:rFonts w:hint="default" w:ascii="Times New Roman" w:hAnsi="Times New Roman" w:eastAsia="黑体" w:cs="Times New Roman"/>
          <w:bCs/>
          <w:kern w:val="0"/>
          <w:sz w:val="32"/>
          <w:szCs w:val="32"/>
          <w:highlight w:val="none"/>
        </w:rPr>
        <w:t>“三公”经费支出</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w:t>
      </w:r>
      <w:r>
        <w:rPr>
          <w:rFonts w:hint="default" w:ascii="Times New Roman" w:hAnsi="Times New Roman" w:eastAsia="黑体" w:cs="Times New Roman"/>
          <w:bCs/>
          <w:kern w:val="0"/>
          <w:sz w:val="32"/>
          <w:szCs w:val="32"/>
          <w:highlight w:val="none"/>
          <w:lang w:eastAsia="zh-CN"/>
        </w:rPr>
        <w:t>说明</w:t>
      </w:r>
      <w:bookmarkEnd w:id="26"/>
      <w:bookmarkEnd w:id="27"/>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default" w:ascii="Times New Roman" w:hAnsi="Times New Roman" w:eastAsia="仿宋_GB2312" w:cs="Times New Roman"/>
          <w:b w:val="0"/>
          <w:bCs w:val="0"/>
          <w:spacing w:val="0"/>
          <w:sz w:val="32"/>
          <w:szCs w:val="32"/>
          <w:highlight w:val="none"/>
          <w:lang w:eastAsia="zh-CN"/>
        </w:rPr>
        <w:t>2024年度财政拨款</w:t>
      </w:r>
      <w:r>
        <w:rPr>
          <w:rFonts w:hint="eastAsia" w:ascii="Times New Roman" w:hAnsi="Times New Roman" w:eastAsia="仿宋_GB2312" w:cs="Times New Roman"/>
          <w:b w:val="0"/>
          <w:bCs w:val="0"/>
          <w:spacing w:val="0"/>
          <w:sz w:val="32"/>
          <w:szCs w:val="32"/>
          <w:highlight w:val="none"/>
          <w:lang w:eastAsia="zh-CN"/>
        </w:rPr>
        <w:t>“三公”</w:t>
      </w:r>
      <w:r>
        <w:rPr>
          <w:rFonts w:hint="default" w:ascii="Times New Roman" w:hAnsi="Times New Roman" w:eastAsia="仿宋_GB2312" w:cs="Times New Roman"/>
          <w:b w:val="0"/>
          <w:bCs w:val="0"/>
          <w:spacing w:val="0"/>
          <w:sz w:val="32"/>
          <w:szCs w:val="32"/>
          <w:highlight w:val="none"/>
          <w:lang w:eastAsia="zh-CN"/>
        </w:rPr>
        <w:t>经费支出5.00万元，</w:t>
      </w:r>
      <w:r>
        <w:rPr>
          <w:rFonts w:hint="default" w:ascii="Times New Roman" w:hAnsi="Times New Roman" w:eastAsia="仿宋_GB2312" w:cs="Times New Roman"/>
          <w:b w:val="0"/>
          <w:bCs w:val="0"/>
          <w:sz w:val="32"/>
          <w:szCs w:val="32"/>
          <w:highlight w:val="none"/>
        </w:rPr>
        <w:t>比上年增加0.15万元，增长3.09%，主要原因是：本年公务用车购置及运行维护费支出增加。其中：因公出国（境）费支出0.00万元,占0.00%，与上年相比无变化，主要原因是</w:t>
      </w:r>
      <w:r>
        <w:rPr>
          <w:rFonts w:hint="default" w:ascii="Times New Roman" w:hAnsi="Times New Roman" w:eastAsia="仿宋_GB2312" w:cs="Times New Roman"/>
          <w:sz w:val="32"/>
          <w:szCs w:val="32"/>
          <w:highlight w:val="none"/>
        </w:rPr>
        <w:t>：我单位</w:t>
      </w:r>
      <w:r>
        <w:rPr>
          <w:rFonts w:hint="eastAsia" w:ascii="Times New Roman" w:hAnsi="Times New Roman" w:eastAsia="仿宋_GB2312" w:cs="Times New Roman"/>
          <w:sz w:val="32"/>
          <w:szCs w:val="32"/>
          <w:highlight w:val="none"/>
          <w:lang w:val="en-US" w:eastAsia="zh-CN"/>
        </w:rPr>
        <w:t>上年度与本年度均</w:t>
      </w:r>
      <w:r>
        <w:rPr>
          <w:rFonts w:hint="default" w:ascii="Times New Roman" w:hAnsi="Times New Roman" w:eastAsia="仿宋_GB2312" w:cs="Times New Roman"/>
          <w:sz w:val="32"/>
          <w:szCs w:val="32"/>
          <w:highlight w:val="none"/>
        </w:rPr>
        <w:t>无因公出国（境）费；公务用车购置及运行维护费支出5.00万元，占100.00%，比上年增加0.15万元，增长3.09%，主要原因是：我单位本年车辆燃油费、车辆保险费、车辆日常维修保养费用及车辆过路费</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rPr>
        <w:t>增加；公务接待费支出0.00万元，占0.00%，与上年相比无变化，主要原因是：我单位</w:t>
      </w:r>
      <w:r>
        <w:rPr>
          <w:rFonts w:hint="eastAsia" w:ascii="Times New Roman" w:hAnsi="Times New Roman" w:eastAsia="仿宋_GB2312" w:cs="Times New Roman"/>
          <w:sz w:val="32"/>
          <w:szCs w:val="32"/>
          <w:highlight w:val="none"/>
          <w:lang w:val="en-US" w:eastAsia="zh-CN"/>
        </w:rPr>
        <w:t>上年度与本年度均</w:t>
      </w:r>
      <w:r>
        <w:rPr>
          <w:rFonts w:hint="default" w:ascii="Times New Roman" w:hAnsi="Times New Roman" w:eastAsia="仿宋_GB2312" w:cs="Times New Roman"/>
          <w:sz w:val="32"/>
          <w:szCs w:val="32"/>
          <w:highlight w:val="none"/>
        </w:rPr>
        <w:t>无公务接待费。</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因公出国（境）费支出0.00万元，开支内容包括无因公出国（境）费。单位全年安排的因公出国（境）团组0个，因公出国（境）0人次。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公务用车购置及运行维护费5.00万元，其中：公务用车购置费0.00万元，公务用车运行维护费5.00万元。公务用车运行维护费开支内容包括车辆燃油费、车辆保险费、车辆日常维修保养费用及车辆过路费等。公务用车购置数0辆，公务用车保有量6辆。国有资产占用情况中固定资产车辆6辆，与公务用车保有量差异原因是：公务用车保有量无差异。</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b w:val="0"/>
          <w:bCs w:val="0"/>
          <w:sz w:val="32"/>
          <w:szCs w:val="32"/>
        </w:rPr>
      </w:pPr>
      <w:r>
        <w:rPr>
          <w:rFonts w:hint="default" w:ascii="Times New Roman" w:hAnsi="Times New Roman" w:eastAsia="仿宋_GB2312" w:cs="Times New Roman"/>
          <w:b w:val="0"/>
          <w:bCs w:val="0"/>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sz w:val="32"/>
          <w:szCs w:val="32"/>
          <w:highlight w:val="none"/>
        </w:rPr>
        <w:t>与全年预算相比，财政拨款</w:t>
      </w:r>
      <w:r>
        <w:rPr>
          <w:rFonts w:hint="eastAsia" w:ascii="Times New Roman" w:hAnsi="Times New Roman" w:eastAsia="仿宋_GB2312" w:cs="Times New Roman"/>
          <w:b w:val="0"/>
          <w:bCs w:val="0"/>
          <w:sz w:val="32"/>
          <w:szCs w:val="32"/>
          <w:highlight w:val="none"/>
          <w:lang w:eastAsia="zh-CN"/>
        </w:rPr>
        <w:t>“三公”</w:t>
      </w:r>
      <w:r>
        <w:rPr>
          <w:rFonts w:hint="default" w:ascii="Times New Roman" w:hAnsi="Times New Roman" w:eastAsia="仿宋_GB2312" w:cs="Times New Roman"/>
          <w:b w:val="0"/>
          <w:bCs w:val="0"/>
          <w:sz w:val="32"/>
          <w:szCs w:val="32"/>
          <w:highlight w:val="none"/>
        </w:rPr>
        <w:t>经费支出全年预算数5.00万元，决算数5.00万元，预决算差异率0.00%</w:t>
      </w:r>
      <w:r>
        <w:rPr>
          <w:rFonts w:hint="default" w:ascii="Times New Roman" w:hAnsi="Times New Roman" w:eastAsia="仿宋_GB2312" w:cs="Times New Roman"/>
          <w:sz w:val="32"/>
          <w:szCs w:val="32"/>
          <w:highlight w:val="none"/>
        </w:rPr>
        <w:t>，主要原因是：</w:t>
      </w:r>
      <w:r>
        <w:rPr>
          <w:rFonts w:hint="eastAsia" w:ascii="Times New Roman" w:hAnsi="Times New Roman"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单位严格按照预算数执行</w:t>
      </w:r>
      <w:r>
        <w:rPr>
          <w:rFonts w:hint="eastAsia" w:ascii="Times New Roman" w:hAnsi="Times New Roman" w:eastAsia="仿宋_GB2312" w:cs="Times New Roman"/>
          <w:sz w:val="32"/>
          <w:szCs w:val="32"/>
          <w:highlight w:val="none"/>
          <w:lang w:eastAsia="zh-CN"/>
        </w:rPr>
        <w:t>“三公”</w:t>
      </w:r>
      <w:r>
        <w:rPr>
          <w:rFonts w:hint="default" w:ascii="Times New Roman" w:hAnsi="Times New Roman" w:eastAsia="仿宋_GB2312" w:cs="Times New Roman"/>
          <w:sz w:val="32"/>
          <w:szCs w:val="32"/>
          <w:highlight w:val="none"/>
        </w:rPr>
        <w:t>经费支出</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预决算对比无差异。</w:t>
      </w:r>
      <w:r>
        <w:rPr>
          <w:rFonts w:hint="default" w:ascii="Times New Roman" w:hAnsi="Times New Roman" w:eastAsia="仿宋_GB2312" w:cs="Times New Roman"/>
          <w:sz w:val="32"/>
          <w:szCs w:val="32"/>
          <w:highlight w:val="none"/>
        </w:rPr>
        <w:t>其中：因公出国（境）费全年预算数0.00万元，决算数0.00万元，预决算差异率0.00%，主要原因是：</w:t>
      </w:r>
      <w:r>
        <w:rPr>
          <w:rFonts w:hint="eastAsia" w:ascii="Times New Roman" w:hAnsi="Times New Roman"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单位</w:t>
      </w:r>
      <w:r>
        <w:rPr>
          <w:rFonts w:hint="eastAsia" w:ascii="Times New Roman" w:hAnsi="Times New Roman" w:eastAsia="仿宋_GB2312" w:cs="Times New Roman"/>
          <w:sz w:val="32"/>
          <w:szCs w:val="32"/>
          <w:highlight w:val="none"/>
        </w:rPr>
        <w:t>严格按照预算执行</w:t>
      </w:r>
      <w:r>
        <w:rPr>
          <w:rFonts w:hint="default" w:ascii="Times New Roman" w:hAnsi="Times New Roman" w:eastAsia="仿宋_GB2312" w:cs="Times New Roman"/>
          <w:sz w:val="32"/>
          <w:szCs w:val="32"/>
          <w:highlight w:val="none"/>
        </w:rPr>
        <w:t>因公出国（境）费</w:t>
      </w:r>
      <w:r>
        <w:rPr>
          <w:rFonts w:hint="eastAsia" w:ascii="Times New Roman" w:hAnsi="Times New Roman"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rPr>
        <w:t>，预决算对比无差异</w:t>
      </w:r>
      <w:r>
        <w:rPr>
          <w:rFonts w:hint="default" w:ascii="Times New Roman" w:hAnsi="Times New Roman" w:eastAsia="仿宋_GB2312" w:cs="Times New Roman"/>
          <w:sz w:val="32"/>
          <w:szCs w:val="32"/>
          <w:highlight w:val="none"/>
        </w:rPr>
        <w:t>；公务用车购置费全年预算数0.00万元，决算数0.00万元，预决算差异率0.00%，主要原因是：</w:t>
      </w:r>
      <w:r>
        <w:rPr>
          <w:rFonts w:hint="eastAsia" w:ascii="Times New Roman" w:hAnsi="Times New Roman"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单位</w:t>
      </w:r>
      <w:r>
        <w:rPr>
          <w:rFonts w:hint="eastAsia" w:ascii="Times New Roman" w:hAnsi="Times New Roman" w:eastAsia="仿宋_GB2312" w:cs="Times New Roman"/>
          <w:sz w:val="32"/>
          <w:szCs w:val="32"/>
          <w:highlight w:val="none"/>
        </w:rPr>
        <w:t>严格按照预算执行</w:t>
      </w:r>
      <w:r>
        <w:rPr>
          <w:rFonts w:hint="default" w:ascii="Times New Roman" w:hAnsi="Times New Roman" w:eastAsia="仿宋_GB2312" w:cs="Times New Roman"/>
          <w:sz w:val="32"/>
          <w:szCs w:val="32"/>
          <w:highlight w:val="none"/>
        </w:rPr>
        <w:t>公务用车购置费</w:t>
      </w:r>
      <w:r>
        <w:rPr>
          <w:rFonts w:hint="eastAsia" w:ascii="Times New Roman" w:hAnsi="Times New Roman"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rPr>
        <w:t>，预决算对比无差异</w:t>
      </w:r>
      <w:r>
        <w:rPr>
          <w:rFonts w:hint="default" w:ascii="Times New Roman" w:hAnsi="Times New Roman" w:eastAsia="仿宋_GB2312" w:cs="Times New Roman"/>
          <w:sz w:val="32"/>
          <w:szCs w:val="32"/>
          <w:highlight w:val="none"/>
        </w:rPr>
        <w:t>；公务用车运行维护费全年预算数5.00万元，决算数5.00万元，预决算差异率0.00%，主要原因是：</w:t>
      </w:r>
      <w:r>
        <w:rPr>
          <w:rFonts w:hint="eastAsia" w:ascii="Times New Roman" w:hAnsi="Times New Roman"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单位</w:t>
      </w:r>
      <w:r>
        <w:rPr>
          <w:rFonts w:hint="eastAsia" w:ascii="Times New Roman" w:hAnsi="Times New Roman" w:eastAsia="仿宋_GB2312" w:cs="Times New Roman"/>
          <w:sz w:val="32"/>
          <w:szCs w:val="32"/>
          <w:highlight w:val="none"/>
        </w:rPr>
        <w:t>严格按照预算执行</w:t>
      </w:r>
      <w:r>
        <w:rPr>
          <w:rFonts w:hint="default" w:ascii="Times New Roman" w:hAnsi="Times New Roman" w:eastAsia="仿宋_GB2312" w:cs="Times New Roman"/>
          <w:sz w:val="32"/>
          <w:szCs w:val="32"/>
          <w:highlight w:val="none"/>
        </w:rPr>
        <w:t>公务用车运行维护费</w:t>
      </w:r>
      <w:r>
        <w:rPr>
          <w:rFonts w:hint="eastAsia" w:ascii="Times New Roman" w:hAnsi="Times New Roman"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rPr>
        <w:t>，预决算对比无差异</w:t>
      </w:r>
      <w:r>
        <w:rPr>
          <w:rFonts w:hint="default" w:ascii="Times New Roman" w:hAnsi="Times New Roman" w:eastAsia="仿宋_GB2312" w:cs="Times New Roman"/>
          <w:sz w:val="32"/>
          <w:szCs w:val="32"/>
          <w:highlight w:val="none"/>
        </w:rPr>
        <w:t>；公务接待费全年预算数0.00万元，决算数0.00万元，预决算差异率0.00%，主要原因是：</w:t>
      </w:r>
      <w:r>
        <w:rPr>
          <w:rFonts w:hint="eastAsia" w:ascii="Times New Roman" w:hAnsi="Times New Roman"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单位</w:t>
      </w:r>
      <w:r>
        <w:rPr>
          <w:rFonts w:hint="eastAsia" w:ascii="Times New Roman" w:hAnsi="Times New Roman" w:eastAsia="仿宋_GB2312" w:cs="Times New Roman"/>
          <w:sz w:val="32"/>
          <w:szCs w:val="32"/>
          <w:highlight w:val="none"/>
        </w:rPr>
        <w:t>严格按照预算执行</w:t>
      </w:r>
      <w:r>
        <w:rPr>
          <w:rFonts w:hint="default" w:ascii="Times New Roman" w:hAnsi="Times New Roman" w:eastAsia="仿宋_GB2312" w:cs="Times New Roman"/>
          <w:sz w:val="32"/>
          <w:szCs w:val="32"/>
          <w:highlight w:val="none"/>
        </w:rPr>
        <w:t>公务接待费</w:t>
      </w:r>
      <w:r>
        <w:rPr>
          <w:rFonts w:hint="eastAsia" w:ascii="Times New Roman" w:hAnsi="Times New Roman"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rPr>
        <w:t>，预决算对比无差异。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28" w:name="_Toc7314"/>
      <w:bookmarkStart w:id="29" w:name="_Toc23967"/>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rPr>
        <w:t>、其他重要事项的情况</w:t>
      </w:r>
      <w:r>
        <w:rPr>
          <w:rFonts w:hint="default" w:ascii="Times New Roman" w:hAnsi="Times New Roman" w:eastAsia="黑体" w:cs="Times New Roman"/>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黑体" w:cs="Times New Roman"/>
          <w:sz w:val="32"/>
          <w:szCs w:val="32"/>
          <w:highlight w:val="none"/>
          <w:lang w:eastAsia="zh-CN"/>
        </w:rPr>
      </w:pPr>
      <w:bookmarkStart w:id="30" w:name="_Toc29856"/>
      <w:bookmarkStart w:id="31" w:name="_Toc435"/>
      <w:r>
        <w:rPr>
          <w:rFonts w:hint="default" w:ascii="Times New Roman" w:hAnsi="Times New Roman" w:eastAsia="黑体" w:cs="Times New Roman"/>
          <w:sz w:val="32"/>
          <w:szCs w:val="32"/>
          <w:highlight w:val="none"/>
          <w:lang w:eastAsia="zh-CN"/>
        </w:rPr>
        <w:t>（一）机关运行经费及公用经费支出情况</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spacing w:val="0"/>
          <w:sz w:val="32"/>
          <w:szCs w:val="32"/>
          <w:highlight w:val="none"/>
          <w:lang w:eastAsia="zh-CN"/>
        </w:rPr>
        <w:t>2024年度新疆维吾尔自治区农机安全监理总站单位（行政单位和参照公务员法管理事业单位）机关运行经费支出14.93万元，比上年减少3.60万元，下降19.43%，主要原因是：</w:t>
      </w:r>
      <w:r>
        <w:rPr>
          <w:rFonts w:ascii="仿宋_GB2312" w:eastAsia="仿宋_GB2312"/>
          <w:sz w:val="32"/>
          <w:szCs w:val="32"/>
          <w:lang w:eastAsia="zh-CN"/>
        </w:rPr>
        <w:t>严格落实党政机关过紧日子要求，严控一般性支出，</w:t>
      </w:r>
      <w:r>
        <w:rPr>
          <w:rFonts w:hint="default" w:ascii="Times New Roman" w:hAnsi="Times New Roman" w:eastAsia="仿宋_GB2312" w:cs="Times New Roman"/>
          <w:spacing w:val="0"/>
          <w:sz w:val="32"/>
          <w:szCs w:val="32"/>
          <w:highlight w:val="none"/>
          <w:lang w:eastAsia="zh-CN"/>
        </w:rPr>
        <w:t>办公经费支出减少。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（二）政府采购情况</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2024年度政府采购支出总额23.45万元，其中：政府采购货物支出13.00万元、政府采购工程支出0.00万元、政府采购服务支出10.45万元。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default" w:ascii="Times New Roman" w:hAnsi="Times New Roman" w:eastAsia="仿宋_GB2312" w:cs="Times New Roman"/>
          <w:spacing w:val="0"/>
          <w:sz w:val="32"/>
          <w:szCs w:val="32"/>
          <w:highlight w:val="none"/>
          <w:lang w:eastAsia="zh-CN"/>
        </w:rPr>
        <w:t>授予中小企业合同金额23.45万元，占政府采购支出总额的100.00%，其中：授予小微企业合同金额21.95万元，占政府采购支出总额的93.60%。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（三）国有资产占用情况说明</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截至2024年12月31日，房屋400.00平方米，价值21.00万元。车辆6辆，价值160.91万元，其中：副部（省）级及以上领导用车0辆、主要负责人用车0辆、机要通信用车0辆、应急保障用车0辆、执法执勤用车0辆、特种专业技术用车0辆、离退休干部服务用车0辆、其他用车6辆，其他用车主要是：</w:t>
      </w:r>
      <w:r>
        <w:rPr>
          <w:rFonts w:hint="default" w:ascii="Times New Roman" w:hAnsi="Times New Roman" w:eastAsia="仿宋_GB2312" w:cs="Times New Roman"/>
          <w:b w:val="0"/>
          <w:sz w:val="32"/>
          <w:szCs w:val="32"/>
        </w:rPr>
        <w:t>单位公务用车</w:t>
      </w:r>
      <w:r>
        <w:rPr>
          <w:rFonts w:hint="default" w:ascii="Times New Roman" w:hAnsi="Times New Roman" w:eastAsia="仿宋_GB2312" w:cs="Times New Roman"/>
          <w:spacing w:val="0"/>
          <w:sz w:val="32"/>
          <w:szCs w:val="32"/>
          <w:highlight w:val="none"/>
          <w:lang w:eastAsia="zh-CN"/>
        </w:rPr>
        <w:t>6辆;单价100万元（含）以上设备（不含车辆）0台（套）。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一</w:t>
      </w:r>
      <w:r>
        <w:rPr>
          <w:rFonts w:hint="default" w:ascii="Times New Roman" w:hAnsi="Times New Roman" w:eastAsia="黑体" w:cs="Times New Roman"/>
          <w:bCs/>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sz w:val="32"/>
          <w:szCs w:val="32"/>
          <w:highlight w:val="none"/>
          <w:lang w:eastAsia="zh-CN"/>
        </w:rPr>
        <w:t>根据预算绩效管理要求，本单位2024年度预算绩效评价项目2个，全年预算数685.00万元，全年执行数682.98万元。预算绩效管理取得的成效：一是严格坚持先做事、后验收、再拨付的原则，基本杜绝了资金被挤占和挪用现象的发生，跟踪检查到位。财政、纪检、监察等职能部门全面参与专项资金事前、事中和事后全过程的监管；二是在监督环节上，实行关口前移，从事后监督管理转向事前审核，事中监督和事后检查稽核相结合的监督制度上来，形成多环节全过程的监督管理格局，尽量早发现问题，早解决问题。发现的问题及原因：一是作为实施预算绩效管理的主体，对绩效预算认识不够充分，绩效理念有待进一步强化，业务人员业务能力和素质还有待进一步提升；二是预算绩效目标考核指标体系不尽完善，还需进一步细化项目设置的部分绩效指标与项目、专项业务工作实际脱节，对后期绩效监控及评价造成影响。下一步改进措施：一是实施绩效监控。按照全方位、全过程、全覆盖预算绩效管理要求，将单位支出预算纳入全过程绩效管理，进一步强化绩效理念，提高财政资金使用效益，要求以每个季度为节点，对本单位绩效进行监控；二是开展绩效自评。在开展</w:t>
      </w:r>
      <w:r>
        <w:rPr>
          <w:rFonts w:hint="eastAsia" w:eastAsia="仿宋_GB2312" w:cs="Times New Roman"/>
          <w:sz w:val="32"/>
          <w:szCs w:val="32"/>
          <w:highlight w:val="none"/>
          <w:lang w:eastAsia="zh-CN"/>
        </w:rPr>
        <w:t>单位</w:t>
      </w:r>
      <w:r>
        <w:rPr>
          <w:rFonts w:hint="default" w:ascii="Times New Roman" w:hAnsi="Times New Roman" w:eastAsia="仿宋_GB2312" w:cs="Times New Roman"/>
          <w:sz w:val="32"/>
          <w:szCs w:val="32"/>
          <w:highlight w:val="none"/>
          <w:lang w:eastAsia="zh-CN"/>
        </w:rPr>
        <w:t>决算工作前，对本单位年度绩效进行自评。具体附项目支出绩效自评表。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32" w:name="_Toc4763"/>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二</w:t>
      </w:r>
      <w:r>
        <w:rPr>
          <w:rFonts w:hint="default" w:ascii="Times New Roman" w:hAnsi="Times New Roman" w:eastAsia="黑体" w:cs="Times New Roman"/>
          <w:bCs/>
          <w:kern w:val="0"/>
          <w:sz w:val="32"/>
          <w:szCs w:val="32"/>
          <w:highlight w:val="none"/>
          <w:lang w:eastAsia="zh-CN"/>
        </w:rPr>
        <w:t>、其他需说明的事项</w:t>
      </w:r>
      <w:bookmarkEnd w:id="32"/>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b/>
          <w:bCs/>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本</w:t>
      </w:r>
      <w:r>
        <w:rPr>
          <w:rFonts w:hint="default" w:ascii="Times New Roman" w:hAnsi="Times New Roman" w:eastAsia="仿宋_GB2312" w:cs="Times New Roman"/>
          <w:color w:val="auto"/>
          <w:kern w:val="0"/>
          <w:sz w:val="32"/>
          <w:szCs w:val="32"/>
          <w:highlight w:val="none"/>
          <w:lang w:val="en-US" w:eastAsia="zh-CN"/>
        </w:rPr>
        <w:t>单位无其他需说明事项</w:t>
      </w:r>
      <w:r>
        <w:rPr>
          <w:rFonts w:hint="eastAsia" w:eastAsia="仿宋_GB2312" w:cs="Times New Roman"/>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sz w:val="32"/>
          <w:szCs w:val="32"/>
          <w:highlight w:val="none"/>
        </w:rPr>
      </w:pPr>
      <w:bookmarkStart w:id="33" w:name="_Toc24143"/>
      <w:r>
        <w:rPr>
          <w:rFonts w:hint="default" w:ascii="Times New Roman" w:hAnsi="Times New Roman" w:eastAsia="黑体" w:cs="Times New Roman"/>
          <w:sz w:val="32"/>
          <w:szCs w:val="32"/>
          <w:highlight w:val="none"/>
        </w:rPr>
        <w:br w:type="page"/>
      </w:r>
      <w:bookmarkStart w:id="34" w:name="_Toc6039"/>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部分 专业名词解释</w:t>
      </w:r>
      <w:bookmarkEnd w:id="33"/>
      <w:bookmarkEnd w:id="34"/>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rPr>
        <w:t>财政拨款收入：</w:t>
      </w:r>
      <w:r>
        <w:rPr>
          <w:rFonts w:hint="default" w:ascii="Times New Roman" w:hAnsi="Times New Roman" w:eastAsia="仿宋_GB2312" w:cs="Times New Roman"/>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二、</w:t>
      </w:r>
      <w:r>
        <w:rPr>
          <w:rFonts w:hint="default" w:ascii="Times New Roman" w:hAnsi="Times New Roman" w:eastAsia="仿宋_GB2312" w:cs="Times New Roman"/>
          <w:b/>
          <w:bCs/>
          <w:sz w:val="32"/>
          <w:szCs w:val="32"/>
          <w:highlight w:val="none"/>
        </w:rPr>
        <w:t>上级补助收入：</w:t>
      </w:r>
      <w:r>
        <w:rPr>
          <w:rFonts w:hint="default" w:ascii="Times New Roman" w:hAnsi="Times New Roman" w:eastAsia="仿宋_GB2312" w:cs="Times New Roman"/>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三、</w:t>
      </w:r>
      <w:r>
        <w:rPr>
          <w:rFonts w:hint="default" w:ascii="Times New Roman" w:hAnsi="Times New Roman" w:eastAsia="仿宋_GB2312" w:cs="Times New Roman"/>
          <w:b/>
          <w:bCs/>
          <w:sz w:val="32"/>
          <w:szCs w:val="32"/>
          <w:highlight w:val="none"/>
        </w:rPr>
        <w:t>事业收入：</w:t>
      </w:r>
      <w:r>
        <w:rPr>
          <w:rFonts w:hint="default" w:ascii="Times New Roman" w:hAnsi="Times New Roman" w:eastAsia="仿宋_GB2312" w:cs="Times New Roman"/>
          <w:sz w:val="32"/>
          <w:szCs w:val="32"/>
          <w:highlight w:val="none"/>
        </w:rPr>
        <w:t>指事业单位开展专业业务</w:t>
      </w:r>
      <w:bookmarkStart w:id="54" w:name="_GoBack"/>
      <w:bookmarkEnd w:id="54"/>
      <w:r>
        <w:rPr>
          <w:rFonts w:hint="default" w:ascii="Times New Roman" w:hAnsi="Times New Roman" w:eastAsia="仿宋_GB2312" w:cs="Times New Roman"/>
          <w:sz w:val="32"/>
          <w:szCs w:val="32"/>
          <w:highlight w:val="none"/>
        </w:rPr>
        <w:t>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四、</w:t>
      </w:r>
      <w:r>
        <w:rPr>
          <w:rFonts w:hint="default" w:ascii="Times New Roman" w:hAnsi="Times New Roman" w:eastAsia="仿宋_GB2312" w:cs="Times New Roman"/>
          <w:b/>
          <w:bCs/>
          <w:sz w:val="32"/>
          <w:szCs w:val="32"/>
          <w:highlight w:val="none"/>
        </w:rPr>
        <w:t>经营收入：</w:t>
      </w:r>
      <w:r>
        <w:rPr>
          <w:rFonts w:hint="default" w:ascii="Times New Roman" w:hAnsi="Times New Roman" w:eastAsia="仿宋_GB2312" w:cs="Times New Roman"/>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五、</w:t>
      </w:r>
      <w:r>
        <w:rPr>
          <w:rFonts w:hint="default" w:ascii="Times New Roman" w:hAnsi="Times New Roman" w:eastAsia="仿宋_GB2312" w:cs="Times New Roman"/>
          <w:b/>
          <w:bCs/>
          <w:sz w:val="32"/>
          <w:szCs w:val="32"/>
          <w:highlight w:val="none"/>
        </w:rPr>
        <w:t>附属单位上缴收入：</w:t>
      </w:r>
      <w:r>
        <w:rPr>
          <w:rFonts w:hint="default" w:ascii="Times New Roman" w:hAnsi="Times New Roman" w:eastAsia="仿宋_GB2312" w:cs="Times New Roman"/>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六、</w:t>
      </w:r>
      <w:r>
        <w:rPr>
          <w:rFonts w:hint="default" w:ascii="Times New Roman" w:hAnsi="Times New Roman" w:eastAsia="仿宋_GB2312" w:cs="Times New Roman"/>
          <w:b/>
          <w:bCs/>
          <w:sz w:val="32"/>
          <w:szCs w:val="32"/>
          <w:highlight w:val="none"/>
        </w:rPr>
        <w:t>其他收入：</w:t>
      </w:r>
      <w:r>
        <w:rPr>
          <w:rFonts w:hint="default" w:ascii="Times New Roman" w:hAnsi="Times New Roman" w:eastAsia="仿宋_GB2312" w:cs="Times New Roman"/>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七、</w:t>
      </w:r>
      <w:r>
        <w:rPr>
          <w:rFonts w:hint="default" w:ascii="Times New Roman" w:hAnsi="Times New Roman" w:eastAsia="仿宋_GB2312" w:cs="Times New Roman"/>
          <w:b/>
          <w:bCs/>
          <w:sz w:val="32"/>
          <w:szCs w:val="32"/>
          <w:highlight w:val="none"/>
          <w:lang w:eastAsia="zh-CN"/>
        </w:rPr>
        <w:t>年初</w:t>
      </w:r>
      <w:r>
        <w:rPr>
          <w:rFonts w:hint="default" w:ascii="Times New Roman" w:hAnsi="Times New Roman" w:eastAsia="仿宋_GB2312" w:cs="Times New Roman"/>
          <w:b/>
          <w:bCs/>
          <w:sz w:val="32"/>
          <w:szCs w:val="32"/>
          <w:highlight w:val="none"/>
        </w:rPr>
        <w:t>结转和结余：</w:t>
      </w:r>
      <w:r>
        <w:rPr>
          <w:rFonts w:hint="default" w:ascii="Times New Roman" w:hAnsi="Times New Roman" w:eastAsia="仿宋_GB2312" w:cs="Times New Roman"/>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八、</w:t>
      </w:r>
      <w:r>
        <w:rPr>
          <w:rFonts w:hint="default" w:ascii="Times New Roman" w:hAnsi="Times New Roman" w:eastAsia="仿宋_GB2312" w:cs="Times New Roman"/>
          <w:b/>
          <w:bCs/>
          <w:sz w:val="32"/>
          <w:szCs w:val="32"/>
          <w:highlight w:val="none"/>
        </w:rPr>
        <w:t>年末结转和结余：</w:t>
      </w:r>
      <w:r>
        <w:rPr>
          <w:rFonts w:hint="default" w:ascii="Times New Roman" w:hAnsi="Times New Roman" w:eastAsia="仿宋_GB2312" w:cs="Times New Roman"/>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九、</w:t>
      </w:r>
      <w:r>
        <w:rPr>
          <w:rFonts w:hint="default" w:ascii="Times New Roman" w:hAnsi="Times New Roman" w:eastAsia="仿宋_GB2312" w:cs="Times New Roman"/>
          <w:b/>
          <w:bCs/>
          <w:sz w:val="32"/>
          <w:szCs w:val="32"/>
          <w:highlight w:val="none"/>
        </w:rPr>
        <w:t>基本支出：</w:t>
      </w:r>
      <w:r>
        <w:rPr>
          <w:rFonts w:hint="default" w:ascii="Times New Roman" w:hAnsi="Times New Roman" w:eastAsia="仿宋_GB2312" w:cs="Times New Roman"/>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w:t>
      </w:r>
      <w:r>
        <w:rPr>
          <w:rFonts w:hint="default" w:ascii="Times New Roman" w:hAnsi="Times New Roman" w:eastAsia="仿宋_GB2312" w:cs="Times New Roman"/>
          <w:b/>
          <w:bCs/>
          <w:sz w:val="32"/>
          <w:szCs w:val="32"/>
          <w:highlight w:val="none"/>
        </w:rPr>
        <w:t>项目支出：</w:t>
      </w:r>
      <w:r>
        <w:rPr>
          <w:rFonts w:hint="default" w:ascii="Times New Roman" w:hAnsi="Times New Roman" w:eastAsia="仿宋_GB2312" w:cs="Times New Roman"/>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十一、</w:t>
      </w:r>
      <w:r>
        <w:rPr>
          <w:rFonts w:hint="default" w:ascii="Times New Roman" w:hAnsi="Times New Roman" w:eastAsia="仿宋_GB2312" w:cs="Times New Roman"/>
          <w:b/>
          <w:bCs/>
          <w:sz w:val="32"/>
          <w:szCs w:val="32"/>
          <w:highlight w:val="none"/>
        </w:rPr>
        <w:t>经营支出：</w:t>
      </w:r>
      <w:r>
        <w:rPr>
          <w:rFonts w:hint="default" w:ascii="Times New Roman" w:hAnsi="Times New Roman" w:eastAsia="仿宋_GB2312" w:cs="Times New Roman"/>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十二、</w:t>
      </w:r>
      <w:r>
        <w:rPr>
          <w:rFonts w:hint="default" w:ascii="Times New Roman" w:hAnsi="Times New Roman" w:eastAsia="仿宋_GB2312" w:cs="Times New Roman"/>
          <w:b/>
          <w:bCs/>
          <w:sz w:val="32"/>
          <w:szCs w:val="32"/>
          <w:highlight w:val="none"/>
        </w:rPr>
        <w:t>对附属单位补助支出：</w:t>
      </w:r>
      <w:r>
        <w:rPr>
          <w:rFonts w:hint="default" w:ascii="Times New Roman" w:hAnsi="Times New Roman" w:eastAsia="仿宋_GB2312" w:cs="Times New Roman"/>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bCs/>
          <w:sz w:val="32"/>
          <w:szCs w:val="32"/>
          <w:highlight w:val="none"/>
          <w:lang w:val="en-US" w:eastAsia="zh-CN"/>
        </w:rPr>
        <w:t>十三、</w:t>
      </w:r>
      <w:r>
        <w:rPr>
          <w:rFonts w:hint="default" w:ascii="Times New Roman" w:hAnsi="Times New Roman" w:eastAsia="仿宋_GB2312" w:cs="Times New Roman"/>
          <w:b/>
          <w:bCs/>
          <w:sz w:val="32"/>
          <w:szCs w:val="32"/>
          <w:highlight w:val="none"/>
        </w:rPr>
        <w:t>“三公”经费：</w:t>
      </w:r>
      <w:r>
        <w:rPr>
          <w:rFonts w:hint="default" w:ascii="Times New Roman" w:hAnsi="Times New Roman" w:eastAsia="仿宋_GB2312" w:cs="Times New Roman"/>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sz w:val="32"/>
          <w:szCs w:val="32"/>
          <w:highlight w:val="none"/>
          <w:lang w:eastAsia="zh-CN"/>
        </w:rPr>
        <w:t>国际旅费、国外城市间交通费、</w:t>
      </w:r>
      <w:r>
        <w:rPr>
          <w:rFonts w:hint="default" w:ascii="Times New Roman" w:hAnsi="Times New Roman" w:eastAsia="仿宋_GB2312" w:cs="Times New Roman"/>
          <w:sz w:val="32"/>
          <w:szCs w:val="32"/>
          <w:highlight w:val="none"/>
        </w:rPr>
        <w:t>住宿费、伙食费、培训费、</w:t>
      </w:r>
      <w:r>
        <w:rPr>
          <w:rFonts w:hint="default" w:ascii="Times New Roman" w:hAnsi="Times New Roman" w:eastAsia="仿宋_GB2312" w:cs="Times New Roman"/>
          <w:sz w:val="32"/>
          <w:szCs w:val="32"/>
          <w:highlight w:val="none"/>
          <w:lang w:eastAsia="zh-CN"/>
        </w:rPr>
        <w:t>公</w:t>
      </w:r>
      <w:r>
        <w:rPr>
          <w:rFonts w:hint="default" w:ascii="Times New Roman" w:hAnsi="Times New Roman" w:eastAsia="仿宋_GB2312" w:cs="Times New Roman"/>
          <w:sz w:val="32"/>
          <w:szCs w:val="32"/>
          <w:highlight w:val="none"/>
        </w:rPr>
        <w:t>杂费等支出；公务用车购置</w:t>
      </w:r>
      <w:r>
        <w:rPr>
          <w:rFonts w:hint="default" w:ascii="Times New Roman" w:hAnsi="Times New Roman" w:eastAsia="仿宋_GB2312" w:cs="Times New Roman"/>
          <w:sz w:val="32"/>
          <w:szCs w:val="32"/>
          <w:highlight w:val="none"/>
          <w:lang w:eastAsia="zh-CN"/>
        </w:rPr>
        <w:t>反映公务用车购置支出（含车辆购置税、牌照费）；</w:t>
      </w:r>
      <w:r>
        <w:rPr>
          <w:rFonts w:hint="default" w:ascii="Times New Roman" w:hAnsi="Times New Roman" w:eastAsia="仿宋_GB2312" w:cs="Times New Roman"/>
          <w:sz w:val="32"/>
          <w:szCs w:val="32"/>
          <w:highlight w:val="none"/>
        </w:rPr>
        <w:t>公务用车运行</w:t>
      </w:r>
      <w:r>
        <w:rPr>
          <w:rFonts w:hint="default" w:ascii="Times New Roman" w:hAnsi="Times New Roman" w:eastAsia="仿宋_GB2312" w:cs="Times New Roman"/>
          <w:sz w:val="32"/>
          <w:szCs w:val="32"/>
          <w:highlight w:val="none"/>
          <w:lang w:eastAsia="zh-CN"/>
        </w:rPr>
        <w:t>维护</w:t>
      </w:r>
      <w:r>
        <w:rPr>
          <w:rFonts w:hint="default" w:ascii="Times New Roman" w:hAnsi="Times New Roman" w:eastAsia="仿宋_GB2312" w:cs="Times New Roman"/>
          <w:sz w:val="32"/>
          <w:szCs w:val="32"/>
          <w:highlight w:val="none"/>
        </w:rPr>
        <w:t>费反映</w:t>
      </w:r>
      <w:r>
        <w:rPr>
          <w:rFonts w:hint="default" w:ascii="Times New Roman" w:hAnsi="Times New Roman" w:eastAsia="仿宋_GB2312" w:cs="Times New Roman"/>
          <w:sz w:val="32"/>
          <w:szCs w:val="32"/>
          <w:highlight w:val="none"/>
          <w:lang w:eastAsia="zh-CN"/>
        </w:rPr>
        <w:t>单位按规定保留的公务用车燃料费、维修费、</w:t>
      </w:r>
      <w:r>
        <w:rPr>
          <w:rFonts w:hint="default" w:ascii="Times New Roman" w:hAnsi="Times New Roman" w:eastAsia="仿宋_GB2312" w:cs="Times New Roman"/>
          <w:sz w:val="32"/>
          <w:szCs w:val="32"/>
          <w:highlight w:val="none"/>
        </w:rPr>
        <w:t>过路费、保险费、安全奖励费用等支出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公务接待费反映单位按规定开支的各类公务接待（含外宾接待）</w:t>
      </w:r>
      <w:r>
        <w:rPr>
          <w:rFonts w:hint="default" w:ascii="Times New Roman" w:hAnsi="Times New Roman" w:eastAsia="仿宋_GB2312" w:cs="Times New Roman"/>
          <w:sz w:val="32"/>
          <w:szCs w:val="32"/>
          <w:highlight w:val="none"/>
          <w:lang w:eastAsia="zh-CN"/>
        </w:rPr>
        <w:t>费用</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十四、</w:t>
      </w:r>
      <w:r>
        <w:rPr>
          <w:rFonts w:hint="default" w:ascii="Times New Roman" w:hAnsi="Times New Roman" w:eastAsia="仿宋_GB2312" w:cs="Times New Roman"/>
          <w:b/>
          <w:bCs/>
          <w:sz w:val="32"/>
          <w:szCs w:val="32"/>
          <w:highlight w:val="none"/>
        </w:rPr>
        <w:t>机关运行经费：</w:t>
      </w:r>
      <w:r>
        <w:rPr>
          <w:rFonts w:hint="default" w:ascii="Times New Roman" w:hAnsi="Times New Roman" w:eastAsia="仿宋_GB2312" w:cs="Times New Roman"/>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br w:type="page"/>
      </w:r>
      <w:bookmarkStart w:id="35" w:name="_Toc3789"/>
      <w:r>
        <w:rPr>
          <w:rFonts w:hint="default" w:ascii="Times New Roman" w:hAnsi="Times New Roman" w:eastAsia="黑体" w:cs="Times New Roman"/>
          <w:sz w:val="32"/>
          <w:szCs w:val="32"/>
          <w:highlight w:val="none"/>
        </w:rPr>
        <w:t>第四部分 部门决算报表（见附表）</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6" w:name="_Toc28119"/>
      <w:bookmarkStart w:id="37" w:name="_Toc6062"/>
      <w:r>
        <w:rPr>
          <w:rFonts w:hint="default" w:ascii="Times New Roman" w:hAnsi="Times New Roman" w:eastAsia="仿宋_GB2312" w:cs="Times New Roman"/>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8" w:name="_Toc30364"/>
      <w:bookmarkStart w:id="39" w:name="_Toc15655"/>
      <w:r>
        <w:rPr>
          <w:rFonts w:hint="default" w:ascii="Times New Roman" w:hAnsi="Times New Roman" w:eastAsia="仿宋_GB2312" w:cs="Times New Roman"/>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0" w:name="_Toc21304"/>
      <w:bookmarkStart w:id="41" w:name="_Toc6817"/>
      <w:r>
        <w:rPr>
          <w:rFonts w:hint="default" w:ascii="Times New Roman" w:hAnsi="Times New Roman" w:eastAsia="仿宋_GB2312" w:cs="Times New Roman"/>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2" w:name="_Toc14238"/>
      <w:bookmarkStart w:id="43" w:name="_Toc11745"/>
      <w:r>
        <w:rPr>
          <w:rFonts w:hint="default" w:ascii="Times New Roman" w:hAnsi="Times New Roman" w:eastAsia="仿宋_GB2312" w:cs="Times New Roman"/>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4" w:name="_Toc10347"/>
      <w:bookmarkStart w:id="45" w:name="_Toc1859"/>
      <w:r>
        <w:rPr>
          <w:rFonts w:hint="default" w:ascii="Times New Roman" w:hAnsi="Times New Roman" w:eastAsia="仿宋_GB2312" w:cs="Times New Roman"/>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6" w:name="_Toc5626"/>
      <w:bookmarkStart w:id="47" w:name="_Toc16172"/>
      <w:r>
        <w:rPr>
          <w:rFonts w:hint="default" w:ascii="Times New Roman" w:hAnsi="Times New Roman" w:eastAsia="仿宋_GB2312" w:cs="Times New Roman"/>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8" w:name="_Toc5453"/>
      <w:bookmarkStart w:id="49" w:name="_Toc4853"/>
      <w:r>
        <w:rPr>
          <w:rFonts w:hint="default" w:ascii="Times New Roman" w:hAnsi="Times New Roman" w:eastAsia="仿宋_GB2312" w:cs="Times New Roman"/>
          <w:bCs/>
          <w:kern w:val="0"/>
          <w:sz w:val="32"/>
          <w:szCs w:val="32"/>
          <w:highlight w:val="none"/>
        </w:rPr>
        <w:t>七、《政府性基金预算财政拨款收入支出决算表》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50" w:name="_Toc3580"/>
      <w:r>
        <w:rPr>
          <w:rFonts w:hint="default" w:ascii="Times New Roman" w:hAnsi="Times New Roman" w:eastAsia="仿宋_GB2312" w:cs="Times New Roman"/>
          <w:bCs/>
          <w:kern w:val="0"/>
          <w:sz w:val="32"/>
          <w:szCs w:val="32"/>
          <w:highlight w:val="none"/>
        </w:rPr>
        <w:t>八、《</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bookmarkEnd w:id="5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51" w:name="_Toc16119"/>
      <w:bookmarkStart w:id="52" w:name="_Toc32663"/>
      <w:bookmarkStart w:id="53" w:name="_Toc29106"/>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rPr>
        <w:t>、《财政拨款“三公”经费支出决算表》</w:t>
      </w:r>
      <w:bookmarkEnd w:id="51"/>
      <w:bookmarkEnd w:id="52"/>
      <w:bookmarkEnd w:id="53"/>
    </w:p>
    <w:p>
      <w:pPr>
        <w:keepNext w:val="0"/>
        <w:keepLines w:val="0"/>
        <w:pageBreakBefore w:val="0"/>
        <w:kinsoku/>
        <w:wordWrap/>
        <w:overflowPunct/>
        <w:topLinePunct w:val="0"/>
        <w:bidi w:val="0"/>
        <w:adjustRightInd/>
        <w:snapToGrid/>
        <w:spacing w:line="560" w:lineRule="exact"/>
        <w:textAlignment w:val="auto"/>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00D0D"/>
    <w:rsid w:val="00EA233A"/>
    <w:rsid w:val="08557237"/>
    <w:rsid w:val="0B861D65"/>
    <w:rsid w:val="1CAB6F69"/>
    <w:rsid w:val="1EB363CA"/>
    <w:rsid w:val="208006BE"/>
    <w:rsid w:val="21441798"/>
    <w:rsid w:val="27826579"/>
    <w:rsid w:val="27BC0A0C"/>
    <w:rsid w:val="2FEB3672"/>
    <w:rsid w:val="3787198A"/>
    <w:rsid w:val="386C30A9"/>
    <w:rsid w:val="3ADC0CF7"/>
    <w:rsid w:val="407103DB"/>
    <w:rsid w:val="4D0E24D9"/>
    <w:rsid w:val="4F9D1B42"/>
    <w:rsid w:val="4FF0393B"/>
    <w:rsid w:val="52177550"/>
    <w:rsid w:val="54330795"/>
    <w:rsid w:val="562F0430"/>
    <w:rsid w:val="57C02401"/>
    <w:rsid w:val="598D5A0B"/>
    <w:rsid w:val="5A7A11AE"/>
    <w:rsid w:val="6FE32C5A"/>
    <w:rsid w:val="70025A76"/>
    <w:rsid w:val="73595538"/>
    <w:rsid w:val="751F2C26"/>
    <w:rsid w:val="763B75EC"/>
    <w:rsid w:val="76F37914"/>
    <w:rsid w:val="7AAD65DE"/>
    <w:rsid w:val="7D300D0D"/>
    <w:rsid w:val="7D6C4143"/>
    <w:rsid w:val="7F8D1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0"/>
  </w:style>
  <w:style w:type="paragraph" w:styleId="5">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6204</Words>
  <Characters>6834</Characters>
  <Lines>0</Lines>
  <Paragraphs>0</Paragraphs>
  <TotalTime>1</TotalTime>
  <ScaleCrop>false</ScaleCrop>
  <LinksUpToDate>false</LinksUpToDate>
  <CharactersWithSpaces>6844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2025-08-25T07:23:00Z</dcterms:created>
  <dc:creator>局外人.</dc:creator>
  <cp:lastModifiedBy>admin</cp:lastModifiedBy>
  <dcterms:modified xsi:type="dcterms:W3CDTF">2025-11-06T10:47:56Z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44C56D3F12E84506A8104B5B1E6308AA_11</vt:lpwstr>
  </property>
  <property fmtid="{D5CDD505-2E9C-101B-9397-08002B2CF9AE}" pid="4" name="KSOTemplateDocerSaveRecord">
    <vt:lpwstr>eyJoZGlkIjoiN2ZkN2U0NTE2ZWZjNGNkOGYwMTY5ODIwZjEyYjUxNGMiLCJ1c2VySWQiOiI0MDc2MTk2NTAifQ==</vt:lpwstr>
  </property>
</Properties>
</file>