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宋体" w:cs="Times New Roman"/>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宋体" w:cs="Times New Roman"/>
          <w:sz w:val="44"/>
          <w:szCs w:val="44"/>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宋体" w:cs="Times New Roman"/>
          <w:sz w:val="44"/>
          <w:szCs w:val="44"/>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hint="default" w:ascii="Times New Roman" w:hAnsi="Times New Roman" w:eastAsia="方正小标宋_GBK" w:cs="Times New Roman"/>
          <w:sz w:val="44"/>
          <w:szCs w:val="44"/>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center"/>
        <w:textAlignment w:val="auto"/>
        <w:outlineLvl w:val="0"/>
        <w:rPr>
          <w:rFonts w:hint="default" w:ascii="Times New Roman" w:hAnsi="Times New Roman" w:eastAsia="方正小标宋_GBK" w:cs="Times New Roman"/>
          <w:sz w:val="44"/>
          <w:szCs w:val="44"/>
        </w:rPr>
      </w:pPr>
      <w:r>
        <w:rPr>
          <w:rFonts w:hint="default" w:ascii="Times New Roman" w:hAnsi="Times New Roman" w:eastAsia="方正小标宋_GBK" w:cs="Times New Roman"/>
          <w:b w:val="0"/>
          <w:sz w:val="44"/>
          <w:szCs w:val="44"/>
        </w:rPr>
        <w:t>新疆维吾尔自治区农业机械化信息中心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center"/>
        <w:textAlignment w:val="auto"/>
        <w:outlineLvl w:val="0"/>
        <w:rPr>
          <w:rFonts w:hint="default" w:ascii="Times New Roman" w:hAnsi="Times New Roman" w:eastAsia="方正小标宋_GBK" w:cs="Times New Roman"/>
          <w:sz w:val="44"/>
          <w:szCs w:val="44"/>
        </w:rPr>
      </w:pPr>
      <w:r>
        <w:rPr>
          <w:rFonts w:hint="default" w:ascii="Times New Roman" w:hAnsi="Times New Roman" w:eastAsia="方正小标宋_GBK" w:cs="Times New Roman"/>
          <w:b w:val="0"/>
          <w:sz w:val="44"/>
          <w:szCs w:val="44"/>
        </w:rPr>
        <w:t>2024年度部门决算公开说明</w:t>
      </w:r>
    </w:p>
    <w:p>
      <w:pPr>
        <w:keepNext w:val="0"/>
        <w:keepLines w:val="0"/>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cs="Times New Roman"/>
        </w:rPr>
      </w:pPr>
      <w:r>
        <w:rPr>
          <w:rFonts w:hint="default" w:ascii="Times New Roman" w:hAnsi="Times New Roman" w:cs="Times New Roman"/>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rPr>
          <w:rFonts w:hint="default" w:ascii="Times New Roman" w:hAnsi="Times New Roman" w:eastAsia="黑体" w:cs="Times New Roman"/>
          <w:sz w:val="32"/>
          <w:szCs w:val="32"/>
        </w:rPr>
      </w:pPr>
      <w:r>
        <w:rPr>
          <w:rFonts w:hint="default" w:ascii="Times New Roman" w:hAnsi="Times New Roman" w:eastAsia="黑体" w:cs="Times New Roman"/>
          <w:b/>
          <w:sz w:val="32"/>
          <w:szCs w:val="32"/>
        </w:rPr>
        <w:t>目  录</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第一部分单位概况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一、主要职能</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第二部分 部门决算情况说明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第三部分 专业名词解释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第四部分 部门决算报表（见附表）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九、《财政拨款“三公”经费支出决算表》</w:t>
      </w:r>
    </w:p>
    <w:p>
      <w:pPr>
        <w:keepNext w:val="0"/>
        <w:keepLines w:val="0"/>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cs="Times New Roman"/>
        </w:rPr>
      </w:pPr>
      <w:r>
        <w:rPr>
          <w:rFonts w:hint="default" w:ascii="Times New Roman" w:hAnsi="Times New Roman" w:cs="Times New Roman"/>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第一部分 单位概况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一、主要职能</w:t>
      </w:r>
    </w:p>
    <w:p>
      <w:pPr>
        <w:keepNext w:val="0"/>
        <w:keepLines w:val="0"/>
        <w:pageBreakBefore w:val="0"/>
        <w:widowControl/>
        <w:suppressLineNumbers w:val="0"/>
        <w:kinsoku/>
        <w:wordWrap/>
        <w:overflowPunct/>
        <w:topLinePunct w:val="0"/>
        <w:autoSpaceDE/>
        <w:autoSpaceDN/>
        <w:bidi w:val="0"/>
        <w:adjustRightInd/>
        <w:snapToGrid/>
        <w:spacing w:after="0" w:line="560" w:lineRule="exact"/>
        <w:ind w:firstLine="640" w:firstLineChars="200"/>
        <w:jc w:val="left"/>
        <w:textAlignment w:val="auto"/>
        <w:rPr>
          <w:rFonts w:hint="default" w:ascii="Times New Roman" w:hAnsi="Times New Roman" w:cs="Times New Roman"/>
          <w:sz w:val="32"/>
          <w:szCs w:val="32"/>
        </w:rPr>
      </w:pPr>
      <w:r>
        <w:rPr>
          <w:rFonts w:hint="default" w:ascii="Times New Roman" w:hAnsi="Times New Roman" w:eastAsia="仿宋_GB2312" w:cs="Times New Roman"/>
          <w:color w:val="000000"/>
          <w:kern w:val="0"/>
          <w:sz w:val="32"/>
          <w:szCs w:val="32"/>
          <w:lang w:val="en-US" w:eastAsia="zh-CN" w:bidi="ar"/>
        </w:rPr>
        <w:t xml:space="preserve">承担农机信息化建设,推进农机化信息化融合；承担农机化信息网络建设和管理工作，保障网络信息安全；承担农机化生产、农机户信息采集，农机化管理统计和有关农机化政策、法规、技术资料的编辑印发工作；承担《新疆农村机械化》编辑出版发行工作。 </w:t>
      </w:r>
    </w:p>
    <w:p>
      <w:pPr>
        <w:keepNext w:val="0"/>
        <w:keepLines w:val="0"/>
        <w:pageBreakBefore w:val="0"/>
        <w:widowControl/>
        <w:suppressLineNumbers w:val="0"/>
        <w:kinsoku/>
        <w:wordWrap/>
        <w:overflowPunct/>
        <w:topLinePunct w:val="0"/>
        <w:autoSpaceDE/>
        <w:autoSpaceDN/>
        <w:bidi w:val="0"/>
        <w:adjustRightInd/>
        <w:snapToGrid/>
        <w:spacing w:after="0" w:line="560" w:lineRule="exact"/>
        <w:ind w:firstLine="640" w:firstLineChars="200"/>
        <w:jc w:val="left"/>
        <w:textAlignment w:val="auto"/>
        <w:rPr>
          <w:rFonts w:hint="default" w:ascii="Times New Roman" w:hAnsi="Times New Roman" w:cs="Times New Roman"/>
          <w:sz w:val="32"/>
          <w:szCs w:val="32"/>
        </w:rPr>
      </w:pPr>
      <w:r>
        <w:rPr>
          <w:rFonts w:hint="default" w:ascii="Times New Roman" w:hAnsi="Times New Roman" w:eastAsia="仿宋_GB2312" w:cs="Times New Roman"/>
          <w:color w:val="000000"/>
          <w:kern w:val="0"/>
          <w:sz w:val="32"/>
          <w:szCs w:val="32"/>
          <w:lang w:val="en-US" w:eastAsia="zh-CN" w:bidi="ar"/>
        </w:rPr>
        <w:t xml:space="preserve">1.开展农机信息化建设工作，推进农机化信息服务、信息网络建设，促进农机化信息化融合。组织实施信息化建设的重大项目，完成门户网站和各类政务应用系统的建设和运行管理工作，组织实施信息资源的整合、开发和利用。 </w:t>
      </w:r>
    </w:p>
    <w:p>
      <w:pPr>
        <w:keepNext w:val="0"/>
        <w:keepLines w:val="0"/>
        <w:pageBreakBefore w:val="0"/>
        <w:widowControl/>
        <w:suppressLineNumbers w:val="0"/>
        <w:kinsoku/>
        <w:wordWrap/>
        <w:overflowPunct/>
        <w:topLinePunct w:val="0"/>
        <w:autoSpaceDE/>
        <w:autoSpaceDN/>
        <w:bidi w:val="0"/>
        <w:adjustRightInd/>
        <w:snapToGrid/>
        <w:spacing w:after="0" w:line="560" w:lineRule="exact"/>
        <w:ind w:firstLine="640" w:firstLineChars="200"/>
        <w:jc w:val="left"/>
        <w:textAlignment w:val="auto"/>
        <w:rPr>
          <w:rFonts w:hint="default" w:ascii="Times New Roman" w:hAnsi="Times New Roman" w:cs="Times New Roman"/>
          <w:sz w:val="32"/>
          <w:szCs w:val="32"/>
        </w:rPr>
      </w:pPr>
      <w:r>
        <w:rPr>
          <w:rFonts w:hint="default" w:ascii="Times New Roman" w:hAnsi="Times New Roman" w:eastAsia="仿宋_GB2312" w:cs="Times New Roman"/>
          <w:color w:val="000000"/>
          <w:kern w:val="0"/>
          <w:sz w:val="32"/>
          <w:szCs w:val="32"/>
          <w:lang w:val="en-US" w:eastAsia="zh-CN" w:bidi="ar"/>
        </w:rPr>
        <w:t xml:space="preserve">2.负责建立信息网络安全管理机制，完成网络与信息安全、软件正版化、网站普查等相关工作，保障农机化信息网络安全。 </w:t>
      </w:r>
    </w:p>
    <w:p>
      <w:pPr>
        <w:keepNext w:val="0"/>
        <w:keepLines w:val="0"/>
        <w:pageBreakBefore w:val="0"/>
        <w:widowControl/>
        <w:suppressLineNumbers w:val="0"/>
        <w:kinsoku/>
        <w:wordWrap/>
        <w:overflowPunct/>
        <w:topLinePunct w:val="0"/>
        <w:autoSpaceDE/>
        <w:autoSpaceDN/>
        <w:bidi w:val="0"/>
        <w:adjustRightInd/>
        <w:snapToGrid/>
        <w:spacing w:after="0" w:line="560" w:lineRule="exact"/>
        <w:ind w:firstLine="640" w:firstLineChars="200"/>
        <w:jc w:val="both"/>
        <w:textAlignment w:val="auto"/>
        <w:rPr>
          <w:rFonts w:hint="default" w:ascii="Times New Roman" w:hAnsi="Times New Roman" w:cs="Times New Roman"/>
          <w:sz w:val="32"/>
          <w:szCs w:val="32"/>
        </w:rPr>
      </w:pPr>
      <w:r>
        <w:rPr>
          <w:rFonts w:hint="default" w:ascii="Times New Roman" w:hAnsi="Times New Roman" w:eastAsia="仿宋_GB2312" w:cs="Times New Roman"/>
          <w:color w:val="000000"/>
          <w:kern w:val="0"/>
          <w:sz w:val="32"/>
          <w:szCs w:val="32"/>
          <w:lang w:val="en-US" w:eastAsia="zh-CN" w:bidi="ar"/>
        </w:rPr>
        <w:t xml:space="preserve">3.保障《新疆农机网》各栏目的更新，并向《中国农机化信息网》提供信息。及时向有关部门和社会发布信息，提供农机化政策、法律、法规、新技术、新机具、市场动态等信息。 </w:t>
      </w:r>
    </w:p>
    <w:p>
      <w:pPr>
        <w:keepNext w:val="0"/>
        <w:keepLines w:val="0"/>
        <w:pageBreakBefore w:val="0"/>
        <w:widowControl/>
        <w:suppressLineNumbers w:val="0"/>
        <w:kinsoku/>
        <w:wordWrap/>
        <w:overflowPunct/>
        <w:topLinePunct w:val="0"/>
        <w:autoSpaceDE/>
        <w:autoSpaceDN/>
        <w:bidi w:val="0"/>
        <w:adjustRightInd/>
        <w:snapToGrid/>
        <w:spacing w:after="0" w:line="560" w:lineRule="exact"/>
        <w:ind w:firstLine="640" w:firstLineChars="200"/>
        <w:jc w:val="left"/>
        <w:textAlignment w:val="auto"/>
        <w:rPr>
          <w:rFonts w:hint="default" w:ascii="Times New Roman" w:hAnsi="Times New Roman" w:cs="Times New Roman"/>
          <w:sz w:val="32"/>
          <w:szCs w:val="32"/>
        </w:rPr>
      </w:pPr>
      <w:r>
        <w:rPr>
          <w:rFonts w:hint="default" w:ascii="Times New Roman" w:hAnsi="Times New Roman" w:eastAsia="仿宋_GB2312" w:cs="Times New Roman"/>
          <w:color w:val="000000"/>
          <w:kern w:val="0"/>
          <w:sz w:val="32"/>
          <w:szCs w:val="32"/>
          <w:lang w:val="en-US" w:eastAsia="zh-CN" w:bidi="ar"/>
        </w:rPr>
        <w:t xml:space="preserve">4.承担农机化管理统计工作，分析统计数据科学描述农机化发展现状，预测发展方向，为上级主管部门提供决策依据。开展农机化发展水平评价体系研究。 </w:t>
      </w:r>
    </w:p>
    <w:p>
      <w:pPr>
        <w:keepNext w:val="0"/>
        <w:keepLines w:val="0"/>
        <w:pageBreakBefore w:val="0"/>
        <w:widowControl/>
        <w:suppressLineNumbers w:val="0"/>
        <w:kinsoku/>
        <w:wordWrap/>
        <w:overflowPunct/>
        <w:topLinePunct w:val="0"/>
        <w:autoSpaceDE/>
        <w:autoSpaceDN/>
        <w:bidi w:val="0"/>
        <w:adjustRightInd/>
        <w:snapToGrid/>
        <w:spacing w:after="0" w:line="560" w:lineRule="exact"/>
        <w:ind w:firstLine="640" w:firstLineChars="200"/>
        <w:jc w:val="left"/>
        <w:textAlignment w:val="auto"/>
        <w:rPr>
          <w:rFonts w:hint="default" w:ascii="Times New Roman" w:hAnsi="Times New Roman" w:cs="Times New Roman"/>
          <w:sz w:val="32"/>
          <w:szCs w:val="32"/>
        </w:rPr>
      </w:pPr>
      <w:r>
        <w:rPr>
          <w:rFonts w:hint="default" w:ascii="Times New Roman" w:hAnsi="Times New Roman" w:eastAsia="仿宋_GB2312" w:cs="Times New Roman"/>
          <w:color w:val="000000"/>
          <w:kern w:val="0"/>
          <w:sz w:val="32"/>
          <w:szCs w:val="32"/>
          <w:lang w:val="en-US" w:eastAsia="zh-CN" w:bidi="ar"/>
        </w:rPr>
        <w:t xml:space="preserve">5.负责《新疆农村机械化》（维文版双月）的编辑、出版、发行工作。 </w:t>
      </w:r>
    </w:p>
    <w:p>
      <w:pPr>
        <w:keepNext w:val="0"/>
        <w:keepLines w:val="0"/>
        <w:pageBreakBefore w:val="0"/>
        <w:widowControl/>
        <w:suppressLineNumbers w:val="0"/>
        <w:kinsoku/>
        <w:wordWrap/>
        <w:overflowPunct/>
        <w:topLinePunct w:val="0"/>
        <w:autoSpaceDE/>
        <w:autoSpaceDN/>
        <w:bidi w:val="0"/>
        <w:adjustRightInd/>
        <w:snapToGrid/>
        <w:spacing w:after="0" w:line="560" w:lineRule="exact"/>
        <w:ind w:firstLine="640" w:firstLineChars="200"/>
        <w:jc w:val="left"/>
        <w:textAlignment w:val="auto"/>
        <w:rPr>
          <w:rFonts w:hint="default" w:ascii="Times New Roman" w:hAnsi="Times New Roman" w:cs="Times New Roman"/>
          <w:sz w:val="32"/>
          <w:szCs w:val="32"/>
        </w:rPr>
      </w:pPr>
      <w:r>
        <w:rPr>
          <w:rFonts w:hint="default" w:ascii="Times New Roman" w:hAnsi="Times New Roman" w:eastAsia="仿宋_GB2312" w:cs="Times New Roman"/>
          <w:color w:val="000000"/>
          <w:kern w:val="0"/>
          <w:sz w:val="32"/>
          <w:szCs w:val="32"/>
          <w:lang w:val="en-US" w:eastAsia="zh-CN" w:bidi="ar"/>
        </w:rPr>
        <w:t>6.负责翻译党和政府有关农业机械化方面的法律、法规。编译出版维文农业机械化技术培训教材；组织编译、出版、发行有关农业机械化方面的工具书、科普读物；组织编译有关农机专业技术人员手册。</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新疆维吾尔自治区农业机械化信息中心2024年度，实有人数18人，其中：在职人员7人，减少2人；离休人员0人，较上年无变化；退休人员11人，增加2人。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新疆维吾尔自治区农业机械化信息中心无下属预算单位，下设</w:t>
      </w:r>
      <w:r>
        <w:rPr>
          <w:rFonts w:hint="default" w:ascii="Times New Roman" w:hAnsi="Times New Roman" w:eastAsia="仿宋_GB2312" w:cs="Times New Roman"/>
          <w:b w:val="0"/>
          <w:sz w:val="32"/>
          <w:szCs w:val="32"/>
          <w:lang w:val="en-US" w:eastAsia="zh-CN"/>
        </w:rPr>
        <w:t>0</w:t>
      </w:r>
      <w:r>
        <w:rPr>
          <w:rFonts w:hint="default" w:ascii="Times New Roman" w:hAnsi="Times New Roman" w:eastAsia="仿宋_GB2312" w:cs="Times New Roman"/>
          <w:b w:val="0"/>
          <w:sz w:val="32"/>
          <w:szCs w:val="32"/>
        </w:rPr>
        <w:t>个</w:t>
      </w:r>
      <w:r>
        <w:rPr>
          <w:rFonts w:hint="default" w:ascii="Times New Roman" w:hAnsi="Times New Roman" w:eastAsia="仿宋_GB2312" w:cs="Times New Roman"/>
          <w:b w:val="0"/>
          <w:sz w:val="32"/>
          <w:szCs w:val="32"/>
          <w:lang w:val="en-US" w:eastAsia="zh-CN"/>
        </w:rPr>
        <w:t>科室</w:t>
      </w:r>
      <w:r>
        <w:rPr>
          <w:rFonts w:hint="default" w:ascii="Times New Roman" w:hAnsi="Times New Roman" w:eastAsia="仿宋_GB2312" w:cs="Times New Roman"/>
          <w:b w:val="0"/>
          <w:sz w:val="32"/>
          <w:szCs w:val="32"/>
        </w:rPr>
        <w:t>，分别是：</w:t>
      </w:r>
      <w:r>
        <w:rPr>
          <w:rFonts w:hint="default" w:ascii="Times New Roman" w:hAnsi="Times New Roman" w:eastAsia="仿宋_GB2312" w:cs="Times New Roman"/>
          <w:b w:val="0"/>
          <w:sz w:val="32"/>
          <w:szCs w:val="32"/>
          <w:lang w:val="en-US" w:eastAsia="zh-CN"/>
        </w:rPr>
        <w:t>无下设科室</w:t>
      </w:r>
      <w:r>
        <w:rPr>
          <w:rFonts w:hint="default" w:ascii="Times New Roman" w:hAnsi="Times New Roman" w:eastAsia="仿宋_GB2312" w:cs="Times New Roman"/>
          <w:b w:val="0"/>
          <w:sz w:val="32"/>
          <w:szCs w:val="32"/>
        </w:rPr>
        <w:t>。</w:t>
      </w:r>
    </w:p>
    <w:p>
      <w:pPr>
        <w:keepNext w:val="0"/>
        <w:keepLines w:val="0"/>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cs="Times New Roman"/>
        </w:rPr>
      </w:pPr>
      <w:r>
        <w:rPr>
          <w:rFonts w:hint="default" w:ascii="Times New Roman" w:hAnsi="Times New Roman" w:cs="Times New Roman"/>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第二部分 部门决算情况说明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2024年度收入总计888.73万元，其中：本年收入合计895.42万元，使用非财政拨款结余（含专用结余）0.00万元，年初结转和结余-6.69万元。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2024年度支出总计888.73万元，其中：本年支出合计876.53万元，结余分配0.36万元，年末结转和结余11.84万元。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收入支出总体与上年相比，减少1,216.34万元，下降57.78%，主要原因是：本年度农机信息化综合服务平台项目资金减少</w:t>
      </w:r>
      <w:r>
        <w:rPr>
          <w:rFonts w:hint="default" w:ascii="Times New Roman" w:hAnsi="Times New Roman" w:eastAsia="仿宋_GB2312" w:cs="Times New Roman"/>
          <w:b w:val="0"/>
          <w:sz w:val="32"/>
          <w:szCs w:val="32"/>
          <w:lang w:eastAsia="zh-CN"/>
        </w:rPr>
        <w:t>；</w:t>
      </w:r>
      <w:r>
        <w:rPr>
          <w:rFonts w:hint="default" w:ascii="Times New Roman" w:hAnsi="Times New Roman" w:eastAsia="仿宋_GB2312" w:cs="Times New Roman"/>
          <w:b w:val="0"/>
          <w:sz w:val="32"/>
          <w:szCs w:val="32"/>
        </w:rPr>
        <w:t>退休2人</w:t>
      </w:r>
      <w:r>
        <w:rPr>
          <w:rFonts w:hint="default" w:ascii="Times New Roman" w:hAnsi="Times New Roman" w:eastAsia="仿宋_GB2312" w:cs="Times New Roman"/>
          <w:b w:val="0"/>
          <w:sz w:val="32"/>
          <w:szCs w:val="32"/>
          <w:lang w:eastAsia="zh-CN"/>
        </w:rPr>
        <w:t>，</w:t>
      </w:r>
      <w:r>
        <w:rPr>
          <w:rFonts w:hint="default" w:ascii="Times New Roman" w:hAnsi="Times New Roman" w:eastAsia="仿宋_GB2312" w:cs="Times New Roman"/>
          <w:b w:val="0"/>
          <w:sz w:val="32"/>
          <w:szCs w:val="32"/>
          <w:lang w:val="en-US" w:eastAsia="zh-CN"/>
        </w:rPr>
        <w:t>人员经费减少</w:t>
      </w:r>
      <w:r>
        <w:rPr>
          <w:rFonts w:hint="default" w:ascii="Times New Roman" w:hAnsi="Times New Roman" w:eastAsia="仿宋_GB2312" w:cs="Times New Roman"/>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本年收入895.42万元，其中：财政拨款收入895.37万元,占99.99%；上级补助收入0.00万元,占0.00%；事业收入0.00万元，占0.00%；经营收入0.00万元,占0.00%；附属单位上缴收入0.00万元，占0.00%；其他收入0.06万元，占0.01%。</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本年支出876.53万元，其中：基本支出219.06万元，占24.99%；项目支出657.46万元，占75.01%；上缴上级支出0.00万元，占0.00%；经营支出0.00万元，占0.00%；对附属单位补助支出0.00万元，占0.00%。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2024年度财政拨款收入总计910.92万元，其中：年初财政拨款结转和结余15.56万元，本年财政拨款收入895.37万元。财政拨款支出总计910.92万元，其中：年末财政拨款结转和结余34.40万元，本年财政拨款支出876.53万元。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财政拨款收入支出总体与上年相比，减少1,216.39万元，下降57.18%，主要原因是：本年度农机信息化综合服务平台项目资金减少</w:t>
      </w:r>
      <w:r>
        <w:rPr>
          <w:rFonts w:hint="default" w:ascii="Times New Roman" w:hAnsi="Times New Roman" w:eastAsia="仿宋_GB2312" w:cs="Times New Roman"/>
          <w:b w:val="0"/>
          <w:sz w:val="32"/>
          <w:szCs w:val="32"/>
          <w:lang w:eastAsia="zh-CN"/>
        </w:rPr>
        <w:t>；</w:t>
      </w:r>
      <w:r>
        <w:rPr>
          <w:rFonts w:hint="default" w:ascii="Times New Roman" w:hAnsi="Times New Roman" w:eastAsia="仿宋_GB2312" w:cs="Times New Roman"/>
          <w:b w:val="0"/>
          <w:sz w:val="32"/>
          <w:szCs w:val="32"/>
        </w:rPr>
        <w:t>退休2人</w:t>
      </w:r>
      <w:r>
        <w:rPr>
          <w:rFonts w:hint="default" w:ascii="Times New Roman" w:hAnsi="Times New Roman" w:eastAsia="仿宋_GB2312" w:cs="Times New Roman"/>
          <w:b w:val="0"/>
          <w:sz w:val="32"/>
          <w:szCs w:val="32"/>
          <w:lang w:eastAsia="zh-CN"/>
        </w:rPr>
        <w:t>，</w:t>
      </w:r>
      <w:r>
        <w:rPr>
          <w:rFonts w:hint="default" w:ascii="Times New Roman" w:hAnsi="Times New Roman" w:eastAsia="仿宋_GB2312" w:cs="Times New Roman"/>
          <w:b w:val="0"/>
          <w:sz w:val="32"/>
          <w:szCs w:val="32"/>
          <w:lang w:val="en-US" w:eastAsia="zh-CN"/>
        </w:rPr>
        <w:t>人员经费减少</w:t>
      </w:r>
      <w:r>
        <w:rPr>
          <w:rFonts w:hint="default" w:ascii="Times New Roman" w:hAnsi="Times New Roman" w:eastAsia="仿宋_GB2312" w:cs="Times New Roman"/>
          <w:b w:val="0"/>
          <w:sz w:val="32"/>
          <w:szCs w:val="32"/>
        </w:rPr>
        <w:t>。与年初预算相比，年初预算数878.89万元，决算数910.92万元，预决算差异率3.64%，主要原因是：</w:t>
      </w:r>
      <w:r>
        <w:rPr>
          <w:rFonts w:hint="default" w:ascii="Times New Roman" w:hAnsi="Times New Roman" w:eastAsia="仿宋_GB2312" w:cs="Times New Roman"/>
          <w:b w:val="0"/>
          <w:sz w:val="32"/>
          <w:szCs w:val="32"/>
          <w:lang w:val="en-US" w:eastAsia="zh-CN"/>
        </w:rPr>
        <w:t>年中追加</w:t>
      </w:r>
      <w:r>
        <w:rPr>
          <w:rFonts w:hint="default" w:ascii="Times New Roman" w:hAnsi="Times New Roman" w:eastAsia="仿宋_GB2312" w:cs="Times New Roman"/>
          <w:b w:val="0"/>
          <w:sz w:val="32"/>
          <w:szCs w:val="32"/>
        </w:rPr>
        <w:t>机关事业单位职业年金缴费支出</w:t>
      </w:r>
      <w:r>
        <w:rPr>
          <w:rFonts w:hint="default" w:ascii="Times New Roman" w:hAnsi="Times New Roman" w:eastAsia="仿宋_GB2312" w:cs="Times New Roman"/>
          <w:b w:val="0"/>
          <w:sz w:val="32"/>
          <w:szCs w:val="32"/>
          <w:lang w:val="en-US" w:eastAsia="zh-CN"/>
        </w:rPr>
        <w:t>预算</w:t>
      </w:r>
      <w:r>
        <w:rPr>
          <w:rFonts w:hint="default" w:ascii="Times New Roman" w:hAnsi="Times New Roman" w:eastAsia="仿宋_GB2312" w:cs="Times New Roman"/>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2"/>
        <w:rPr>
          <w:rFonts w:hint="default" w:ascii="Times New Roman" w:hAnsi="Times New Roman" w:eastAsia="黑体" w:cs="Times New Roman"/>
          <w:b w:val="0"/>
          <w:bCs/>
          <w:sz w:val="32"/>
          <w:szCs w:val="32"/>
        </w:rPr>
      </w:pPr>
      <w:r>
        <w:rPr>
          <w:rFonts w:hint="default" w:ascii="Times New Roman" w:hAnsi="Times New Roman" w:eastAsia="黑体" w:cs="Times New Roman"/>
          <w:b w:val="0"/>
          <w:bCs/>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2024年度一般公共预算财政拨款支出876.53万元，占本年支出合计的100.00%。与上年相比，减少1,235.23万元，下降58.49%，主要原因是：本年度农机信息化综合服务平台项目资金减少</w:t>
      </w:r>
      <w:r>
        <w:rPr>
          <w:rFonts w:hint="default" w:ascii="Times New Roman" w:hAnsi="Times New Roman" w:eastAsia="仿宋_GB2312" w:cs="Times New Roman"/>
          <w:b w:val="0"/>
          <w:sz w:val="32"/>
          <w:szCs w:val="32"/>
          <w:lang w:eastAsia="zh-CN"/>
        </w:rPr>
        <w:t>；</w:t>
      </w:r>
      <w:r>
        <w:rPr>
          <w:rFonts w:hint="default" w:ascii="Times New Roman" w:hAnsi="Times New Roman" w:eastAsia="仿宋_GB2312" w:cs="Times New Roman"/>
          <w:b w:val="0"/>
          <w:sz w:val="32"/>
          <w:szCs w:val="32"/>
        </w:rPr>
        <w:t>退休2人</w:t>
      </w:r>
      <w:r>
        <w:rPr>
          <w:rFonts w:hint="default" w:ascii="Times New Roman" w:hAnsi="Times New Roman" w:eastAsia="仿宋_GB2312" w:cs="Times New Roman"/>
          <w:b w:val="0"/>
          <w:sz w:val="32"/>
          <w:szCs w:val="32"/>
          <w:lang w:eastAsia="zh-CN"/>
        </w:rPr>
        <w:t>，</w:t>
      </w:r>
      <w:r>
        <w:rPr>
          <w:rFonts w:hint="default" w:ascii="Times New Roman" w:hAnsi="Times New Roman" w:eastAsia="仿宋_GB2312" w:cs="Times New Roman"/>
          <w:b w:val="0"/>
          <w:sz w:val="32"/>
          <w:szCs w:val="32"/>
          <w:lang w:val="en-US" w:eastAsia="zh-CN"/>
        </w:rPr>
        <w:t>人员经费减少</w:t>
      </w:r>
      <w:r>
        <w:rPr>
          <w:rFonts w:hint="default" w:ascii="Times New Roman" w:hAnsi="Times New Roman" w:eastAsia="仿宋_GB2312" w:cs="Times New Roman"/>
          <w:b w:val="0"/>
          <w:sz w:val="32"/>
          <w:szCs w:val="32"/>
        </w:rPr>
        <w:t>。与年初预算相比，年初预算数878.89万元，决算数876.53万元，预决算差异率-0.27%，主要原因是：</w:t>
      </w:r>
      <w:r>
        <w:rPr>
          <w:rFonts w:hint="default" w:ascii="Times New Roman" w:hAnsi="Times New Roman" w:eastAsia="仿宋_GB2312" w:cs="Times New Roman"/>
          <w:b w:val="0"/>
          <w:sz w:val="32"/>
          <w:szCs w:val="32"/>
          <w:lang w:val="en-US" w:eastAsia="zh-CN"/>
        </w:rPr>
        <w:t>年中</w:t>
      </w:r>
      <w:r>
        <w:rPr>
          <w:rFonts w:hint="default" w:ascii="Times New Roman" w:hAnsi="Times New Roman" w:eastAsia="仿宋_GB2312" w:cs="Times New Roman"/>
          <w:b w:val="0"/>
          <w:sz w:val="32"/>
          <w:szCs w:val="32"/>
        </w:rPr>
        <w:t>退休2人</w:t>
      </w:r>
      <w:r>
        <w:rPr>
          <w:rFonts w:hint="default" w:ascii="Times New Roman" w:hAnsi="Times New Roman" w:eastAsia="仿宋_GB2312" w:cs="Times New Roman"/>
          <w:b w:val="0"/>
          <w:sz w:val="32"/>
          <w:szCs w:val="32"/>
          <w:lang w:eastAsia="zh-CN"/>
        </w:rPr>
        <w:t>，</w:t>
      </w:r>
      <w:r>
        <w:rPr>
          <w:rFonts w:hint="default" w:ascii="Times New Roman" w:hAnsi="Times New Roman" w:eastAsia="仿宋_GB2312" w:cs="Times New Roman"/>
          <w:b w:val="0"/>
          <w:sz w:val="32"/>
          <w:szCs w:val="32"/>
          <w:lang w:val="en-US" w:eastAsia="zh-CN"/>
        </w:rPr>
        <w:t>调减机关事业单位基本养老保险缴费、事业单位医疗、公务员医疗补助、住房公积金及基本工资等支出预算</w:t>
      </w:r>
      <w:r>
        <w:rPr>
          <w:rFonts w:hint="default" w:ascii="Times New Roman" w:hAnsi="Times New Roman" w:eastAsia="仿宋_GB2312" w:cs="Times New Roman"/>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2"/>
        <w:rPr>
          <w:rFonts w:hint="default" w:ascii="Times New Roman" w:hAnsi="Times New Roman" w:eastAsia="黑体" w:cs="Times New Roman"/>
          <w:b w:val="0"/>
          <w:bCs/>
          <w:sz w:val="32"/>
          <w:szCs w:val="32"/>
        </w:rPr>
      </w:pPr>
      <w:r>
        <w:rPr>
          <w:rFonts w:hint="default" w:ascii="Times New Roman" w:hAnsi="Times New Roman" w:eastAsia="黑体" w:cs="Times New Roman"/>
          <w:b w:val="0"/>
          <w:bCs/>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社会保障和就业支出（类）53.79万元，占6.14%。</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卫生健康支出（类）16.17万元，占1.84%。</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农林水支出（类）794.59万元，占90.65%。</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住房保障支出（类）11.97万元，占1.37%。</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2"/>
        <w:rPr>
          <w:rFonts w:hint="default" w:ascii="Times New Roman" w:hAnsi="Times New Roman" w:eastAsia="黑体" w:cs="Times New Roman"/>
          <w:b w:val="0"/>
          <w:bCs/>
          <w:sz w:val="32"/>
          <w:szCs w:val="32"/>
        </w:rPr>
      </w:pPr>
      <w:r>
        <w:rPr>
          <w:rFonts w:hint="default" w:ascii="Times New Roman" w:hAnsi="Times New Roman" w:eastAsia="黑体" w:cs="Times New Roman"/>
          <w:b w:val="0"/>
          <w:bCs/>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b w:val="0"/>
          <w:sz w:val="32"/>
          <w:szCs w:val="32"/>
        </w:rPr>
      </w:pPr>
      <w:r>
        <w:rPr>
          <w:rFonts w:hint="default" w:ascii="Times New Roman" w:hAnsi="Times New Roman" w:eastAsia="仿宋_GB2312" w:cs="Times New Roman"/>
          <w:b w:val="0"/>
          <w:sz w:val="32"/>
          <w:szCs w:val="32"/>
        </w:rPr>
        <w:t>1、社会保障和就业支出（类）行政事业单位养老支出（款）事业单位离退休（项）：支出决算数为18.16万元，比上年决算增加0.13万元，增长0.72%，主要原因是：</w:t>
      </w:r>
      <w:r>
        <w:rPr>
          <w:rFonts w:hint="default" w:ascii="Times New Roman" w:hAnsi="Times New Roman" w:eastAsia="仿宋_GB2312" w:cs="Times New Roman"/>
          <w:b w:val="0"/>
          <w:sz w:val="32"/>
          <w:szCs w:val="32"/>
          <w:lang w:val="en-US" w:eastAsia="zh-CN"/>
        </w:rPr>
        <w:t>本年增加退休人员2人，退休费增加。</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b w:val="0"/>
          <w:sz w:val="32"/>
          <w:szCs w:val="32"/>
        </w:rPr>
      </w:pPr>
      <w:r>
        <w:rPr>
          <w:rFonts w:hint="default" w:ascii="Times New Roman" w:hAnsi="Times New Roman" w:eastAsia="仿宋_GB2312" w:cs="Times New Roman"/>
          <w:b w:val="0"/>
          <w:sz w:val="32"/>
          <w:szCs w:val="32"/>
        </w:rPr>
        <w:t>2、社会保障和就业支出（类）行政事业单位养老支出（款）机关事业单位基本养老保险缴费支出（项）：支出决算数为16.14万元，比上年决算减少3.87万元，下降19.34%，主要原因是：</w:t>
      </w:r>
      <w:r>
        <w:rPr>
          <w:rFonts w:hint="default" w:ascii="Times New Roman" w:hAnsi="Times New Roman" w:eastAsia="仿宋_GB2312" w:cs="Times New Roman"/>
          <w:b w:val="0"/>
          <w:sz w:val="32"/>
          <w:szCs w:val="32"/>
          <w:lang w:val="en-US" w:eastAsia="zh-CN"/>
        </w:rPr>
        <w:t>在职人员减少2人，机关事业单位基本养老保险缴费支出减少。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val="0"/>
          <w:sz w:val="32"/>
          <w:szCs w:val="32"/>
        </w:rPr>
        <w:t>3、社会保障和就业支出（类）行政事业单位养老支出（款）机关事业单位职业年金缴费支出（项）：支出决算数为19.49万元，比上年决算增加13.96万元，增长252.44%，主要原因是：</w:t>
      </w:r>
      <w:r>
        <w:rPr>
          <w:rFonts w:hint="default" w:ascii="Times New Roman" w:hAnsi="Times New Roman" w:eastAsia="仿宋_GB2312" w:cs="Times New Roman"/>
          <w:b w:val="0"/>
          <w:sz w:val="32"/>
          <w:szCs w:val="32"/>
          <w:lang w:val="en-US" w:eastAsia="zh-CN"/>
        </w:rPr>
        <w:t>本年增加退休人员2人，</w:t>
      </w:r>
      <w:r>
        <w:rPr>
          <w:rFonts w:hint="default" w:ascii="Times New Roman" w:hAnsi="Times New Roman" w:eastAsia="仿宋_GB2312" w:cs="Times New Roman"/>
          <w:b w:val="0"/>
          <w:sz w:val="32"/>
          <w:szCs w:val="32"/>
        </w:rPr>
        <w:t>机关事业单位职业年金缴费支出</w:t>
      </w:r>
      <w:r>
        <w:rPr>
          <w:rFonts w:hint="default" w:ascii="Times New Roman" w:hAnsi="Times New Roman" w:eastAsia="仿宋_GB2312" w:cs="Times New Roman"/>
          <w:b w:val="0"/>
          <w:sz w:val="32"/>
          <w:szCs w:val="32"/>
          <w:lang w:val="en-US" w:eastAsia="zh-CN"/>
        </w:rPr>
        <w:t>增加。</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b w:val="0"/>
          <w:sz w:val="32"/>
          <w:szCs w:val="32"/>
          <w:lang w:val="en-US" w:eastAsia="zh-CN"/>
        </w:rPr>
      </w:pPr>
      <w:r>
        <w:rPr>
          <w:rFonts w:hint="default" w:ascii="Times New Roman" w:hAnsi="Times New Roman" w:eastAsia="仿宋_GB2312" w:cs="Times New Roman"/>
          <w:b w:val="0"/>
          <w:sz w:val="32"/>
          <w:szCs w:val="32"/>
        </w:rPr>
        <w:t>4、卫生健康支出（类）行政事业单位医疗（款）事业单位医疗（项）：支出决算数为8.54万元，比上年决算减少1.50万元，下降14.94%，主要原因是：</w:t>
      </w:r>
      <w:r>
        <w:rPr>
          <w:rFonts w:hint="default" w:ascii="Times New Roman" w:hAnsi="Times New Roman" w:eastAsia="仿宋_GB2312" w:cs="Times New Roman"/>
          <w:b w:val="0"/>
          <w:sz w:val="32"/>
          <w:szCs w:val="32"/>
          <w:lang w:val="en-US" w:eastAsia="zh-CN"/>
        </w:rPr>
        <w:t>在职人员减少2人，事业单位医疗支出减少。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Times New Roman" w:hAnsi="Times New Roman" w:eastAsia="仿宋_GB2312" w:cs="Times New Roman"/>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b w:val="0"/>
          <w:sz w:val="32"/>
          <w:szCs w:val="32"/>
          <w:lang w:val="en-US" w:eastAsia="zh-CN"/>
        </w:rPr>
      </w:pPr>
      <w:r>
        <w:rPr>
          <w:rFonts w:hint="default" w:ascii="Times New Roman" w:hAnsi="Times New Roman" w:eastAsia="仿宋_GB2312" w:cs="Times New Roman"/>
          <w:b w:val="0"/>
          <w:sz w:val="32"/>
          <w:szCs w:val="32"/>
        </w:rPr>
        <w:t>5、卫生健康支出（类）行政事业单位医疗（款）公务员医疗补助（项）：支出决算数为7.63万元，比上年决算减少1.74万元，下降18.57%，主要原因是：</w:t>
      </w:r>
      <w:r>
        <w:rPr>
          <w:rFonts w:hint="default" w:ascii="Times New Roman" w:hAnsi="Times New Roman" w:eastAsia="仿宋_GB2312" w:cs="Times New Roman"/>
          <w:b w:val="0"/>
          <w:sz w:val="32"/>
          <w:szCs w:val="32"/>
          <w:lang w:val="en-US" w:eastAsia="zh-CN"/>
        </w:rPr>
        <w:t>在职人员减少2人，</w:t>
      </w:r>
      <w:r>
        <w:rPr>
          <w:rFonts w:hint="default" w:ascii="Times New Roman" w:hAnsi="Times New Roman" w:eastAsia="仿宋_GB2312" w:cs="Times New Roman"/>
          <w:b w:val="0"/>
          <w:sz w:val="32"/>
          <w:szCs w:val="32"/>
        </w:rPr>
        <w:t>公务员医疗补助</w:t>
      </w:r>
      <w:r>
        <w:rPr>
          <w:rFonts w:hint="default" w:ascii="Times New Roman" w:hAnsi="Times New Roman" w:eastAsia="仿宋_GB2312" w:cs="Times New Roman"/>
          <w:b w:val="0"/>
          <w:sz w:val="32"/>
          <w:szCs w:val="32"/>
          <w:lang w:val="en-US" w:eastAsia="zh-CN"/>
        </w:rPr>
        <w:t>支出减少。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b w:val="0"/>
          <w:sz w:val="32"/>
          <w:szCs w:val="32"/>
        </w:rPr>
      </w:pPr>
      <w:r>
        <w:rPr>
          <w:rFonts w:hint="default" w:ascii="Times New Roman" w:hAnsi="Times New Roman" w:eastAsia="仿宋_GB2312" w:cs="Times New Roman"/>
          <w:b w:val="0"/>
          <w:sz w:val="32"/>
          <w:szCs w:val="32"/>
        </w:rPr>
        <w:t>6、农林水支出（类）农业农村（款）事业运行（项）：支出决算数为137.13万元，比上年决算减少40.42万元，下降22.77%，主要原因是：</w:t>
      </w:r>
      <w:r>
        <w:rPr>
          <w:rFonts w:hint="default" w:ascii="Times New Roman" w:hAnsi="Times New Roman" w:eastAsia="仿宋_GB2312" w:cs="Times New Roman"/>
          <w:b w:val="0"/>
          <w:sz w:val="32"/>
          <w:szCs w:val="32"/>
          <w:lang w:val="en-US" w:eastAsia="zh-CN"/>
        </w:rPr>
        <w:t>在职人员减少2人，人员经费及公用经费减少。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val="0"/>
          <w:sz w:val="32"/>
          <w:szCs w:val="32"/>
        </w:rPr>
        <w:t>7、农林水支出（类）农业农村（款）农业生产发展（项）：支出决算数为657.46万元，比上年决算减少1,197.73万元，下降64.56%，主要原因是：本年度农机信息化综合服务平台项目资金减少</w:t>
      </w:r>
      <w:r>
        <w:rPr>
          <w:rFonts w:hint="default" w:ascii="Times New Roman" w:hAnsi="Times New Roman" w:eastAsia="仿宋_GB2312" w:cs="Times New Roman"/>
          <w:b w:val="0"/>
          <w:sz w:val="32"/>
          <w:szCs w:val="32"/>
          <w:lang w:eastAsia="zh-CN"/>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8、住房保障支出（类）住房改革支出（款）住房公积金（项）：支出决算数为11.97万元，比上年决算减少4.09万元，下降25.47%，主要原因是：</w:t>
      </w:r>
      <w:r>
        <w:rPr>
          <w:rFonts w:hint="default" w:ascii="Times New Roman" w:hAnsi="Times New Roman" w:eastAsia="仿宋_GB2312" w:cs="Times New Roman"/>
          <w:b w:val="0"/>
          <w:sz w:val="32"/>
          <w:szCs w:val="32"/>
          <w:lang w:val="en-US" w:eastAsia="zh-CN"/>
        </w:rPr>
        <w:t>在职人员减少2人，</w:t>
      </w:r>
      <w:r>
        <w:rPr>
          <w:rFonts w:hint="default" w:ascii="Times New Roman" w:hAnsi="Times New Roman" w:eastAsia="仿宋_GB2312" w:cs="Times New Roman"/>
          <w:b w:val="0"/>
          <w:sz w:val="32"/>
          <w:szCs w:val="32"/>
        </w:rPr>
        <w:t>住房公积金</w:t>
      </w:r>
      <w:r>
        <w:rPr>
          <w:rFonts w:hint="default" w:ascii="Times New Roman" w:hAnsi="Times New Roman" w:eastAsia="仿宋_GB2312" w:cs="Times New Roman"/>
          <w:b w:val="0"/>
          <w:sz w:val="32"/>
          <w:szCs w:val="32"/>
          <w:lang w:val="en-US" w:eastAsia="zh-CN"/>
        </w:rPr>
        <w:t>支出减少。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2024年度一般公共预算财政拨款基本支出219.06万元，其中：人员经费203.60万元，包括：基本工资、津贴补贴、奖金、机关事业单位基本养老保险缴费、职业年金缴费、职工基本医疗保险缴费、公务员医疗补助缴费、其他社会保障缴费、住房公积金、退休费和奖励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公用经费15.46万元，包括：办公费、手续费、电费、邮电费、劳务费、工会经费、福利费、其他交通费用和其他商品和服务支出。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本单位本年度无政府性基金预算财政拨款收入、支出及结转和结余，政府性基金预算财政拨款收入支出决算表为空表。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本单位本年度无国有资本经营预算财政拨款收入、支出及结转和结余，国有资本经营预算财政拨款收入支出决算表为空表。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b w:val="0"/>
          <w:sz w:val="32"/>
          <w:szCs w:val="32"/>
        </w:rPr>
      </w:pPr>
      <w:r>
        <w:rPr>
          <w:rFonts w:hint="default" w:ascii="Times New Roman" w:hAnsi="Times New Roman" w:eastAsia="仿宋_GB2312" w:cs="Times New Roman"/>
          <w:b w:val="0"/>
          <w:sz w:val="32"/>
          <w:szCs w:val="32"/>
        </w:rPr>
        <w:t>2024年度财政拨款“三公”经费支出0.00万元，与上年相比无变化，主要原因是：</w:t>
      </w:r>
      <w:r>
        <w:rPr>
          <w:rFonts w:hint="default" w:ascii="Times New Roman" w:hAnsi="Times New Roman" w:eastAsia="仿宋_GB2312" w:cs="Times New Roman"/>
          <w:b w:val="0"/>
          <w:sz w:val="32"/>
          <w:szCs w:val="32"/>
          <w:lang w:val="en-US" w:eastAsia="zh-CN"/>
        </w:rPr>
        <w:t>我单位无财政拨款“三公”经费支出</w:t>
      </w:r>
      <w:r>
        <w:rPr>
          <w:rFonts w:hint="default" w:ascii="Times New Roman" w:hAnsi="Times New Roman" w:eastAsia="仿宋_GB2312" w:cs="Times New Roman"/>
          <w:b w:val="0"/>
          <w:sz w:val="32"/>
          <w:szCs w:val="32"/>
        </w:rPr>
        <w:t>。其中：因公出国（境）费支出0.00万元,占0.00%，与上年相比无变化，主要原因是：</w:t>
      </w:r>
      <w:r>
        <w:rPr>
          <w:rFonts w:hint="default" w:ascii="Times New Roman" w:hAnsi="Times New Roman" w:eastAsia="仿宋_GB2312" w:cs="Times New Roman"/>
          <w:b w:val="0"/>
          <w:sz w:val="32"/>
          <w:szCs w:val="32"/>
          <w:lang w:val="en-US" w:eastAsia="zh-CN"/>
        </w:rPr>
        <w:t>我单位无因公出国（境）费</w:t>
      </w:r>
      <w:r>
        <w:rPr>
          <w:rFonts w:hint="default" w:ascii="Times New Roman" w:hAnsi="Times New Roman" w:eastAsia="仿宋_GB2312" w:cs="Times New Roman"/>
          <w:b w:val="0"/>
          <w:sz w:val="32"/>
          <w:szCs w:val="32"/>
        </w:rPr>
        <w:t>；公务用车购置及运行维护费支出0.00万元，占0.00%，与上年相比无变化，主要原因是：</w:t>
      </w:r>
      <w:r>
        <w:rPr>
          <w:rFonts w:hint="default" w:ascii="Times New Roman" w:hAnsi="Times New Roman" w:eastAsia="仿宋_GB2312" w:cs="Times New Roman"/>
          <w:b w:val="0"/>
          <w:sz w:val="32"/>
          <w:szCs w:val="32"/>
          <w:lang w:val="en-US" w:eastAsia="zh-CN"/>
        </w:rPr>
        <w:t>我单位无公务用车购置及运行维护费</w:t>
      </w:r>
      <w:r>
        <w:rPr>
          <w:rFonts w:hint="default" w:ascii="Times New Roman" w:hAnsi="Times New Roman" w:eastAsia="仿宋_GB2312" w:cs="Times New Roman"/>
          <w:b w:val="0"/>
          <w:sz w:val="32"/>
          <w:szCs w:val="32"/>
        </w:rPr>
        <w:t>；公务接待费支出0.00万元，占0.00%，与上年相比无变化，主要原因是：</w:t>
      </w:r>
      <w:r>
        <w:rPr>
          <w:rFonts w:hint="default" w:ascii="Times New Roman" w:hAnsi="Times New Roman" w:eastAsia="仿宋_GB2312" w:cs="Times New Roman"/>
          <w:b w:val="0"/>
          <w:sz w:val="32"/>
          <w:szCs w:val="32"/>
          <w:lang w:val="en-US" w:eastAsia="zh-CN"/>
        </w:rPr>
        <w:t>我单位无公务接待费支出</w:t>
      </w:r>
      <w:r>
        <w:rPr>
          <w:rFonts w:hint="default" w:ascii="Times New Roman" w:hAnsi="Times New Roman" w:eastAsia="仿宋_GB2312" w:cs="Times New Roman"/>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具体情况如下：</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b w:val="0"/>
          <w:sz w:val="32"/>
          <w:szCs w:val="32"/>
        </w:rPr>
      </w:pPr>
      <w:r>
        <w:rPr>
          <w:rFonts w:hint="default" w:ascii="Times New Roman" w:hAnsi="Times New Roman" w:eastAsia="仿宋_GB2312" w:cs="Times New Roman"/>
          <w:b w:val="0"/>
          <w:sz w:val="32"/>
          <w:szCs w:val="32"/>
        </w:rPr>
        <w:t>因公出国（境）费支出0.00万元，开支内容包括</w:t>
      </w:r>
      <w:r>
        <w:rPr>
          <w:rFonts w:hint="default" w:ascii="Times New Roman" w:hAnsi="Times New Roman" w:eastAsia="仿宋_GB2312" w:cs="Times New Roman"/>
          <w:b w:val="0"/>
          <w:sz w:val="32"/>
          <w:szCs w:val="32"/>
          <w:lang w:val="en-US" w:eastAsia="zh-CN"/>
        </w:rPr>
        <w:t>我单位无因公出国（境）费</w:t>
      </w:r>
      <w:r>
        <w:rPr>
          <w:rFonts w:hint="default" w:ascii="Times New Roman" w:hAnsi="Times New Roman" w:eastAsia="仿宋_GB2312" w:cs="Times New Roman"/>
          <w:b w:val="0"/>
          <w:sz w:val="32"/>
          <w:szCs w:val="32"/>
        </w:rPr>
        <w:t>。单位全年安排的因公出国（境）团组0个，因公出国（境）0人次。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b w:val="0"/>
          <w:sz w:val="32"/>
          <w:szCs w:val="32"/>
        </w:rPr>
      </w:pPr>
      <w:r>
        <w:rPr>
          <w:rFonts w:hint="default" w:ascii="Times New Roman" w:hAnsi="Times New Roman" w:eastAsia="仿宋_GB2312" w:cs="Times New Roman"/>
          <w:b w:val="0"/>
          <w:sz w:val="32"/>
          <w:szCs w:val="32"/>
        </w:rPr>
        <w:t>公务用车购置及运行维护费0.00万元，其中：公务用车购置费0.00万元，公务用车运行维护费0.00万元。公务用车运行维护费开支内容包括</w:t>
      </w:r>
      <w:r>
        <w:rPr>
          <w:rFonts w:hint="default" w:ascii="Times New Roman" w:hAnsi="Times New Roman" w:eastAsia="仿宋_GB2312" w:cs="Times New Roman"/>
          <w:b w:val="0"/>
          <w:sz w:val="32"/>
          <w:szCs w:val="32"/>
          <w:lang w:val="en-US" w:eastAsia="zh-CN"/>
        </w:rPr>
        <w:t>我单位无公务用车运行维护费</w:t>
      </w:r>
      <w:r>
        <w:rPr>
          <w:rFonts w:hint="default" w:ascii="Times New Roman" w:hAnsi="Times New Roman" w:eastAsia="仿宋_GB2312" w:cs="Times New Roman"/>
          <w:b w:val="0"/>
          <w:sz w:val="32"/>
          <w:szCs w:val="32"/>
        </w:rPr>
        <w:t>。公务用车购置数0辆，公务用车保有量0辆。国有资产占用情况中固定资产车辆3辆，与公务用车保有量差异原因是：</w:t>
      </w:r>
      <w:r>
        <w:rPr>
          <w:rFonts w:hint="default" w:ascii="Times New Roman" w:hAnsi="Times New Roman" w:eastAsia="仿宋_GB2312" w:cs="Times New Roman"/>
          <w:b w:val="0"/>
          <w:sz w:val="32"/>
          <w:szCs w:val="32"/>
          <w:lang w:val="en-US" w:eastAsia="zh-CN"/>
        </w:rPr>
        <w:t>国有资产情况表中车辆是单位业务用车，</w:t>
      </w:r>
      <w:bookmarkStart w:id="0" w:name="_GoBack"/>
      <w:bookmarkEnd w:id="0"/>
      <w:r>
        <w:rPr>
          <w:rFonts w:hint="default" w:ascii="Times New Roman" w:hAnsi="Times New Roman" w:eastAsia="仿宋_GB2312" w:cs="Times New Roman"/>
          <w:b w:val="0"/>
          <w:sz w:val="32"/>
          <w:szCs w:val="32"/>
          <w:lang w:val="en-US" w:eastAsia="zh-CN"/>
        </w:rPr>
        <w:t>车辆经费由机关统一管理支出，故与公务用车保有量差异</w:t>
      </w:r>
      <w:r>
        <w:rPr>
          <w:rFonts w:hint="default" w:ascii="Times New Roman" w:hAnsi="Times New Roman" w:eastAsia="仿宋_GB2312" w:cs="Times New Roman"/>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b w:val="0"/>
          <w:sz w:val="32"/>
          <w:szCs w:val="32"/>
        </w:rPr>
      </w:pPr>
      <w:r>
        <w:rPr>
          <w:rFonts w:hint="default" w:ascii="Times New Roman" w:hAnsi="Times New Roman" w:eastAsia="仿宋_GB2312" w:cs="Times New Roman"/>
          <w:b w:val="0"/>
          <w:sz w:val="32"/>
          <w:szCs w:val="32"/>
        </w:rPr>
        <w:t>公务接待费0.00万元，开支内容包括</w:t>
      </w:r>
      <w:r>
        <w:rPr>
          <w:rFonts w:hint="default" w:ascii="Times New Roman" w:hAnsi="Times New Roman" w:eastAsia="仿宋_GB2312" w:cs="Times New Roman"/>
          <w:b w:val="0"/>
          <w:sz w:val="32"/>
          <w:szCs w:val="32"/>
          <w:lang w:val="en-US" w:eastAsia="zh-CN"/>
        </w:rPr>
        <w:t>我单位无公务接待费支出</w:t>
      </w:r>
      <w:r>
        <w:rPr>
          <w:rFonts w:hint="default" w:ascii="Times New Roman" w:hAnsi="Times New Roman" w:eastAsia="仿宋_GB2312" w:cs="Times New Roman"/>
          <w:b w:val="0"/>
          <w:sz w:val="32"/>
          <w:szCs w:val="32"/>
        </w:rPr>
        <w:t>。单位全年安排的国内公务接待0批次，0人次。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b w:val="0"/>
          <w:sz w:val="32"/>
          <w:szCs w:val="32"/>
        </w:rPr>
      </w:pPr>
      <w:r>
        <w:rPr>
          <w:rFonts w:hint="default" w:ascii="Times New Roman" w:hAnsi="Times New Roman" w:eastAsia="仿宋_GB2312" w:cs="Times New Roman"/>
          <w:b w:val="0"/>
          <w:sz w:val="32"/>
          <w:szCs w:val="32"/>
        </w:rPr>
        <w:t>与全年预算相比，财政拨款“三公”经费支出全年预算数0.00万元，决算数0.00万元，预决算差异率0.00%，主要原因是：</w:t>
      </w:r>
      <w:r>
        <w:rPr>
          <w:rFonts w:hint="default" w:ascii="Times New Roman" w:hAnsi="Times New Roman" w:eastAsia="仿宋_GB2312" w:cs="Times New Roman"/>
          <w:b w:val="0"/>
          <w:sz w:val="32"/>
          <w:szCs w:val="32"/>
          <w:lang w:val="en-US" w:eastAsia="zh-CN"/>
        </w:rPr>
        <w:t>我单位无财政拨款“三公”经费支出</w:t>
      </w:r>
      <w:r>
        <w:rPr>
          <w:rFonts w:hint="default" w:ascii="Times New Roman" w:hAnsi="Times New Roman" w:eastAsia="仿宋_GB2312" w:cs="Times New Roman"/>
          <w:b w:val="0"/>
          <w:sz w:val="32"/>
          <w:szCs w:val="32"/>
        </w:rPr>
        <w:t>。其中：因公出国（境）费全年预算数0.00万元，决算数0.00万元，预决算差异率0.00%，主要原因是：</w:t>
      </w:r>
      <w:r>
        <w:rPr>
          <w:rFonts w:hint="default" w:ascii="Times New Roman" w:hAnsi="Times New Roman" w:eastAsia="仿宋_GB2312" w:cs="Times New Roman"/>
          <w:b w:val="0"/>
          <w:sz w:val="32"/>
          <w:szCs w:val="32"/>
          <w:lang w:val="en-US" w:eastAsia="zh-CN"/>
        </w:rPr>
        <w:t>我单位无因公出国（境）费</w:t>
      </w:r>
      <w:r>
        <w:rPr>
          <w:rFonts w:hint="default" w:ascii="Times New Roman" w:hAnsi="Times New Roman" w:eastAsia="仿宋_GB2312" w:cs="Times New Roman"/>
          <w:b w:val="0"/>
          <w:sz w:val="32"/>
          <w:szCs w:val="32"/>
        </w:rPr>
        <w:t>；公务用车购置费全年预算数0.00万元，决算数0.00万元，预决算差异率0.00%，主要原因是：</w:t>
      </w:r>
      <w:r>
        <w:rPr>
          <w:rFonts w:hint="default" w:ascii="Times New Roman" w:hAnsi="Times New Roman" w:eastAsia="仿宋_GB2312" w:cs="Times New Roman"/>
          <w:b w:val="0"/>
          <w:sz w:val="32"/>
          <w:szCs w:val="32"/>
          <w:lang w:val="en-US" w:eastAsia="zh-CN"/>
        </w:rPr>
        <w:t>我单位无公务用车购置费</w:t>
      </w:r>
      <w:r>
        <w:rPr>
          <w:rFonts w:hint="default" w:ascii="Times New Roman" w:hAnsi="Times New Roman" w:eastAsia="仿宋_GB2312" w:cs="Times New Roman"/>
          <w:b w:val="0"/>
          <w:sz w:val="32"/>
          <w:szCs w:val="32"/>
        </w:rPr>
        <w:t>；公务用车运行维护费全年预算数0.00万元，决算数0.00万元，预决算差异率0.00%，主要原因是：</w:t>
      </w:r>
      <w:r>
        <w:rPr>
          <w:rFonts w:hint="default" w:ascii="Times New Roman" w:hAnsi="Times New Roman" w:eastAsia="仿宋_GB2312" w:cs="Times New Roman"/>
          <w:b w:val="0"/>
          <w:sz w:val="32"/>
          <w:szCs w:val="32"/>
          <w:lang w:val="en-US" w:eastAsia="zh-CN"/>
        </w:rPr>
        <w:t>我单位无公务用车运行维护费</w:t>
      </w:r>
      <w:r>
        <w:rPr>
          <w:rFonts w:hint="default" w:ascii="Times New Roman" w:hAnsi="Times New Roman" w:eastAsia="仿宋_GB2312" w:cs="Times New Roman"/>
          <w:b w:val="0"/>
          <w:sz w:val="32"/>
          <w:szCs w:val="32"/>
        </w:rPr>
        <w:t>；公务接待费全年预算数0.00万元，决算数0.00万元，预决算差异率0.00%，主要原因是：</w:t>
      </w:r>
      <w:r>
        <w:rPr>
          <w:rFonts w:hint="default" w:ascii="Times New Roman" w:hAnsi="Times New Roman" w:eastAsia="仿宋_GB2312" w:cs="Times New Roman"/>
          <w:b w:val="0"/>
          <w:sz w:val="32"/>
          <w:szCs w:val="32"/>
          <w:lang w:val="en-US" w:eastAsia="zh-CN"/>
        </w:rPr>
        <w:t>我单位无公务接待费</w:t>
      </w:r>
      <w:r>
        <w:rPr>
          <w:rFonts w:hint="default" w:ascii="Times New Roman" w:hAnsi="Times New Roman" w:eastAsia="仿宋_GB2312" w:cs="Times New Roman"/>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2"/>
        <w:rPr>
          <w:rFonts w:hint="default" w:ascii="Times New Roman" w:hAnsi="Times New Roman" w:eastAsia="黑体" w:cs="Times New Roman"/>
          <w:b w:val="0"/>
          <w:bCs/>
          <w:sz w:val="32"/>
          <w:szCs w:val="32"/>
        </w:rPr>
      </w:pPr>
      <w:r>
        <w:rPr>
          <w:rFonts w:hint="default" w:ascii="Times New Roman" w:hAnsi="Times New Roman" w:eastAsia="黑体" w:cs="Times New Roman"/>
          <w:b w:val="0"/>
          <w:bCs/>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2024年度新疆维吾尔自治区农业机械化信息中心单位​（事业单位）公用经费支出15.46万元，比上年减少9.20万元，下降37.31%，主要原因是：</w:t>
      </w:r>
      <w:r>
        <w:rPr>
          <w:rFonts w:hint="default" w:ascii="Times New Roman" w:hAnsi="Times New Roman" w:eastAsia="仿宋_GB2312" w:cs="Times New Roman"/>
          <w:b w:val="0"/>
          <w:sz w:val="32"/>
          <w:szCs w:val="32"/>
          <w:lang w:val="en-US" w:eastAsia="zh-CN"/>
        </w:rPr>
        <w:t>在职人员减少2人，办公费、差旅费支出较上年减少</w:t>
      </w:r>
      <w:r>
        <w:rPr>
          <w:rFonts w:hint="default" w:ascii="Times New Roman" w:hAnsi="Times New Roman" w:eastAsia="仿宋_GB2312" w:cs="Times New Roman"/>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2"/>
        <w:rPr>
          <w:rFonts w:hint="default" w:ascii="Times New Roman" w:hAnsi="Times New Roman" w:eastAsia="黑体" w:cs="Times New Roman"/>
          <w:b w:val="0"/>
          <w:bCs/>
          <w:sz w:val="32"/>
          <w:szCs w:val="32"/>
        </w:rPr>
      </w:pPr>
      <w:r>
        <w:rPr>
          <w:rFonts w:hint="default" w:ascii="Times New Roman" w:hAnsi="Times New Roman" w:eastAsia="黑体" w:cs="Times New Roman"/>
          <w:b w:val="0"/>
          <w:bCs/>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2024年度政府采购支出总额8.32万元，其中：政府采购货物支出1.21万元、政府采购工程支出0.00万元、政府采购服务支出7.11万元。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授予中小企业合同金额8.32万元，占政府采购支出总额的100.00%，其中：授予小微企业合同金额4.12万元，占政府采购支出总额的49.52%。</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2"/>
        <w:rPr>
          <w:rFonts w:hint="default" w:ascii="Times New Roman" w:hAnsi="Times New Roman" w:eastAsia="黑体" w:cs="Times New Roman"/>
          <w:b w:val="0"/>
          <w:bCs/>
          <w:sz w:val="32"/>
          <w:szCs w:val="32"/>
        </w:rPr>
      </w:pPr>
      <w:r>
        <w:rPr>
          <w:rFonts w:hint="default" w:ascii="Times New Roman" w:hAnsi="Times New Roman" w:eastAsia="黑体" w:cs="Times New Roman"/>
          <w:b w:val="0"/>
          <w:bCs/>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b w:val="0"/>
          <w:sz w:val="32"/>
          <w:szCs w:val="32"/>
        </w:rPr>
      </w:pPr>
      <w:r>
        <w:rPr>
          <w:rFonts w:hint="default" w:ascii="Times New Roman" w:hAnsi="Times New Roman" w:eastAsia="仿宋_GB2312" w:cs="Times New Roman"/>
          <w:b w:val="0"/>
          <w:sz w:val="32"/>
          <w:szCs w:val="32"/>
        </w:rPr>
        <w:t>截至2024年12月31日，房屋0.00平方米，价值0.00万元。车辆3辆，价值48.27万元，其中：副部（省）级及以上领导用车0辆、主要负责人用车0辆、机要通信用车0辆、应急保障用车0辆、执法执勤用车0辆、特种专业技术用车2辆、离退休干部服务用车0辆、其他用车1辆，其他用车主要是：</w:t>
      </w:r>
      <w:r>
        <w:rPr>
          <w:rFonts w:hint="default" w:ascii="Times New Roman" w:hAnsi="Times New Roman" w:eastAsia="仿宋_GB2312" w:cs="Times New Roman"/>
          <w:b w:val="0"/>
          <w:sz w:val="32"/>
          <w:szCs w:val="32"/>
          <w:lang w:val="en-US" w:eastAsia="zh-CN"/>
        </w:rPr>
        <w:t>单位日常业务用车</w:t>
      </w:r>
      <w:r>
        <w:rPr>
          <w:rFonts w:hint="default" w:ascii="Times New Roman" w:hAnsi="Times New Roman" w:eastAsia="仿宋_GB2312" w:cs="Times New Roman"/>
          <w:b w:val="0"/>
          <w:sz w:val="32"/>
          <w:szCs w:val="32"/>
        </w:rPr>
        <w:t>;单价100万元（含）以上设备（不含车辆）0台（套）。</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十一、预算绩效的情况说明</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仿宋_GB2312" w:cs="Times New Roman"/>
          <w:color w:val="auto"/>
          <w:kern w:val="0"/>
          <w:sz w:val="32"/>
          <w:szCs w:val="32"/>
          <w:highlight w:val="none"/>
          <w:lang w:val="en-US" w:eastAsia="zh-Hans"/>
        </w:rPr>
      </w:pPr>
      <w:r>
        <w:rPr>
          <w:rFonts w:hint="default" w:ascii="Times New Roman" w:hAnsi="Times New Roman" w:eastAsia="仿宋_GB2312" w:cs="Times New Roman"/>
          <w:sz w:val="32"/>
          <w:szCs w:val="32"/>
          <w:highlight w:val="none"/>
          <w:lang w:eastAsia="zh-CN"/>
        </w:rPr>
        <w:t>根据预算绩效管理要求，本单位2024年度预算绩效评价项目</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个，全年预算数60.00万元，全年执行数60.00万元。预算绩效管理取得的成效：一是严格坚持先做事、后验收、再拨付的原则，基本杜绝了资金被挤占和挪用现象的发生，跟踪检查到位。财政、纪检、监察等职能部门全面参与专项资金事前、事中和事后全过程的监管；二是在监督环节上，实行关口前移，从事后监督管理转向事前审核，事中监督和事后检查稽核相结合的监督制度上来，形成多环节全过程的监督管理格局，尽量早发现问题，早解决问题。发现的问题及原因：一是作为实施预算绩效管理的主体，对绩效预算认识不够充分，绩效理念有待进一步强化，业务人员业务能力和素质还有待进一步提升；二是预算绩效目标考核指标体系不尽完善，还需进一步细化项目设置的部分绩效指标与项目、专项业务工作实际脱节，对后期绩效监控及评价造成影响。下一步改进措施：</w:t>
      </w:r>
      <w:r>
        <w:rPr>
          <w:rFonts w:hint="default" w:ascii="Times New Roman" w:hAnsi="Times New Roman" w:eastAsia="仿宋_GB2312" w:cs="Times New Roman"/>
          <w:sz w:val="32"/>
          <w:szCs w:val="32"/>
          <w:highlight w:val="none"/>
          <w:lang w:val="en-US" w:eastAsia="zh-CN"/>
        </w:rPr>
        <w:t>一是结合农机化信息工作考核建立绩效工作考核制度，加大全单位对全面实施预算绩效管理和绩效管理工作的学习力度，让“花钱必问效，无效必问责”的理念深入工作每个环节。二是进一步建立健全工作机制，完善内控制度，基本形成科学合理、高效严谨的全面绩效管理制度和体系</w:t>
      </w:r>
      <w:r>
        <w:rPr>
          <w:rFonts w:hint="default" w:ascii="Times New Roman" w:hAnsi="Times New Roman" w:eastAsia="仿宋_GB2312" w:cs="Times New Roman"/>
          <w:sz w:val="32"/>
          <w:szCs w:val="32"/>
          <w:highlight w:val="none"/>
          <w:lang w:eastAsia="zh-CN"/>
        </w:rPr>
        <w:t>。具体附项目支出绩效自评表。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本单位无其他需说明事项。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hint="default" w:ascii="Times New Roman" w:hAnsi="Times New Roman" w:eastAsia="仿宋_GB2312" w:cs="Times New Roman"/>
          <w:sz w:val="32"/>
          <w:szCs w:val="32"/>
        </w:rPr>
      </w:pPr>
    </w:p>
    <w:p>
      <w:pPr>
        <w:keepNext w:val="0"/>
        <w:keepLines w:val="0"/>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cs="Times New Roman"/>
        </w:rPr>
      </w:pPr>
      <w:r>
        <w:rPr>
          <w:rFonts w:hint="default" w:ascii="Times New Roman" w:hAnsi="Times New Roman" w:cs="Times New Roman"/>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第三部分 专业名词解释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一、财政拨款收入：</w:t>
      </w:r>
      <w:r>
        <w:rPr>
          <w:rFonts w:hint="default" w:ascii="Times New Roman" w:hAnsi="Times New Roman" w:eastAsia="仿宋_GB2312" w:cs="Times New Roman"/>
          <w:b w:val="0"/>
          <w:sz w:val="32"/>
          <w:szCs w:val="32"/>
        </w:rPr>
        <w:t>指同级财政当年拨付的资金。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二、上级补助收入：</w:t>
      </w:r>
      <w:r>
        <w:rPr>
          <w:rFonts w:hint="default" w:ascii="Times New Roman" w:hAnsi="Times New Roman" w:eastAsia="仿宋_GB2312" w:cs="Times New Roman"/>
          <w:b w:val="0"/>
          <w:sz w:val="32"/>
          <w:szCs w:val="32"/>
        </w:rPr>
        <w:t>指事业单位从主管部门和上级单位取得的非财政补助收入。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三、事业收入：</w:t>
      </w:r>
      <w:r>
        <w:rPr>
          <w:rFonts w:hint="default" w:ascii="Times New Roman" w:hAnsi="Times New Roman" w:eastAsia="仿宋_GB2312" w:cs="Times New Roman"/>
          <w:b w:val="0"/>
          <w:sz w:val="32"/>
          <w:szCs w:val="32"/>
        </w:rPr>
        <w:t>指事业单位开展专业业务活动及其辅助活动所取得的收入。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四、经营收入：</w:t>
      </w:r>
      <w:r>
        <w:rPr>
          <w:rFonts w:hint="default" w:ascii="Times New Roman" w:hAnsi="Times New Roman" w:eastAsia="仿宋_GB2312" w:cs="Times New Roman"/>
          <w:b w:val="0"/>
          <w:sz w:val="32"/>
          <w:szCs w:val="32"/>
        </w:rPr>
        <w:t>指事业单位在专业业务活动及其辅助活动之外开展非独立核算经营活动取得的收入。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五、附属单位上缴收入：</w:t>
      </w:r>
      <w:r>
        <w:rPr>
          <w:rFonts w:hint="default" w:ascii="Times New Roman" w:hAnsi="Times New Roman" w:eastAsia="仿宋_GB2312" w:cs="Times New Roman"/>
          <w:b w:val="0"/>
          <w:sz w:val="32"/>
          <w:szCs w:val="32"/>
        </w:rPr>
        <w:t>指事业单位附属的独立核算单位按有关规定上缴的收入。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六、其他收入：</w:t>
      </w:r>
      <w:r>
        <w:rPr>
          <w:rFonts w:hint="default" w:ascii="Times New Roman" w:hAnsi="Times New Roman" w:eastAsia="仿宋_GB2312" w:cs="Times New Roman"/>
          <w:b w:val="0"/>
          <w:sz w:val="32"/>
          <w:szCs w:val="32"/>
        </w:rPr>
        <w:t>指除上述“财政拨款收入”、“事业收入”、“经营收入”、“附属单位上缴收入”等之外取得的收入。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七、年初结转和结余：</w:t>
      </w:r>
      <w:r>
        <w:rPr>
          <w:rFonts w:hint="default" w:ascii="Times New Roman" w:hAnsi="Times New Roman" w:eastAsia="仿宋_GB2312" w:cs="Times New Roman"/>
          <w:b w:val="0"/>
          <w:sz w:val="32"/>
          <w:szCs w:val="32"/>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八、年末结转和结余：</w:t>
      </w:r>
      <w:r>
        <w:rPr>
          <w:rFonts w:hint="default" w:ascii="Times New Roman" w:hAnsi="Times New Roman" w:eastAsia="仿宋_GB2312" w:cs="Times New Roman"/>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九、基本支出：</w:t>
      </w:r>
      <w:r>
        <w:rPr>
          <w:rFonts w:hint="default" w:ascii="Times New Roman" w:hAnsi="Times New Roman" w:eastAsia="仿宋_GB2312" w:cs="Times New Roman"/>
          <w:b w:val="0"/>
          <w:sz w:val="32"/>
          <w:szCs w:val="32"/>
        </w:rPr>
        <w:t>指为保障机构正常运转、完成日常工作任务而发生的人员支出和公用支出。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十、项目支出：</w:t>
      </w:r>
      <w:r>
        <w:rPr>
          <w:rFonts w:hint="default" w:ascii="Times New Roman" w:hAnsi="Times New Roman" w:eastAsia="仿宋_GB2312" w:cs="Times New Roman"/>
          <w:b w:val="0"/>
          <w:sz w:val="32"/>
          <w:szCs w:val="32"/>
        </w:rPr>
        <w:t>指在基本支出之外为完成特定行政任务和事业发展目标所发生的支出。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十一、经营支出：</w:t>
      </w:r>
      <w:r>
        <w:rPr>
          <w:rFonts w:hint="default" w:ascii="Times New Roman" w:hAnsi="Times New Roman" w:eastAsia="仿宋_GB2312" w:cs="Times New Roman"/>
          <w:b w:val="0"/>
          <w:sz w:val="32"/>
          <w:szCs w:val="32"/>
        </w:rPr>
        <w:t>指事业单位在专业业务活动及其辅助活动之外开展非独立核算经营活动发生的支出。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十二、对附属单位补助支出：</w:t>
      </w:r>
      <w:r>
        <w:rPr>
          <w:rFonts w:hint="default" w:ascii="Times New Roman" w:hAnsi="Times New Roman" w:eastAsia="仿宋_GB2312" w:cs="Times New Roman"/>
          <w:b w:val="0"/>
          <w:sz w:val="32"/>
          <w:szCs w:val="32"/>
        </w:rPr>
        <w:t>指事业单位发生的用非财政预算资金对附属单位的补助支出。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十三、“三公”经费：</w:t>
      </w:r>
      <w:r>
        <w:rPr>
          <w:rFonts w:hint="default" w:ascii="Times New Roman" w:hAnsi="Times New Roman" w:eastAsia="仿宋_GB2312" w:cs="Times New Roman"/>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十四、机关运行经费：</w:t>
      </w:r>
      <w:r>
        <w:rPr>
          <w:rFonts w:hint="default" w:ascii="Times New Roman" w:hAnsi="Times New Roman" w:eastAsia="仿宋_GB2312" w:cs="Times New Roman"/>
          <w:b w:val="0"/>
          <w:sz w:val="32"/>
          <w:szCs w:val="32"/>
        </w:rPr>
        <w:t>行政单位和参照公务员法管理的事业单位财政拨款基本支出中的公用经费支出。</w:t>
      </w:r>
    </w:p>
    <w:p>
      <w:pPr>
        <w:keepNext w:val="0"/>
        <w:keepLines w:val="0"/>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cs="Times New Roman"/>
        </w:rPr>
      </w:pPr>
      <w:r>
        <w:rPr>
          <w:rFonts w:hint="default" w:ascii="Times New Roman" w:hAnsi="Times New Roman" w:cs="Times New Roman"/>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第四部分 部门决算报表（见附表）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auto"/>
    <w:pitch w:val="default"/>
    <w:sig w:usb0="E00002FF" w:usb1="400004FF" w:usb2="00000000"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isplayHorizontalDrawingGridEvery w:val="1"/>
  <w:displayVerticalDrawingGridEvery w:val="1"/>
  <w:noPunctuationKerning w:val="1"/>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2"/>
    <w:compatSetting w:name="overrideTableStyleFontSizeAndJustification" w:uri="http://schemas.microsoft.com/office/word" w:val="1"/>
  </w:compat>
  <w:docVars>
    <w:docVar w:name="commondata" w:val="eyJoZGlkIjoiNTFlM2IxZTQ1NDE0MDk0N2FjYzllMzdjZjM0Y2EzMmQifQ=="/>
  </w:docVars>
  <w:rsids>
    <w:rsidRoot w:val="00000000"/>
    <w:rsid w:val="02380E83"/>
    <w:rsid w:val="02D50DC8"/>
    <w:rsid w:val="07E04497"/>
    <w:rsid w:val="0A7D1905"/>
    <w:rsid w:val="0EA33B28"/>
    <w:rsid w:val="10C8678C"/>
    <w:rsid w:val="125113E8"/>
    <w:rsid w:val="12940358"/>
    <w:rsid w:val="134C29E0"/>
    <w:rsid w:val="17884E38"/>
    <w:rsid w:val="18297794"/>
    <w:rsid w:val="1B2B2B54"/>
    <w:rsid w:val="21C5052E"/>
    <w:rsid w:val="29220014"/>
    <w:rsid w:val="2EB769D4"/>
    <w:rsid w:val="30E87D95"/>
    <w:rsid w:val="3253123E"/>
    <w:rsid w:val="39791C15"/>
    <w:rsid w:val="3B6F271E"/>
    <w:rsid w:val="3BD827B4"/>
    <w:rsid w:val="3BE9676F"/>
    <w:rsid w:val="3C12216A"/>
    <w:rsid w:val="3ED5122D"/>
    <w:rsid w:val="42BB425D"/>
    <w:rsid w:val="459534C4"/>
    <w:rsid w:val="45DC5717"/>
    <w:rsid w:val="467D28D5"/>
    <w:rsid w:val="493206C2"/>
    <w:rsid w:val="4D3C7046"/>
    <w:rsid w:val="4ED96BFA"/>
    <w:rsid w:val="50AC6291"/>
    <w:rsid w:val="53340639"/>
    <w:rsid w:val="536305AF"/>
    <w:rsid w:val="580B5F93"/>
    <w:rsid w:val="58E42340"/>
    <w:rsid w:val="5A102F99"/>
    <w:rsid w:val="5B6853A8"/>
    <w:rsid w:val="5E0854F2"/>
    <w:rsid w:val="5E7D1472"/>
    <w:rsid w:val="5F3D5189"/>
    <w:rsid w:val="601030EE"/>
    <w:rsid w:val="611D2DF6"/>
    <w:rsid w:val="62C61B61"/>
    <w:rsid w:val="63604CA7"/>
    <w:rsid w:val="64980301"/>
    <w:rsid w:val="64EC0EFA"/>
    <w:rsid w:val="65340C45"/>
    <w:rsid w:val="659B3EF6"/>
    <w:rsid w:val="66002E54"/>
    <w:rsid w:val="665F74AA"/>
    <w:rsid w:val="66854BCD"/>
    <w:rsid w:val="69003281"/>
    <w:rsid w:val="6A65178A"/>
    <w:rsid w:val="6D4B1BC9"/>
    <w:rsid w:val="70B02C3E"/>
    <w:rsid w:val="727918F3"/>
    <w:rsid w:val="72F12FCE"/>
    <w:rsid w:val="762027B2"/>
    <w:rsid w:val="76E2215D"/>
    <w:rsid w:val="777A0E5F"/>
    <w:rsid w:val="77BE68BD"/>
    <w:rsid w:val="78224195"/>
    <w:rsid w:val="7899684C"/>
    <w:rsid w:val="78B81351"/>
    <w:rsid w:val="793622EC"/>
    <w:rsid w:val="7983171D"/>
    <w:rsid w:val="7A081EDB"/>
    <w:rsid w:val="7A3B22B0"/>
    <w:rsid w:val="7DBC2D1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rPr>
  </w:style>
  <w:style w:type="character" w:customStyle="1" w:styleId="16">
    <w:name w:val="Header Char"/>
    <w:basedOn w:val="13"/>
    <w:link w:val="8"/>
    <w:qFormat/>
    <w:uiPriority w:val="99"/>
  </w:style>
  <w:style w:type="character" w:customStyle="1" w:styleId="17">
    <w:name w:val="Heading 1 Char"/>
    <w:basedOn w:val="13"/>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13"/>
    <w:link w:val="3"/>
    <w:qFormat/>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13"/>
    <w:link w:val="4"/>
    <w:qFormat/>
    <w:uiPriority w:val="9"/>
    <w:rPr>
      <w:rFonts w:asciiTheme="majorHAnsi" w:hAnsiTheme="majorHAnsi" w:eastAsiaTheme="majorEastAsia" w:cstheme="majorBidi"/>
      <w:b/>
      <w:bCs/>
      <w:color w:val="4F81BD" w:themeColor="accent1"/>
    </w:rPr>
  </w:style>
  <w:style w:type="character" w:customStyle="1" w:styleId="20">
    <w:name w:val="Heading 4 Char"/>
    <w:basedOn w:val="13"/>
    <w:link w:val="5"/>
    <w:qFormat/>
    <w:uiPriority w:val="9"/>
    <w:rPr>
      <w:rFonts w:asciiTheme="majorHAnsi" w:hAnsiTheme="majorHAnsi" w:eastAsiaTheme="majorEastAsia" w:cstheme="majorBidi"/>
      <w:b/>
      <w:bCs/>
      <w:i/>
      <w:iCs/>
      <w:color w:val="4F81BD" w:themeColor="accent1"/>
    </w:rPr>
  </w:style>
  <w:style w:type="character" w:customStyle="1" w:styleId="21">
    <w:name w:val="Subtitle Char"/>
    <w:basedOn w:val="13"/>
    <w:link w:val="9"/>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13"/>
    <w:link w:val="10"/>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16</Pages>
  <Words>5905</Words>
  <Characters>6485</Characters>
  <TotalTime>39</TotalTime>
  <ScaleCrop>false</ScaleCrop>
  <LinksUpToDate>false</LinksUpToDate>
  <CharactersWithSpaces>6500</CharactersWithSpaces>
  <Application>WPS Office_12.1.0.16250_F1E327BC-269C-435d-A152-05C5408002CA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2025-08-25T16:12:00Z</dcterms:created>
  <dc:creator>14025</dc:creator>
  <cp:lastModifiedBy>Administrator</cp:lastModifiedBy>
  <dcterms:modified xsi:type="dcterms:W3CDTF">2025-08-27T10:47:57Z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eyJoZGlkIjoiN2ZkN2U0NTE2ZWZjNGNkOGYwMTY5ODIwZjEyYjUxNGMiLCJ1c2VySWQiOiI1NjU0MTExMzAifQ==</vt:lpwstr>
  </property>
  <property fmtid="{D5CDD505-2E9C-101B-9397-08002B2CF9AE}" pid="3" name="KSOProductBuildVer">
    <vt:lpwstr>2052-12.1.0.16250</vt:lpwstr>
  </property>
  <property fmtid="{D5CDD505-2E9C-101B-9397-08002B2CF9AE}" pid="4" name="ICV">
    <vt:lpwstr>9E97031E0DC049A2A66D0CAC905CAF08_12</vt:lpwstr>
  </property>
</Properties>
</file>