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宋体" w:cs="Times New Roman"/>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宋体"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宋体"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hint="default" w:ascii="Times New Roman" w:hAnsi="Times New Roman" w:eastAsia="方正小标宋_GBK"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default" w:ascii="Times New Roman" w:hAnsi="Times New Roman" w:eastAsia="方正小标宋_GBK" w:cs="Times New Roman"/>
          <w:b w:val="0"/>
          <w:sz w:val="44"/>
          <w:szCs w:val="44"/>
        </w:rPr>
      </w:pPr>
      <w:r>
        <w:rPr>
          <w:rFonts w:hint="default" w:ascii="Times New Roman" w:hAnsi="Times New Roman" w:eastAsia="方正小标宋_GBK" w:cs="Times New Roman"/>
          <w:b w:val="0"/>
          <w:sz w:val="44"/>
          <w:szCs w:val="44"/>
        </w:rPr>
        <w:t>新疆维吾尔自治区农业农村机械化</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eastAsia" w:ascii="Times New Roman" w:hAnsi="Times New Roman" w:eastAsia="方正小标宋_GBK" w:cs="Times New Roman"/>
          <w:sz w:val="44"/>
          <w:szCs w:val="44"/>
          <w:highlight w:val="none"/>
          <w:lang w:val="en-US" w:eastAsia="zh-CN"/>
        </w:rPr>
      </w:pPr>
      <w:r>
        <w:rPr>
          <w:rFonts w:hint="default" w:ascii="Times New Roman" w:hAnsi="Times New Roman" w:eastAsia="方正小标宋_GBK" w:cs="Times New Roman"/>
          <w:b w:val="0"/>
          <w:sz w:val="44"/>
          <w:szCs w:val="44"/>
        </w:rPr>
        <w:t>发展中心</w:t>
      </w:r>
      <w:r>
        <w:rPr>
          <w:rFonts w:hint="eastAsia" w:ascii="Times New Roman" w:hAnsi="Times New Roman" w:eastAsia="方正小标宋_GBK" w:cs="Times New Roman"/>
          <w:b w:val="0"/>
          <w:sz w:val="44"/>
          <w:szCs w:val="44"/>
          <w:highlight w:val="none"/>
          <w:lang w:val="en-US" w:eastAsia="zh-CN"/>
        </w:rPr>
        <w:t>(本级）</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default" w:ascii="Times New Roman" w:hAnsi="Times New Roman" w:eastAsia="方正小标宋_GBK" w:cs="Times New Roman"/>
          <w:sz w:val="44"/>
          <w:szCs w:val="44"/>
        </w:rPr>
      </w:pPr>
      <w:r>
        <w:rPr>
          <w:rFonts w:hint="default" w:ascii="Times New Roman" w:hAnsi="Times New Roman" w:eastAsia="方正小标宋_GBK" w:cs="Times New Roman"/>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目</w:t>
      </w:r>
      <w:r>
        <w:rPr>
          <w:rFonts w:hint="default" w:ascii="Times New Roman" w:hAnsi="Times New Roman" w:eastAsia="黑体" w:cs="Times New Roman"/>
          <w:b/>
          <w:sz w:val="32"/>
          <w:szCs w:val="32"/>
          <w:lang w:val="en-US" w:eastAsia="zh-CN"/>
        </w:rPr>
        <w:t xml:space="preserve"> </w:t>
      </w:r>
      <w:r>
        <w:rPr>
          <w:rFonts w:hint="default" w:ascii="Times New Roman" w:hAnsi="Times New Roman" w:eastAsia="黑体" w:cs="Times New Roman"/>
          <w:b/>
          <w:sz w:val="32"/>
          <w:szCs w:val="32"/>
        </w:rPr>
        <w:t xml:space="preserve">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第一部分</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第一部分 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（一）承担农机购置与应用补贴、报废补贴和作业补贴政策实施的技术支撑。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（二）承担农业机械装备技术措施的研究、起草、论证、评估和有关农机产品、生产作业标准、技术规范规程拟定工作；为农业机械化信息和统计工作提供技术支撑和数据服务。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（三）承担农业机械及零配件的试验检验鉴定和农机产品质量性能测试、质量鉴定等相关工作；承担农机产品质量监督检验、质量调查、农机质量投诉受理和组织调解等工作。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（四）实施全程全面机械化生产、设施农业装备建设、农田机耕道、机棚库建设等有关农业机械化项目；指导农业机械化示范区建设。</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（五）承担农业机械化科技推广和技术交流宣传工作；指导机械化生产和农机跨区作业服务工作。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（六）开展农机农艺融合、机械化信息化融合、农机化技术培训、农机行业职业技能培训与鉴定相关工作。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（七）承担农机安全生产服务工作；承担农机牌证管理、农机安全技术检验和勘验等农机安全生产服务工作；承担大型工程机械设备牌证管理、检验等工作。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（八）研究起草农机社会化服务体系建设规范；承担农机鉴定、推广、安全、信息、服务等队伍建设工作。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（九）承办自治区人民政府和自治区农业农村厅交办的其他任务。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新疆维吾尔自治区农业农村机械化发展中心2024年度，实有人数77人，其中：在职人员25人，减少3人；离休人员0人，较上年无变化；退休人员52人，增加1人。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新疆维吾尔自治区农业农村机械化发展中心无下属预算单位，下设7个处室，分别是：办公室、农机装备处、农机社会化服务指导处、科技和标准化处、计划财务处、机关党委（人事处）、离退休干部工作处。</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2024年度收入总计2,334.29万元，其中：本年收入合计2,304.55万元，使用非财政拨款结余（含专用结余）0.00万元，年初结转和结余29.74万元。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2024年度支出总计2,334.29万元，其中：本年支出合计2,307.47万元，结余分配0.00万元，年末结转和结余26.82万元。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收入支出总体与上年相比，减少3,233.26万元，下降58.07%，主要原因是：农机研发制造推广应用一体化项目资金较上年减少。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本年收入2,304.55万元，其中：财政拨款收入2,304.47万元,占100.00%；上级补助收入0.00万元,占0.00%；事业收入0.00万元，占0.00%；经营收入0.00万元,占0.00%；附属单位上缴收入0.00万元，占0.00%；其他收入0.08万元，占0.00%。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本年支出2,307.47万元，其中：基本支出965.56万元，占41.84%；项目支出1,341.91万元，占58.16%；上缴上级支出0.00万元，占0.00%；经营支出0.00万元，占0.00%；对附属单位补助支出0.00万元，占0.00%。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财政拨款收入总计2,316.08万元，其中：年初财政拨款结转和结余11.60万元，本年财政拨款收入2,304.47万元。财政拨款支出总计2,316.08万元，其中：年末财政拨款结转和结余8.60万元，本年财政拨款支出2,307.47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财政拨款收入支出总体与上年相比，减少3,233.04万元，下降58.26%，主要原因是：农机研发制造推广应用一体化项目资金较上年减少。与年初预算相比，年初预算数2,088.86万元，决算数2,316.08万元，预决算差异率10.88%，主要原因是：年中追加退休人员职业年金、自治区人才发展专项资金等项目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支出2,307.47万元，占本年支出合计的100.00%。与上年相比，减少3,230.04万元，下降58.33%，主要原因是：农机研发制造推广应用一体化项目资金较上年减少。与年初预算相比，年初预算数2,088.86万元，决算数2,307.47万元，预决算差异率10.47%，主要原因是：年中追加退休人员职业年金、自治区人才发展专项资金等项目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科学技术支出（类）120.00万元，占5.20%。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社会保障和就业支出（类）178.60万元，占7.74%。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卫生健康支出（类）61.95万元，占2.68%。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农林水支出（类）1,895.66万元，占82.15%。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住房保障支出（类）51.27万元，占2.22%。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1、科学技术支出（类）基础研究（款）科技人才队伍建设（项）：支出决算数为120.00万元，比上年决算增加120.00万元，增长100.00%，主要原因是：自治区人才发展专项资金项目经费较上年增加。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2、社会保障和就业支出（类）行政事业单位养老支出（款）行政单位离退休（项）：支出决算数为100.06万元，比上年决算增加9.15万元，增长10.06%，主要原因是：本年退休人员增加，退休人员经费增加。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lang w:eastAsia="zh-CN"/>
        </w:rPr>
      </w:pPr>
      <w:r>
        <w:rPr>
          <w:rFonts w:hint="default" w:ascii="Times New Roman" w:hAnsi="Times New Roman" w:eastAsia="仿宋_GB2312" w:cs="Times New Roman"/>
          <w:b w:val="0"/>
          <w:sz w:val="32"/>
          <w:szCs w:val="32"/>
        </w:rPr>
        <w:t>3、社会保障和就业支出（类）行政事业单位养老支出（款）机关事业单位基本养老保险缴费支出（项）：支出决算数为68.35万元，比上年决算增加10.19万元，增长17.52%，主要原因是：本年度人员正常增资，社保基数调增</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4、社会保障和就业支出（类）行政事业单位养老支出（款）机关事业单位职业年金缴费支出（项）：支出决算数为10.19万元，比上年决算减少14.20万元，下降58.22%，主要原因是：</w:t>
      </w:r>
      <w:r>
        <w:rPr>
          <w:rFonts w:hint="default" w:ascii="Times New Roman" w:hAnsi="Times New Roman" w:eastAsia="仿宋_GB2312" w:cs="Times New Roman"/>
          <w:color w:val="000000"/>
          <w:kern w:val="0"/>
          <w:sz w:val="31"/>
          <w:szCs w:val="31"/>
          <w:lang w:val="en-US" w:eastAsia="zh-CN" w:bidi="ar"/>
        </w:rPr>
        <w:t>2024年度新增退休人员较上年减少，职业年金缴费支出较上年减少。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5、卫生健康支出（类）行政事业单位医疗（款）行政单位医疗（项）：支出决算数为32.04万元，比上年决算增加4.78万元，增长17.53%，主要原因是：本年度人员正常增资，社保基数调增</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行政单位医疗</w:t>
      </w:r>
      <w:r>
        <w:rPr>
          <w:rFonts w:hint="default" w:ascii="Times New Roman" w:hAnsi="Times New Roman" w:eastAsia="仿宋_GB2312" w:cs="Times New Roman"/>
          <w:b w:val="0"/>
          <w:sz w:val="32"/>
          <w:szCs w:val="32"/>
          <w:lang w:val="en-US" w:eastAsia="zh-CN"/>
        </w:rPr>
        <w:t>支出较上年增加</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6、卫生健康支出（类）行政事业单位医疗（款）公务员医疗补助（项）：支出决算数为29.91万元，比上年决算增加4.46万元，增长17.52%，主要原因是：本年度人员正常增资，社保基数调增</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公务员医疗补助</w:t>
      </w:r>
      <w:r>
        <w:rPr>
          <w:rFonts w:hint="default" w:ascii="Times New Roman" w:hAnsi="Times New Roman" w:eastAsia="仿宋_GB2312" w:cs="Times New Roman"/>
          <w:b w:val="0"/>
          <w:sz w:val="32"/>
          <w:szCs w:val="32"/>
          <w:lang w:val="en-US" w:eastAsia="zh-CN"/>
        </w:rPr>
        <w:t>支出较上年增加</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sz w:val="32"/>
          <w:szCs w:val="32"/>
        </w:rPr>
        <w:t>7、农林水支出（类）农业农村（款）行政运行（项）：支出决算数为673.75万元，比上年决算减少161.82万元，下降19.37%，主要原因是：</w:t>
      </w:r>
      <w:r>
        <w:rPr>
          <w:rFonts w:hint="default" w:ascii="Times New Roman" w:hAnsi="Times New Roman" w:eastAsia="仿宋_GB2312" w:cs="Times New Roman"/>
          <w:b w:val="0"/>
          <w:sz w:val="32"/>
          <w:szCs w:val="32"/>
          <w:lang w:val="en-US" w:eastAsia="zh-CN"/>
        </w:rPr>
        <w:t>一是本年抚恤金支出较上年减少；二是</w:t>
      </w:r>
      <w:r>
        <w:rPr>
          <w:rFonts w:hint="default" w:ascii="Times New Roman" w:hAnsi="Times New Roman" w:eastAsia="仿宋_GB2312" w:cs="Times New Roman"/>
          <w:sz w:val="32"/>
          <w:szCs w:val="32"/>
          <w:lang w:eastAsia="zh-CN"/>
        </w:rPr>
        <w:t>严格落实党政机关过紧日子要求，严控一般性支出，</w:t>
      </w:r>
      <w:r>
        <w:rPr>
          <w:rFonts w:hint="default" w:ascii="Times New Roman" w:hAnsi="Times New Roman" w:eastAsia="仿宋_GB2312" w:cs="Times New Roman"/>
          <w:b w:val="0"/>
          <w:sz w:val="32"/>
          <w:szCs w:val="32"/>
        </w:rPr>
        <w:t>办公费、差旅费</w:t>
      </w:r>
      <w:r>
        <w:rPr>
          <w:rFonts w:hint="default" w:ascii="Times New Roman" w:hAnsi="Times New Roman" w:eastAsia="仿宋_GB2312" w:cs="Times New Roman"/>
          <w:sz w:val="32"/>
          <w:szCs w:val="32"/>
          <w:lang w:val="en-US" w:eastAsia="zh-CN"/>
        </w:rPr>
        <w:t>支出较上年减少</w:t>
      </w:r>
      <w:r>
        <w:rPr>
          <w:rFonts w:hint="default" w:ascii="Times New Roman" w:hAnsi="Times New Roman" w:eastAsia="仿宋_GB2312" w:cs="Times New Roman"/>
          <w:b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sz w:val="32"/>
          <w:szCs w:val="32"/>
        </w:rPr>
        <w:t>8、农林水支出（类）农业农村（款）农业生产发展（项）：支出决算数为1,221.91万元，比上年决算减少3,210.23万元，下降72.43%，主要原因是：农机研发制造推广应用一体化项目</w:t>
      </w:r>
      <w:r>
        <w:rPr>
          <w:rFonts w:hint="default" w:ascii="Times New Roman" w:hAnsi="Times New Roman" w:eastAsia="仿宋_GB2312" w:cs="Times New Roman"/>
          <w:b w:val="0"/>
          <w:sz w:val="32"/>
          <w:szCs w:val="32"/>
          <w:lang w:val="en-US" w:eastAsia="zh-CN"/>
        </w:rPr>
        <w:t>支出</w:t>
      </w:r>
      <w:r>
        <w:rPr>
          <w:rFonts w:hint="default" w:ascii="Times New Roman" w:hAnsi="Times New Roman" w:eastAsia="仿宋_GB2312" w:cs="Times New Roman"/>
          <w:b w:val="0"/>
          <w:sz w:val="32"/>
          <w:szCs w:val="32"/>
        </w:rPr>
        <w:t>较上年减少</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9、住房保障支出（类）住房改革支出（款）住房公积金（项）：支出决算数为51.27万元，比上年决算增加7.65万元，增长17.54%，主要原因是：人员工资调增，住房公积金基数调增</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住房公积金</w:t>
      </w:r>
      <w:r>
        <w:rPr>
          <w:rFonts w:hint="default" w:ascii="Times New Roman" w:hAnsi="Times New Roman" w:eastAsia="仿宋_GB2312" w:cs="Times New Roman"/>
          <w:b w:val="0"/>
          <w:sz w:val="32"/>
          <w:szCs w:val="32"/>
          <w:lang w:val="en-US" w:eastAsia="zh-CN"/>
        </w:rPr>
        <w:t>支出</w:t>
      </w:r>
      <w:r>
        <w:rPr>
          <w:rFonts w:hint="default" w:ascii="Times New Roman" w:hAnsi="Times New Roman" w:eastAsia="仿宋_GB2312" w:cs="Times New Roman"/>
          <w:b w:val="0"/>
          <w:sz w:val="32"/>
          <w:szCs w:val="32"/>
        </w:rPr>
        <w:t>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基本支出965.56万元，其中：人员经费838.47万元，包括：基本工资、津贴补贴、机关事业单位基本养老保险缴费、职业年金缴费、职工基本医疗保险缴费、公务员医疗补助缴费、其他社会保障缴费、住房公积金、退休费、抚恤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用经费127.09万元，包括：办公费、手续费、水费、电费、邮电费、取暖费、差旅费、维修（护）费、劳务费、委托业务费、工会经费、福利费、公务用车运行维护费、其他交通费用、税金及附加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财政拨款“三公”经费支出20.85万元，比上年减少0.03万元，下降0.14%，主要原因是：单位厉行节约，压缩三公经费开支。其中：因公出国（境）费支出0.00万元,占0.00%，与上年相比无变化，主要原因是：我单位无因公出国（境）费；公务用车购置及运行维护费支出20.85万元，占100.00%，比上年减少0.03万元，下降0.14%，主要原因是：响应国家号召，厉行节约，车辆运行维护费用较上年减少；公务接待费支出0.00万元，占0.00%，与上年相比无变化，主要原因是：我单位本年无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用车购置及运行维护费20.85万元，其中：公务用车购置费0.00万元，公务用车运行维护费20.85万元。公务用车运行维护费开支内容包括公务用车燃油费、保险费、过路费等。公务用车购置数0辆，公务用车保有量7辆。国有资产占用情况中固定资产车辆5辆，与公务用车保有量差异原因是：</w:t>
      </w:r>
      <w:r>
        <w:rPr>
          <w:rFonts w:hint="default" w:ascii="Times New Roman" w:hAnsi="Times New Roman" w:eastAsia="仿宋_GB2312" w:cs="Times New Roman"/>
          <w:b w:val="0"/>
          <w:sz w:val="32"/>
          <w:szCs w:val="32"/>
          <w:lang w:val="en-US" w:eastAsia="zh-CN"/>
        </w:rPr>
        <w:t>使用下属单位公务用车</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公务接待费0.00万元，开支内容包括我单位无公务接待费。单位全年安排的国内公务接待0批次，0人次。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与全年预算相比，财政拨款“三公”经费支出全年预算数21.50万元，决算数20.85万元，预决算差异率-3.02%，主要原因是：单位厉行节约，压缩三公经费开支。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21.50万元，决算数20.85万元，预决算差异率-3.02%，主要原因是：单位厉行节约，压缩三公经费开支，公务用车运费</w:t>
      </w:r>
      <w:r>
        <w:rPr>
          <w:rFonts w:hint="default" w:ascii="Times New Roman" w:hAnsi="Times New Roman" w:eastAsia="仿宋_GB2312" w:cs="Times New Roman"/>
          <w:b w:val="0"/>
          <w:sz w:val="32"/>
          <w:szCs w:val="32"/>
          <w:lang w:val="en-US" w:eastAsia="zh-CN"/>
        </w:rPr>
        <w:t>不超预算</w:t>
      </w:r>
      <w:r>
        <w:rPr>
          <w:rFonts w:hint="default" w:ascii="Times New Roman" w:hAnsi="Times New Roman" w:eastAsia="仿宋_GB2312" w:cs="Times New Roman"/>
          <w:b w:val="0"/>
          <w:sz w:val="32"/>
          <w:szCs w:val="32"/>
        </w:rPr>
        <w:t>；公务接待费全年预算数0.00万元，决算数0.00万元，预决算差异率0.00%，主要原因是：我单位本年未开展公务接待活动。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2024年度新疆维吾尔自治区农业农村机械化发展中心单位（行政单位和参照公务员法管理事业单位）机关运行经费支出127.09万元，比上年减少30.01万元，下降19.10%，主要原因是：</w:t>
      </w:r>
      <w:r>
        <w:rPr>
          <w:rFonts w:hint="default" w:ascii="Times New Roman" w:hAnsi="Times New Roman" w:eastAsia="仿宋_GB2312" w:cs="Times New Roman"/>
          <w:sz w:val="32"/>
          <w:szCs w:val="32"/>
          <w:lang w:eastAsia="zh-CN"/>
        </w:rPr>
        <w:t>严格落实党政机关过紧日子要求，严控一般性支出，</w:t>
      </w:r>
      <w:r>
        <w:rPr>
          <w:rFonts w:hint="default" w:ascii="Times New Roman" w:hAnsi="Times New Roman" w:eastAsia="仿宋_GB2312" w:cs="Times New Roman"/>
          <w:b w:val="0"/>
          <w:sz w:val="32"/>
          <w:szCs w:val="32"/>
        </w:rPr>
        <w:t>办公费、差旅费</w:t>
      </w:r>
      <w:r>
        <w:rPr>
          <w:rFonts w:hint="default" w:ascii="Times New Roman" w:hAnsi="Times New Roman" w:eastAsia="仿宋_GB2312" w:cs="Times New Roman"/>
          <w:sz w:val="32"/>
          <w:szCs w:val="32"/>
          <w:lang w:val="en-US" w:eastAsia="zh-CN"/>
        </w:rPr>
        <w:t>支出较上年减少</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2024年度政府采购支出总额166.36万元，其中：政府采购货物支出20.86万元、政府采购工程支出0.00万元、政府采购服务支出145.49万元。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授予中小企业合同金额160.94万元，占政府采购支出总额的96.74%，其中：授予小微企业合同金额160.94万元，占政府采购支出总额的96.74%。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截至2024年12月31日，房屋4,460.28平方米，价值431.39万元。车辆5辆，价值236.38万元，其中：副部（省）级及以上领导用车0辆、主要负责人用车2辆、机要通信用车0辆、应急保障用车0辆、执法执勤用车0辆、特种专业技术用车0辆、离退休干部服务用车0辆、其他用车3辆，其他用车主要是：单位公务用车;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lang w:eastAsia="zh-CN"/>
        </w:rPr>
        <w:t>根据预算绩效管理要求，本单位2024年度预算绩效评价项目</w:t>
      </w:r>
      <w:r>
        <w:rPr>
          <w:rFonts w:hint="default" w:ascii="Times New Roman" w:hAnsi="Times New Roman" w:eastAsia="仿宋_GB2312" w:cs="Times New Roman"/>
          <w:b w:val="0"/>
          <w:sz w:val="32"/>
          <w:szCs w:val="32"/>
          <w:lang w:val="en-US" w:eastAsia="zh-CN"/>
        </w:rPr>
        <w:t>1</w:t>
      </w:r>
      <w:r>
        <w:rPr>
          <w:rFonts w:hint="default" w:ascii="Times New Roman" w:hAnsi="Times New Roman" w:eastAsia="仿宋_GB2312" w:cs="Times New Roman"/>
          <w:b w:val="0"/>
          <w:sz w:val="32"/>
          <w:szCs w:val="32"/>
          <w:lang w:eastAsia="zh-CN"/>
        </w:rPr>
        <w:t>个，全年预算数225.00万元，全年执行数223.04万元，预算绩效管理取得的成效：一是</w:t>
      </w:r>
      <w:r>
        <w:rPr>
          <w:rFonts w:hint="default" w:ascii="Times New Roman" w:hAnsi="Times New Roman" w:eastAsia="仿宋_GB2312" w:cs="Times New Roman"/>
          <w:b w:val="0"/>
          <w:sz w:val="32"/>
          <w:szCs w:val="32"/>
          <w:lang w:val="en-US" w:eastAsia="zh-CN"/>
        </w:rPr>
        <w:t>制定《自治区财政扶持农机化发展专项管理暂行办法》、《自治区财政扶持农机化发展专项资金项目指南》、《新疆维吾尔自治区财政扶持农机化发展专项资金管理办法》等专项资金管理办法，各项资金使用审批流程均按规定办理；二是发挥行业优势，助力脱贫攻坚。加快推进深度贫困县农机化发展和贫困农民群众脱贫致富步伐。坚持国家农机购置补贴、深松补助资金、自治区支持农机化发展专项资金向南疆四地州倾斜</w:t>
      </w:r>
      <w:r>
        <w:rPr>
          <w:rFonts w:hint="default" w:ascii="Times New Roman" w:hAnsi="Times New Roman" w:eastAsia="仿宋_GB2312" w:cs="Times New Roman"/>
          <w:b w:val="0"/>
          <w:sz w:val="32"/>
          <w:szCs w:val="32"/>
          <w:lang w:eastAsia="zh-CN"/>
        </w:rPr>
        <w:t>。发现的问题及原因：</w:t>
      </w:r>
      <w:r>
        <w:rPr>
          <w:rFonts w:hint="default" w:ascii="Times New Roman" w:hAnsi="Times New Roman" w:eastAsia="仿宋_GB2312" w:cs="Times New Roman"/>
          <w:b w:val="0"/>
          <w:sz w:val="32"/>
          <w:szCs w:val="32"/>
          <w:lang w:val="en-US" w:eastAsia="zh-CN"/>
        </w:rPr>
        <w:t>一是作为实施预算绩效管理的主体，对绩效预算认识不够充分，绩效理念有待进一步强化，业务人员业务能力和素质还有待进一步提升；二是预算绩效目标考核指标体系不尽完善，还需进一步细化项目设臵的部分绩效指标与项目、专项业务工作实际脱节，对后期绩效监控及评价造成影响</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下一步改进措施：一是实施绩效监控。按照全方位、全过程、全覆盖预算绩效管理要求，将单位支出预算纳入全过程绩效管理，进一步强化绩效理念，提高财政资金使用效益，要求以每个季度为节点，对本部门单位绩效进行监控；二是开展绩效自评。在开展部门决算工作前，对本单位年度</w:t>
      </w:r>
      <w:r>
        <w:rPr>
          <w:rFonts w:hint="eastAsia" w:ascii="Times New Roman" w:hAnsi="Times New Roman" w:eastAsia="仿宋_GB2312" w:cs="Times New Roman"/>
          <w:b w:val="0"/>
          <w:sz w:val="32"/>
          <w:szCs w:val="32"/>
          <w:lang w:val="en-US" w:eastAsia="zh-CN"/>
        </w:rPr>
        <w:t>绩效</w:t>
      </w:r>
      <w:r>
        <w:rPr>
          <w:rFonts w:hint="default" w:ascii="Times New Roman" w:hAnsi="Times New Roman" w:eastAsia="仿宋_GB2312" w:cs="Times New Roman"/>
          <w:b w:val="0"/>
          <w:sz w:val="32"/>
          <w:szCs w:val="32"/>
          <w:lang w:val="en-US" w:eastAsia="zh-CN"/>
        </w:rPr>
        <w:t>进行自评</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具体附项目支出绩效自</w:t>
      </w:r>
      <w:bookmarkStart w:id="0" w:name="_GoBack"/>
      <w:bookmarkEnd w:id="0"/>
      <w:r>
        <w:rPr>
          <w:rFonts w:hint="default" w:ascii="Times New Roman" w:hAnsi="Times New Roman" w:eastAsia="仿宋_GB2312" w:cs="Times New Roman"/>
          <w:b w:val="0"/>
          <w:sz w:val="32"/>
          <w:szCs w:val="32"/>
        </w:rPr>
        <w:t>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二、上级补助收入：</w:t>
      </w:r>
      <w:r>
        <w:rPr>
          <w:rFonts w:hint="default" w:ascii="Times New Roman" w:hAnsi="Times New Roman" w:eastAsia="仿宋_GB2312" w:cs="Times New Roman"/>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三、事业收入：</w:t>
      </w:r>
      <w:r>
        <w:rPr>
          <w:rFonts w:hint="default" w:ascii="Times New Roman" w:hAnsi="Times New Roman" w:eastAsia="仿宋_GB2312" w:cs="Times New Roman"/>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四、经营收入：</w:t>
      </w:r>
      <w:r>
        <w:rPr>
          <w:rFonts w:hint="default" w:ascii="Times New Roman" w:hAnsi="Times New Roman" w:eastAsia="仿宋_GB2312" w:cs="Times New Roman"/>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五、附属单位上缴收入：</w:t>
      </w:r>
      <w:r>
        <w:rPr>
          <w:rFonts w:hint="default" w:ascii="Times New Roman" w:hAnsi="Times New Roman" w:eastAsia="仿宋_GB2312" w:cs="Times New Roman"/>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六、其他收入：</w:t>
      </w:r>
      <w:r>
        <w:rPr>
          <w:rFonts w:hint="default" w:ascii="Times New Roman" w:hAnsi="Times New Roman" w:eastAsia="仿宋_GB2312" w:cs="Times New Roman"/>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七、年初结转和结余：</w:t>
      </w:r>
      <w:r>
        <w:rPr>
          <w:rFonts w:hint="default" w:ascii="Times New Roman" w:hAnsi="Times New Roman" w:eastAsia="仿宋_GB2312" w:cs="Times New Roman"/>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八、年末结转和结余：</w:t>
      </w:r>
      <w:r>
        <w:rPr>
          <w:rFonts w:hint="default" w:ascii="Times New Roman" w:hAnsi="Times New Roman" w:eastAsia="仿宋_GB2312" w:cs="Times New Roman"/>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九、基本支出：</w:t>
      </w:r>
      <w:r>
        <w:rPr>
          <w:rFonts w:hint="default" w:ascii="Times New Roman" w:hAnsi="Times New Roman" w:eastAsia="仿宋_GB2312" w:cs="Times New Roman"/>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十、项目支出：</w:t>
      </w:r>
      <w:r>
        <w:rPr>
          <w:rFonts w:hint="default" w:ascii="Times New Roman" w:hAnsi="Times New Roman" w:eastAsia="仿宋_GB2312" w:cs="Times New Roman"/>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十一、经营支出：</w:t>
      </w:r>
      <w:r>
        <w:rPr>
          <w:rFonts w:hint="default" w:ascii="Times New Roman" w:hAnsi="Times New Roman" w:eastAsia="仿宋_GB2312" w:cs="Times New Roman"/>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十二、对附属单位补助支出：</w:t>
      </w:r>
      <w:r>
        <w:rPr>
          <w:rFonts w:hint="default" w:ascii="Times New Roman" w:hAnsi="Times New Roman" w:eastAsia="仿宋_GB2312" w:cs="Times New Roman"/>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十三、“三公”经费：</w:t>
      </w:r>
      <w:r>
        <w:rPr>
          <w:rFonts w:hint="default" w:ascii="Times New Roman" w:hAnsi="Times New Roman" w:eastAsia="仿宋_GB2312" w:cs="Times New Roman"/>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十四、机关运行经费：</w:t>
      </w:r>
      <w:r>
        <w:rPr>
          <w:rFonts w:hint="default" w:ascii="Times New Roman" w:hAnsi="Times New Roman" w:eastAsia="仿宋_GB2312" w:cs="Times New Roman"/>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012A641E"/>
    <w:rsid w:val="012F1432"/>
    <w:rsid w:val="0BED2CDE"/>
    <w:rsid w:val="0F1A64E0"/>
    <w:rsid w:val="10051F90"/>
    <w:rsid w:val="100C3F23"/>
    <w:rsid w:val="10712597"/>
    <w:rsid w:val="12174F59"/>
    <w:rsid w:val="1551604F"/>
    <w:rsid w:val="1A7647E7"/>
    <w:rsid w:val="1AAE21D3"/>
    <w:rsid w:val="1C8B457A"/>
    <w:rsid w:val="1EC94A08"/>
    <w:rsid w:val="1FA3607E"/>
    <w:rsid w:val="252F1AE8"/>
    <w:rsid w:val="27547C5E"/>
    <w:rsid w:val="29121B7F"/>
    <w:rsid w:val="2BAB4695"/>
    <w:rsid w:val="2C21599E"/>
    <w:rsid w:val="2C922F0E"/>
    <w:rsid w:val="2E221CCA"/>
    <w:rsid w:val="2E7123B6"/>
    <w:rsid w:val="31B9703B"/>
    <w:rsid w:val="3200256B"/>
    <w:rsid w:val="3341553A"/>
    <w:rsid w:val="35521C81"/>
    <w:rsid w:val="3591465A"/>
    <w:rsid w:val="36E56B24"/>
    <w:rsid w:val="3C336CD0"/>
    <w:rsid w:val="3D5E5972"/>
    <w:rsid w:val="3D9E6D2B"/>
    <w:rsid w:val="40D8232D"/>
    <w:rsid w:val="47B73BC5"/>
    <w:rsid w:val="4DF416CF"/>
    <w:rsid w:val="4E2538B2"/>
    <w:rsid w:val="4EB3158A"/>
    <w:rsid w:val="4F60312A"/>
    <w:rsid w:val="51DA038A"/>
    <w:rsid w:val="534C14A4"/>
    <w:rsid w:val="567A32F1"/>
    <w:rsid w:val="5DEA57E3"/>
    <w:rsid w:val="5FD758A7"/>
    <w:rsid w:val="60200102"/>
    <w:rsid w:val="65266C47"/>
    <w:rsid w:val="671A63CB"/>
    <w:rsid w:val="6B3E1D84"/>
    <w:rsid w:val="6D2D169C"/>
    <w:rsid w:val="71791D68"/>
    <w:rsid w:val="72EC4264"/>
    <w:rsid w:val="764566BC"/>
    <w:rsid w:val="78DD0E2E"/>
    <w:rsid w:val="7B193595"/>
    <w:rsid w:val="7D4C0B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7"/>
    <w:unhideWhenUsed/>
    <w:qFormat/>
    <w:uiPriority w:val="99"/>
    <w:pPr>
      <w:tabs>
        <w:tab w:val="center" w:pos="4680"/>
        <w:tab w:val="right" w:pos="9360"/>
      </w:tabs>
    </w:pPr>
  </w:style>
  <w:style w:type="paragraph" w:styleId="9">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qFormat/>
    <w:uiPriority w:val="0"/>
    <w:rPr>
      <w:b/>
      <w:bCs/>
    </w:rPr>
  </w:style>
  <w:style w:type="character" w:styleId="15">
    <w:name w:val="Emphasis"/>
    <w:basedOn w:val="13"/>
    <w:qFormat/>
    <w:uiPriority w:val="20"/>
    <w:rPr>
      <w:i/>
      <w:iCs/>
    </w:rPr>
  </w:style>
  <w:style w:type="character" w:styleId="16">
    <w:name w:val="Hyperlink"/>
    <w:basedOn w:val="13"/>
    <w:unhideWhenUsed/>
    <w:qFormat/>
    <w:uiPriority w:val="99"/>
    <w:rPr>
      <w:color w:val="0000FF" w:themeColor="hyperlink"/>
      <w:u w:val="single"/>
    </w:rPr>
  </w:style>
  <w:style w:type="character" w:customStyle="1" w:styleId="17">
    <w:name w:val="Header Char"/>
    <w:basedOn w:val="13"/>
    <w:link w:val="8"/>
    <w:qFormat/>
    <w:uiPriority w:val="99"/>
  </w:style>
  <w:style w:type="character" w:customStyle="1" w:styleId="18">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6120</Words>
  <Characters>6814</Characters>
  <TotalTime>1</TotalTime>
  <ScaleCrop>false</ScaleCrop>
  <LinksUpToDate>false</LinksUpToDate>
  <CharactersWithSpaces>6824</CharactersWithSpaces>
  <Application>WPS Office_11.1.0.10700_F1E327BC-269C-435d-A152-05C5408002CA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2025-08-25T06:39:00Z</dcterms:created>
  <dc:creator>14025</dc:creator>
  <cp:lastModifiedBy>admin</cp:lastModifiedBy>
  <dcterms:modified xsi:type="dcterms:W3CDTF">2025-11-06T10:44:45Z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eyJoZGlkIjoiN2ZkN2U0NTE2ZWZjNGNkOGYwMTY5ODIwZjEyYjUxNGMiLCJ1c2VySWQiOiI0MDc2MTk2NTAifQ==</vt:lpwstr>
  </property>
  <property fmtid="{D5CDD505-2E9C-101B-9397-08002B2CF9AE}" pid="3" name="KSOProductBuildVer">
    <vt:lpwstr>2052-11.1.0.10700</vt:lpwstr>
  </property>
  <property fmtid="{D5CDD505-2E9C-101B-9397-08002B2CF9AE}" pid="4" name="ICV">
    <vt:lpwstr>4AEF746F774543DC8B39DE19458E16BE_12</vt:lpwstr>
  </property>
</Properties>
</file>