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9C7E2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14:paraId="205F31E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14:paraId="0B1E298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14:paraId="3375BD9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14:paraId="605CCB8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center"/>
        <w:textAlignment w:val="auto"/>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b w:val="0"/>
          <w:sz w:val="44"/>
          <w:szCs w:val="44"/>
        </w:rPr>
        <w:t>新疆维吾尔自治区农业农村机械化发展中心</w:t>
      </w:r>
    </w:p>
    <w:p w14:paraId="3D8977A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center"/>
        <w:textAlignment w:val="auto"/>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b w:val="0"/>
          <w:sz w:val="44"/>
          <w:szCs w:val="44"/>
        </w:rPr>
        <w:t>2024年度部门决算公开说明</w:t>
      </w:r>
    </w:p>
    <w:p w14:paraId="1A4DF7C4">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2EE1D6D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2"/>
          <w:szCs w:val="32"/>
        </w:rPr>
        <w:t>目  录</w:t>
      </w:r>
    </w:p>
    <w:p w14:paraId="298D64B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第一部分部门概况</w:t>
      </w:r>
    </w:p>
    <w:p w14:paraId="3E808E5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14:paraId="162808C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14:paraId="05DF4EE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 部门决算情况说明</w:t>
      </w:r>
    </w:p>
    <w:p w14:paraId="56BCDFB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14:paraId="68C727F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14:paraId="15E0A26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14:paraId="1236DC8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14:paraId="0F14F0C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14:paraId="1FD969B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14:paraId="23F065D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14:paraId="15898F0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14:paraId="15F173B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14:paraId="1971B02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14:paraId="6A35D49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2E95CE4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14:paraId="7EA60B6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14:paraId="5F4B1B9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14:paraId="44EFF3F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14:paraId="1D5510A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14:paraId="302C3B1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14:paraId="3461313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14:paraId="3AEC7CA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 专业名词解释</w:t>
      </w:r>
    </w:p>
    <w:p w14:paraId="0972768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 部门决算报表（见附表）</w:t>
      </w:r>
    </w:p>
    <w:p w14:paraId="0EC3567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14:paraId="186829C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14:paraId="369A64B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14:paraId="1E16460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14:paraId="3BCA1D9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14:paraId="72EB436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14:paraId="58538A9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14:paraId="2CB23C4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14:paraId="5EDC217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14:paraId="4DCBF85C">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354493E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 部门概况</w:t>
      </w:r>
    </w:p>
    <w:p w14:paraId="6FBFD04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14:paraId="2502657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贯彻执行国家和自治区有关发展农业机械化的方针政策、法律法规，研究提出农业机械化地方性法规和规章草案，拟定有关法规的实施细则和规范性文件，推动农机依法行政的进程；研究提出农业机械化发展重点、发展方向、产业政策及农机化发展政策，经批准后组织实施；拟定并组织实施农业机械化中长期发展规划；负责农业产业化、农业开发、特色产业、生态环境建设和基础设施建设中的农业机械化工程建设项目，推动农机化的发展；负责重大农业机械化技术项目的论证、申报立项及实施；会同有关部门组织农业机械化重点攻关项目的初审、立项并组织实施；负责组织农机重大科技成果的申报和评审，开展国内外技术交流与合作；指导农业装备的研制开发，研究提出农机科技创新体系建设的政策措施；促进农机企业技术创新工作；研究制定农机技术规范和标准，经批准后监督实施；指导农机产品试验鉴定、质量检验和认证管理工作；负责农机产品推广许可证的实施管理，以及农机产品、维修和农机作业的质量执法监督；负责农机化发展的专项资金预算编制，并监督管理资金的使用；负责农机服务体系建设，负责农机产品的生产、销售、维修及拖拉机驾驶培训机构的资质审批；指导农业机械试验示范推广、实用技术培训、信息、各种协会及中介组织等社会化服务；指导农机作业、销售、维修等经营服务市场的发展；指导协调农机化生产，组织农机行业的抗灾救灾工作；负责农机销售、作业市场、维修市场、技术市场的执法监督；负责农业机械使用安全的监督管理；负责农机行业管理人才和科技人才的培训工作，指导职业技能培训与鉴定。协同有关部门管理农机系列技术职务评审工作；负责农机化宣传和农机化政务信息工作，指导农机化统计工作。</w:t>
      </w:r>
    </w:p>
    <w:p w14:paraId="23B747E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14:paraId="63980AD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新疆维吾尔自治区农业农村机械化发展中心2024年度，实有人数192人，其中：在职人员83人，减少11人；离休人员1人，较上年无变化；退休人员108人，增加7人。</w:t>
      </w:r>
    </w:p>
    <w:p w14:paraId="59885B4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从部门决算单位构成看，新疆维吾尔自治区农业农村机械化发展中心部门决算包括：新疆维吾尔自治区农业农村机械化发展中心本级决算及所属单位决算。</w:t>
      </w:r>
    </w:p>
    <w:p w14:paraId="604ACBA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新疆维吾尔自治区农业农村机械化发展中心本级下设7个处室，分别是：办公室、农机装备处、农机社会化服务指导处、科技和标准化处、计划财务处、机关党委（人事处）、离退休干部工作处。</w:t>
      </w:r>
    </w:p>
    <w:p w14:paraId="663E0FB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纳入新疆维吾尔自治区农业农村机械化发展中心2024年度部门决算编制范围的下属预算单位包括：</w:t>
      </w:r>
    </w:p>
    <w:p w14:paraId="52CE6F1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ascii="仿宋_GB2312" w:eastAsia="仿宋_GB2312"/>
          <w:sz w:val="32"/>
          <w:szCs w:val="32"/>
        </w:rPr>
      </w:pPr>
      <w:r>
        <w:rPr>
          <w:rFonts w:ascii="仿宋_GB2312" w:eastAsia="仿宋_GB2312"/>
          <w:b w:val="0"/>
          <w:sz w:val="32"/>
          <w:szCs w:val="32"/>
        </w:rPr>
        <w:t>新疆维吾尔自治区农业农村机械化发展中心，新疆维吾尔自治区农业机械化后勤服务中心，新疆维吾尔自治区农牧业机械化技术推广总站，新疆维吾尔自治区农机安全监理总站，新疆维吾尔自治区农业机械化信息中心，新疆维吾尔自治区农牧业机械产品质量监督管理站</w:t>
      </w:r>
    </w:p>
    <w:p w14:paraId="21B20928">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020E273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 部门决算情况说明</w:t>
      </w:r>
    </w:p>
    <w:p w14:paraId="5818619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14:paraId="126CE09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2024年度收入总计6,251.53万元，其中：本年收入合计5,994.73万元，使用非财政拨款结余（含专用结余）4.57万元，年初结转和结余252.24万元。</w:t>
      </w:r>
    </w:p>
    <w:p w14:paraId="70931AD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2024年度支出总计6,251.53万元，其中：本年支出合计5,873.10万元，结余分配0.40万元，年末结转和结余378.03万元。</w:t>
      </w:r>
    </w:p>
    <w:p w14:paraId="2238038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收入支出总体与上年相比，减少6,574.29万元，下降51.26%，主要原因是：一是在职人员减少，人员经费及公用经费减少；二是</w:t>
      </w:r>
      <w:r>
        <w:rPr>
          <w:rFonts w:hint="eastAsia" w:ascii="仿宋_GB2312" w:eastAsia="仿宋_GB2312"/>
          <w:b w:val="0"/>
          <w:sz w:val="32"/>
          <w:szCs w:val="32"/>
          <w:lang w:eastAsia="zh-CN"/>
        </w:rPr>
        <w:t>自治区农业机械化</w:t>
      </w:r>
      <w:r>
        <w:rPr>
          <w:rFonts w:ascii="仿宋_GB2312" w:eastAsia="仿宋_GB2312"/>
          <w:b w:val="0"/>
          <w:sz w:val="32"/>
          <w:szCs w:val="32"/>
        </w:rPr>
        <w:t>信息中心减少财政扶持农机化发展专项农机综合信息服务平台资金。</w:t>
      </w:r>
    </w:p>
    <w:p w14:paraId="4DA787F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14:paraId="39B91AA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5,994.73万元，其中：财政拨款收入5,809.47万元,占96.91%；上级补助收入0.00万元,占0.00%；事业收入12.00万元，占0.20%；经营收入0.00万元,占0.00%；附属单位上缴收入0.00万元，占0.00%；其他收入173.26万元，占2.89%。</w:t>
      </w:r>
    </w:p>
    <w:p w14:paraId="7EE02EE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14:paraId="334A013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本年支出5,873.10万元，其中：基本支出2,547.96万元，占43.38%；项目支出3,325.15万元，占56.62%；上缴上级支出0.00万元，占0.00%；经营支出0.00万元，占0.00%；对附属单位补助支出0.00万元，占0.00%。</w:t>
      </w:r>
    </w:p>
    <w:p w14:paraId="7245A33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14:paraId="7D14437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5,893.76万元，其中：年初财政拨款结转和结余84.29万元，本年财政拨款收入5,809.47万元。财政拨款支出总计5,893.76万元，其中：年末财政拨款结转和结余142.25万元，本年财政拨款支出5,751.52万元。</w:t>
      </w:r>
    </w:p>
    <w:p w14:paraId="4DA81AD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财政拨款收入支出总体与上年相比，减少6,034.98万元，下降50.59%，主要原因是：一是在职人员减少，人员经费及公用经费减少；二是</w:t>
      </w:r>
      <w:r>
        <w:rPr>
          <w:rFonts w:hint="eastAsia" w:ascii="仿宋_GB2312" w:eastAsia="仿宋_GB2312"/>
          <w:b w:val="0"/>
          <w:sz w:val="32"/>
          <w:szCs w:val="32"/>
          <w:lang w:eastAsia="zh-CN"/>
        </w:rPr>
        <w:t>自治区农业机械化</w:t>
      </w:r>
      <w:r>
        <w:rPr>
          <w:rFonts w:ascii="仿宋_GB2312" w:eastAsia="仿宋_GB2312"/>
          <w:b w:val="0"/>
          <w:sz w:val="32"/>
          <w:szCs w:val="32"/>
        </w:rPr>
        <w:t>信息中心减少财政扶持农机化发展专项农机综合信息服务平台资金。与年初预算相比，年初预算数6,162.12万元，决算数5,893.76万元，预决算差异率-4.35%，主要原因是：年初预算中包含转移支付资金与决算差异较大。</w:t>
      </w:r>
    </w:p>
    <w:p w14:paraId="67BF7AC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14:paraId="007DA5F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（一）一般公共预算财政拨款支出决算总体情况</w:t>
      </w:r>
    </w:p>
    <w:p w14:paraId="018BA0B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2024年度一般公共预算财政拨款支出5,751.52万元，占本年支出合计的97.93%。与上年相比，减少6,092.93万元，下降51.44%，主要原因是：一是在职人员减少，人员经费及公用经费减少；二是</w:t>
      </w:r>
      <w:r>
        <w:rPr>
          <w:rFonts w:hint="eastAsia" w:ascii="仿宋_GB2312" w:eastAsia="仿宋_GB2312"/>
          <w:b w:val="0"/>
          <w:sz w:val="32"/>
          <w:szCs w:val="32"/>
          <w:lang w:eastAsia="zh-CN"/>
        </w:rPr>
        <w:t>自治区农业机械化</w:t>
      </w:r>
      <w:r>
        <w:rPr>
          <w:rFonts w:ascii="仿宋_GB2312" w:eastAsia="仿宋_GB2312"/>
          <w:b w:val="0"/>
          <w:sz w:val="32"/>
          <w:szCs w:val="32"/>
        </w:rPr>
        <w:t>信息中心减少财政扶持农机化发展专项农机综合信息服务平台资金。与年初预算相比，年初预算数6,162.12万元，决算数5,751.52万元，预决算差异率-6.66%，主要原因是：年初预算中包含转移支付资金与决算差异较大。</w:t>
      </w:r>
    </w:p>
    <w:p w14:paraId="7FAEBA7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（二）一般公共预算财政拨款支出决算结构情况</w:t>
      </w:r>
    </w:p>
    <w:p w14:paraId="215CFD9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科学技术支出（类）120.00万元，占2.09%。</w:t>
      </w:r>
    </w:p>
    <w:p w14:paraId="04245E2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社会保障和就业支出（类）493.98万元，占8.59%。</w:t>
      </w:r>
    </w:p>
    <w:p w14:paraId="2E1DBFA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卫生健康支出（类）175.39万元，占3.05%。</w:t>
      </w:r>
    </w:p>
    <w:p w14:paraId="14A38E7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农林水支出（类）4,819.08万元，占83.79%。</w:t>
      </w:r>
    </w:p>
    <w:p w14:paraId="4E13CD7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住房保障支出（类）143.07万元，占2.49%。</w:t>
      </w:r>
    </w:p>
    <w:p w14:paraId="6029647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（三）一般公共预算财政拨款支出决算具体情况</w:t>
      </w:r>
    </w:p>
    <w:p w14:paraId="1E57F97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1、科学技术支出（类）基础研究（款）科技人才队伍建设（项）：支出决算数为120.00万元，比上年决算增加120.00万元，增长100.00%，主要原因是：自治区人才发展专项资金项目经费较上年增加。</w:t>
      </w:r>
    </w:p>
    <w:p w14:paraId="341B210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2、社会保障和就业支出（类）行政事业单位养老支出（款）行政单位离退休（项）：支出决算数为112.31万元，比上年决算增加10.52万元，增长10.34%，主要原因是：本年行政退休人员增加，退休人员经费增加。</w:t>
      </w:r>
    </w:p>
    <w:p w14:paraId="2C7113D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3、社会保障和就业支出（类）行政事业单位养老支出（款）事业单位离退休（项）：支出决算数为112.23万元，比上年决算增加15.22万元，增长15.69%，主要原因是：本年事业退休人员增加，退休人员经费增加。</w:t>
      </w:r>
    </w:p>
    <w:p w14:paraId="70E83DD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4、社会保障和就业支出（类）行政事业单位养老支出（款）机关事业单位基本养老保险缴费支出（项）：支出决算数为185.92万元，比上年决算减少4.85万元，下降2.54%，主要原因是：本年在职人员减少，机关事业单位基本养老保险缴费支出减少。</w:t>
      </w:r>
    </w:p>
    <w:p w14:paraId="44DB874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5、社会保障和就业支出（类）行政事业单位养老支出（款）机关事业单位职业年金缴费支出（项）：支出决算数为83.52万元，比上年决算增加23.25万元，增长38.58%，主要原因是：本年行政退休人员增加，机关事业单位职业年金缴费支出增加。</w:t>
      </w:r>
    </w:p>
    <w:p w14:paraId="089C01E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6、卫生健康支出（类）行政事业单位医疗（款）行政单位医疗（项）：支出决算数为39.20万元，比上年决算增加6.89万元，增长21.32%，主要原因是：发展中心（本级）本年度人员正常增资，社保基数调增，行政单位医疗支出较上年增加。</w:t>
      </w:r>
    </w:p>
    <w:p w14:paraId="4E581B3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7、卫生健康支出（类）行政事业单位医疗（款）事业单位医疗（项）：支出决算数为53.03万元，比上年决算减少4.74万元，下降8.20%，主要原因是：本年在职人员减少，事业单位医疗支出减少。</w:t>
      </w:r>
    </w:p>
    <w:p w14:paraId="400DB13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8、卫生健康支出（类）行政事业单位医疗（款）公务员医疗补助（项）：支出决算数为83.16万元，比上年决算减少0.92万元，下降1.09%，主要原因是：本年在职人员减少，公务员医疗补助支出减少。</w:t>
      </w:r>
    </w:p>
    <w:p w14:paraId="24A3E68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9、农林水支出（类）农业农村（款）行政运行（项）：支出决算数为812.50万元，比上年决算减少125.28万元，下降13.36%，主要原因是：本年在职人员减少，人员经费及公用经费减少。</w:t>
      </w:r>
    </w:p>
    <w:p w14:paraId="0834165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10、农林水支出（类）农业农村（款）机关服务（项）：支出决算数为80.02万元，比上年决算减少4.53万元，下降5.36%，主要原因是：后勤服务中心本年减少办公费等其他日常公用经费支出。</w:t>
      </w:r>
    </w:p>
    <w:p w14:paraId="275E413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11、农林水支出（类）农业农村（款）事业运行（项）：支出决算数为836.13万元，比上年决算减少95.31万元，下降10.23%，主要原因是：在职人员减少，人员经费及公用经费减少。</w:t>
      </w:r>
    </w:p>
    <w:p w14:paraId="76C61F6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12、农林水支出（类）农业农村（款）科技转化与推广服务（项）：支出决算数为18.00万元，比上年决算增加18.00万元，增长100.00%，主要原因是：发展中心（本级）本年新增自治区农业农村发展创新与服务项目支出。</w:t>
      </w:r>
    </w:p>
    <w:p w14:paraId="2B60F1B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13、农林水支出（类）农业农村（款）执法监管（项）：支出决算数为524.94万元，比上年决算减少0.06万元，下降0.01%，主要原因是：厉行勤俭节约，压减一般性支出，物业管理费以及维修（护）费减少。</w:t>
      </w:r>
    </w:p>
    <w:p w14:paraId="4EE0F9E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14、农林水支出（类）农业农村（款）农业生产发展（项）：支出决算数为2,547.49万元，比上年决算减少6,050.07万元，下降70.37%，主要原因是：</w:t>
      </w:r>
      <w:r>
        <w:rPr>
          <w:rFonts w:hint="eastAsia" w:ascii="仿宋_GB2312" w:eastAsia="仿宋_GB2312"/>
          <w:b w:val="0"/>
          <w:sz w:val="32"/>
          <w:szCs w:val="32"/>
          <w:lang w:eastAsia="zh-CN"/>
        </w:rPr>
        <w:t>自治区农业机械化</w:t>
      </w:r>
      <w:r>
        <w:rPr>
          <w:rFonts w:ascii="仿宋_GB2312" w:eastAsia="仿宋_GB2312"/>
          <w:b w:val="0"/>
          <w:sz w:val="32"/>
          <w:szCs w:val="32"/>
        </w:rPr>
        <w:t>信息中心和</w:t>
      </w:r>
      <w:r>
        <w:rPr>
          <w:rFonts w:hint="eastAsia" w:ascii="仿宋_GB2312" w:eastAsia="仿宋_GB2312"/>
          <w:b w:val="0"/>
          <w:sz w:val="32"/>
          <w:szCs w:val="32"/>
          <w:lang w:eastAsia="zh-CN"/>
        </w:rPr>
        <w:t>自治区农牧业机械化</w:t>
      </w:r>
      <w:r>
        <w:rPr>
          <w:rFonts w:ascii="仿宋_GB2312" w:eastAsia="仿宋_GB2312"/>
          <w:b w:val="0"/>
          <w:sz w:val="32"/>
          <w:szCs w:val="32"/>
        </w:rPr>
        <w:t>产品质量监督管理站减少农机综合信息服务平台项目</w:t>
      </w:r>
      <w:r>
        <w:rPr>
          <w:rFonts w:hint="eastAsia" w:ascii="仿宋_GB2312" w:eastAsia="仿宋_GB2312"/>
          <w:b w:val="0"/>
          <w:sz w:val="32"/>
          <w:szCs w:val="32"/>
          <w:lang w:eastAsia="zh-CN"/>
        </w:rPr>
        <w:t>、</w:t>
      </w:r>
      <w:r>
        <w:rPr>
          <w:rFonts w:ascii="仿宋_GB2312" w:eastAsia="仿宋_GB2312"/>
          <w:b w:val="0"/>
          <w:sz w:val="32"/>
          <w:szCs w:val="32"/>
        </w:rPr>
        <w:t>财政扶持农机化发展专项</w:t>
      </w:r>
      <w:r>
        <w:rPr>
          <w:rFonts w:hint="eastAsia" w:ascii="仿宋_GB2312" w:eastAsia="仿宋_GB2312"/>
          <w:b w:val="0"/>
          <w:sz w:val="32"/>
          <w:szCs w:val="32"/>
          <w:lang w:eastAsia="zh-CN"/>
        </w:rPr>
        <w:t>项目</w:t>
      </w:r>
      <w:r>
        <w:rPr>
          <w:rFonts w:ascii="仿宋_GB2312" w:eastAsia="仿宋_GB2312"/>
          <w:b w:val="0"/>
          <w:sz w:val="32"/>
          <w:szCs w:val="32"/>
        </w:rPr>
        <w:t>资金</w:t>
      </w:r>
      <w:r>
        <w:rPr>
          <w:rFonts w:hint="eastAsia" w:ascii="仿宋_GB2312" w:eastAsia="仿宋_GB2312"/>
          <w:b w:val="0"/>
          <w:sz w:val="32"/>
          <w:szCs w:val="32"/>
          <w:lang w:val="en-US" w:eastAsia="zh-CN"/>
        </w:rPr>
        <w:t>支出</w:t>
      </w:r>
      <w:r>
        <w:rPr>
          <w:rFonts w:ascii="仿宋_GB2312" w:eastAsia="仿宋_GB2312"/>
          <w:b w:val="0"/>
          <w:sz w:val="32"/>
          <w:szCs w:val="32"/>
        </w:rPr>
        <w:t>。</w:t>
      </w:r>
    </w:p>
    <w:p w14:paraId="5321042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15、住房保障支出（类）住房改革支出（款）住房公积金（项）：支出决算数为143.07万元，比上年决算减少1.06万元，下降0.74%，主要原因是：在职人员减少，住房公积金支出减少。</w:t>
      </w:r>
    </w:p>
    <w:p w14:paraId="450BC45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14:paraId="62318B8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2,541.08万元，其中：人员经费2,294.48万元，包括：基本工资、津贴补贴、奖金、机关事业单位基本养老保险缴费、职业年金缴费、职工基本医疗保险缴费、公务员医疗补助缴费、其他社会保障缴费、住房公积金、离休费、退休费、抚恤金、奖励金和其他对个人和家庭的补助。</w:t>
      </w:r>
    </w:p>
    <w:p w14:paraId="43F9880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246.61万元，包括：办公费、手续费、水费、电费、邮电费、取暖费、差旅费、维修（护）费、劳务费、委托业务费、工会经费、福利费、公务用车运行维护费、其他交通费用、税金及附加费用和其他商品和服务支出。</w:t>
      </w:r>
    </w:p>
    <w:p w14:paraId="79BB7F2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14:paraId="71D2A32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本部门本年度无政府性基金预算财政拨款收入、支出及结转和结余，政府性基金预算财政拨款收入支出决算表为空表。</w:t>
      </w:r>
    </w:p>
    <w:p w14:paraId="3269041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14:paraId="33EEF5A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14:paraId="03316CE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14:paraId="397E613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40.35万元，比上年增加1.49万元，增长3.83%，主要原因是：本年业务量增加，公务用车运行维护费增加。其中：因公出国（境）费支出0.00万元,占0.00%，与上年相比无变化，主要原因是：我单位无财政拨款因公出国（境）费；公务用车购置及运行维护费支出40.35万元，占100.00%，比上年增加1.49万元，增长3.83%，主要原因是：本年业务量增加，公务用车运行维护费增加；公务接待费支出0.00万元，占0.00%，与上年相比无变化，主要原因是：我单位无财政拨款公务接待费支出。</w:t>
      </w:r>
    </w:p>
    <w:p w14:paraId="2AEAB0E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14:paraId="69FBDBE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14:paraId="36D0351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40.35万元，其中：公务用车购置费0.00万元，公务用车运行维护费40.35万元。公务用车运行维护费开支内容包括车辆燃油费、车辆维修维护费、车辆保险费、过路费等。公务用车购置数0辆，公务用车保有量22辆。国有资产占用情况中固定资产车辆21辆，与公务用车保有量差异原因是：借调其他单位车辆。</w:t>
      </w:r>
    </w:p>
    <w:p w14:paraId="3AC5E41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公务接待费0.00万元，开支内容包括我单位无公务接待费。单位全年安排的国内公务接待0批次，0人次。</w:t>
      </w:r>
    </w:p>
    <w:p w14:paraId="10B56C1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41.00万元，决算数40.35万元，预决算差异率-1.59%，主要原因是：本年度严格按照年初预算执行，把控财政拨款“三公”经费支出不超预算。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41.00万元，决算数40.35万元，预决算差异率-1.59%，主要原因是：本年度严格按照年初预算执行，把控公务用车运行维护费不超预算；公务接待费全年预算数0.00万元，决算数0.00万元，预决算差异率0.00%，主要原因是：我单位本年无公务接待费。</w:t>
      </w:r>
    </w:p>
    <w:p w14:paraId="38D8485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14:paraId="441FFEF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（一）机关运行经费及公用经费支出情况</w:t>
      </w:r>
    </w:p>
    <w:p w14:paraId="4AAF4E8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维吾尔自治区农业农村机械化发展中心部门（行政单位和参照公务员法管理事业单位）机关运行经费支出142.02万元，比上年减少33.61万元，下降19.14%，主要原因是：严格落实党政机关过紧日子要求，严控一般性支出，办公费、差旅费支出较上年减少。</w:t>
      </w:r>
    </w:p>
    <w:p w14:paraId="451C55E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2024年度新疆维吾尔自治区农业农村机械化发展中心部门（事业单位）公用经费支出104.59万元，比上年减少22.55万元，下降17.74%，主要原因是：本年单位在职人员减少，办公费、差旅费支出减少。</w:t>
      </w:r>
    </w:p>
    <w:p w14:paraId="1446018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（二）政府采购情况</w:t>
      </w:r>
    </w:p>
    <w:p w14:paraId="01EEC09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2024年度政府采购支出总额267.72万元，其中：政府采购货物支出59.54万元、政府采购工程支出0.00万元、政府采购服务支出208.17万元。</w:t>
      </w:r>
    </w:p>
    <w:p w14:paraId="1C61FB2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授予中小企业合同金额227.85万元，占政府采购支出总额的85.11%，其中：授予小微企业合同金额204.71万元，占政府采购支出总额的76.46%。</w:t>
      </w:r>
    </w:p>
    <w:p w14:paraId="2D38C6B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（三）国有资产占用情况说明</w:t>
      </w:r>
    </w:p>
    <w:p w14:paraId="78A7E97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17,578.78平方米，价值1,833.62万元。车辆21辆，价值644.10万元，其中：副部（省）级及以上领导用车0辆、主要负责人用车2辆、机要通信用车0辆、应急保障用车0辆、执法执勤用车0辆、特种专业技术用车</w:t>
      </w:r>
      <w:r>
        <w:rPr>
          <w:rFonts w:hint="eastAsia" w:ascii="仿宋_GB2312" w:eastAsia="仿宋_GB2312"/>
          <w:b w:val="0"/>
          <w:sz w:val="32"/>
          <w:szCs w:val="32"/>
          <w:lang w:val="en-US" w:eastAsia="zh-CN"/>
        </w:rPr>
        <w:t>0</w:t>
      </w:r>
      <w:r>
        <w:rPr>
          <w:rFonts w:ascii="仿宋_GB2312" w:eastAsia="仿宋_GB2312"/>
          <w:b w:val="0"/>
          <w:sz w:val="32"/>
          <w:szCs w:val="32"/>
        </w:rPr>
        <w:t>辆、离退休干部服务用车0辆、其他用车1</w:t>
      </w:r>
      <w:r>
        <w:rPr>
          <w:rFonts w:hint="eastAsia" w:ascii="仿宋_GB2312" w:eastAsia="仿宋_GB2312"/>
          <w:b w:val="0"/>
          <w:sz w:val="32"/>
          <w:szCs w:val="32"/>
          <w:lang w:val="en-US" w:eastAsia="zh-CN"/>
        </w:rPr>
        <w:t>9</w:t>
      </w:r>
      <w:r>
        <w:rPr>
          <w:rFonts w:ascii="仿宋_GB2312" w:eastAsia="仿宋_GB2312"/>
          <w:b w:val="0"/>
          <w:sz w:val="32"/>
          <w:szCs w:val="32"/>
        </w:rPr>
        <w:t>辆，其他用车主要是：下乡用车及单位日常业务用车;单价100万元（含）以上设备（不含车辆）7台（套）。</w:t>
      </w:r>
    </w:p>
    <w:p w14:paraId="30701F8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14:paraId="48E7563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部门2024年度预算绩效管理形成整体支出绩效自评表1个，全年预算总额6,274.09万元，实际执行总额5,873.10万元；预算绩效评价项目6个，全年预算数1,398.00万元，全年执行数1,384.85万元。预算绩效管理取得的成效：一是正常开展各项日常工作，确保机构运转正常；二是及时将职工各项工资待遇发放到位，及时 缴纳各项社会保障缴费；三是完成了推动农机化组织创新、机制创新、技术创新，践行新疆能力、提升效率，塑造新疆形象，为自治区农牧业现代化建设提供装备和技术支撑。指导并组织实施全区农业机械安全检查，安全宣传等各项工作,推进农机安全生产。提升农机部门依法行政能力和公共服务水平，全面加强农机购置补贴政策实施，确保农机购置补贴政策实施好、落实好。全面加强农机市场的监督检查，打击违法违规违纪行为、规范农机市场经济秩序，保障农牧民合法权益；四是组织全区农机监理安全检查，安全宣传，推进安全生产。三级大型工程机械设备和车辆安全监管平台建设督导、检查和验收、宣传教育；农机安全生产日常性检查、督查；农机安全生产隐患排查治理等调研、检查、督查。加强拖拉机和联合收割机安全管理。发放登记证书、行驶证、驾驶证，实行统一集中管理；五是完成本单位承担的各类项目的实施、检查与验收工作，通过项目开展农机化技术的引进、试验、示范、推广工作。推动相关项目的申报。对各地州的农机化技术推广体系、示范区建设和试验示范推广项目进行技术指导和技术服务。发现的问题及原因：一是单位每年上半年为各项工作计划启动阶段，项目调研活动启动较晚，比较影响项目进度；二是预算绩效管理水平仍有欠缺。在2024年预算绩效管理工作中，对全面实施预算绩效管理的要求认识还不全面到位，项目申报、实施等环节与预算绩效管理各个环节联系不够紧密；同时预算绩效管理也是一项新工作，面对专业人手不足、绩效管理水平欠缺的情况下，坚持“滚石上山”，提升的空间还是很大；三是固定资产管理水平有待提高。固定资产台账未及时与账面资产金额对账且未与实物进行清点及及时清理处置报废资产导致资产台账与账面资产金额存在差异,固定资产管理继续加强中。下一步改进措施：一是加强新行政单位会计制度和新预算法学习培训、规范账务处理，加强新《预算法》、《行政单位会计制度》、《会计法》、《行政单位财务规则》等学习培训, 规范部门预算收支核算。一是制定和完善基本支出、项目支出等各项支出标准,严格按项目进度执行预算,增强预算的约束力和严肃性。二是落实预算执行分析,及时了解预算执行差异,合理调整、纠正预算执行偏差，切实提高部门预算收支管理水平。尽可能地做到决算与预算相衔接；二是完善管理制度,进一步加强资产管理。严格按照《固定资产管理办法》的规定，加强固定资产管理,及时登记、更新台账，加强资产卡片管理,对各类实物资产进行全面盘点,确保账账、账实相符；三是加强学习。进一步明确如何参照考核体系，科学合理设定绩效目标，充分发挥预算绩效管理工作效用。具体附部门整体支出绩效自评表，项目支出绩效自评表和部门评价报告。</w:t>
      </w:r>
    </w:p>
    <w:p w14:paraId="32919E7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14:paraId="699B2FB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本部门无其他需说明事项。</w:t>
      </w:r>
    </w:p>
    <w:p w14:paraId="12B799A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14:paraId="47A73336">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6E0534F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 专业名词解释</w:t>
      </w:r>
    </w:p>
    <w:p w14:paraId="2502E96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3277BD4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5E932ED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5F5F354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539CA71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3B64365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0944CC0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1B81E73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8A8F5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131312B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2887489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32AF2EF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0E3B53C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w:t>
      </w:r>
      <w:bookmarkStart w:id="0" w:name="_GoBack"/>
      <w:bookmarkEnd w:id="0"/>
      <w:r>
        <w:rPr>
          <w:rFonts w:ascii="仿宋_GB2312" w:eastAsia="仿宋_GB2312"/>
          <w:b w:val="0"/>
          <w:sz w:val="32"/>
          <w:szCs w:val="32"/>
        </w:rPr>
        <w:t>费、保险费、安全奖励费用等支出；公务接待费反映单位按规定开支的各类公务接待（含外宾接待）费用。</w:t>
      </w:r>
    </w:p>
    <w:p w14:paraId="56ABE52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48983A21">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2EF5EA9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 部门决算报表（见附表）</w:t>
      </w:r>
    </w:p>
    <w:p w14:paraId="19E1239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14:paraId="0885CDF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14:paraId="43AC8FF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14:paraId="0560CA5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14:paraId="53EE3F0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14:paraId="0F7E43D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03506CD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42B814E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0D9C2E1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NTFlM2IxZTQ1NDE0MDk0N2FjYzllMzdjZjM0Y2EzMmQifQ=="/>
  </w:docVars>
  <w:rsids>
    <w:rsidRoot w:val="00000000"/>
    <w:rsid w:val="10C83D1A"/>
    <w:rsid w:val="1306344B"/>
    <w:rsid w:val="150C6716"/>
    <w:rsid w:val="1658298F"/>
    <w:rsid w:val="1C997650"/>
    <w:rsid w:val="1CEE68B6"/>
    <w:rsid w:val="28B400ED"/>
    <w:rsid w:val="30632708"/>
    <w:rsid w:val="3E8E2E01"/>
    <w:rsid w:val="431C567C"/>
    <w:rsid w:val="489857A5"/>
    <w:rsid w:val="4F29722F"/>
    <w:rsid w:val="5F3B3494"/>
    <w:rsid w:val="620D2908"/>
    <w:rsid w:val="6A811388"/>
    <w:rsid w:val="6FBD55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unhideWhenUsed/>
    <w:qFormat/>
    <w:uiPriority w:val="99"/>
    <w:pPr>
      <w:ind w:left="720"/>
    </w:pPr>
  </w:style>
  <w:style w:type="paragraph" w:styleId="7">
    <w:name w:val="caption"/>
    <w:basedOn w:val="1"/>
    <w:next w:val="1"/>
    <w:autoRedefine/>
    <w:semiHidden/>
    <w:unhideWhenUsed/>
    <w:qFormat/>
    <w:uiPriority w:val="35"/>
    <w:pPr>
      <w:spacing w:line="240" w:lineRule="auto"/>
    </w:pPr>
    <w:rPr>
      <w:b/>
      <w:bCs/>
      <w:color w:val="4F81BD" w:themeColor="accent1"/>
      <w:sz w:val="18"/>
      <w:szCs w:val="18"/>
    </w:rPr>
  </w:style>
  <w:style w:type="paragraph" w:styleId="8">
    <w:name w:val="header"/>
    <w:basedOn w:val="1"/>
    <w:link w:val="16"/>
    <w:autoRedefine/>
    <w:unhideWhenUsed/>
    <w:qFormat/>
    <w:uiPriority w:val="99"/>
    <w:pPr>
      <w:tabs>
        <w:tab w:val="center" w:pos="4680"/>
        <w:tab w:val="right" w:pos="9360"/>
      </w:tabs>
    </w:pPr>
  </w:style>
  <w:style w:type="paragraph" w:styleId="9">
    <w:name w:val="Subtitle"/>
    <w:basedOn w:val="1"/>
    <w:next w:val="1"/>
    <w:link w:val="21"/>
    <w:autoRedefine/>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autoRedefine/>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autoRedefine/>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autoRedefine/>
    <w:qFormat/>
    <w:uiPriority w:val="20"/>
    <w:rPr>
      <w:i/>
      <w:iCs/>
    </w:rPr>
  </w:style>
  <w:style w:type="character" w:styleId="15">
    <w:name w:val="Hyperlink"/>
    <w:basedOn w:val="13"/>
    <w:autoRedefine/>
    <w:unhideWhenUsed/>
    <w:qFormat/>
    <w:uiPriority w:val="99"/>
    <w:rPr>
      <w:color w:val="0000FF" w:themeColor="hyperlink"/>
      <w:u w:val="single"/>
    </w:rPr>
  </w:style>
  <w:style w:type="character" w:customStyle="1" w:styleId="16">
    <w:name w:val="Header Char"/>
    <w:basedOn w:val="13"/>
    <w:link w:val="8"/>
    <w:autoRedefine/>
    <w:qFormat/>
    <w:uiPriority w:val="99"/>
  </w:style>
  <w:style w:type="character" w:customStyle="1" w:styleId="17">
    <w:name w:val="Heading 1 Char"/>
    <w:basedOn w:val="13"/>
    <w:link w:val="2"/>
    <w:autoRedefine/>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autoRedefine/>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autoRedefine/>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autoRedefine/>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autoRedefine/>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7990</Words>
  <Characters>8826</Characters>
  <TotalTime>6</TotalTime>
  <ScaleCrop>false</ScaleCrop>
  <LinksUpToDate>false</LinksUpToDate>
  <CharactersWithSpaces>8837</CharactersWithSpaces>
  <Application>WPS Office_12.1.0.22525_F1E327BC-269C-435d-A152-05C5408002CA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2025-08-26T04:25:00Z</dcterms:created>
  <dc:creator>14025</dc:creator>
  <cp:lastModifiedBy>默水</cp:lastModifiedBy>
  <dcterms:modified xsi:type="dcterms:W3CDTF">2025-10-21T04:27:50Z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eyJoZGlkIjoiN2ZkN2U0NTE2ZWZjNGNkOGYwMTY5ODIwZjEyYjUxNGMiLCJ1c2VySWQiOiI0MDc2MTk2NTAifQ==</vt:lpwstr>
  </property>
  <property fmtid="{D5CDD505-2E9C-101B-9397-08002B2CF9AE}" pid="3" name="KSOProductBuildVer">
    <vt:lpwstr>2052-12.1.0.22525</vt:lpwstr>
  </property>
  <property fmtid="{D5CDD505-2E9C-101B-9397-08002B2CF9AE}" pid="4" name="ICV">
    <vt:lpwstr>C9F1B341B8A1455BB0BF607F13927120_12</vt:lpwstr>
  </property>
</Properties>
</file>