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E5FA4">
      <w:pPr>
        <w:widowControl/>
        <w:spacing w:before="0" w:beforeLines="0" w:beforeAutospacing="0" w:after="0" w:afterLines="0" w:afterAutospacing="0" w:line="240" w:lineRule="auto"/>
        <w:jc w:val="left"/>
        <w:rPr>
          <w:rFonts w:ascii="宋体" w:eastAsia="宋体"/>
          <w:sz w:val="32"/>
          <w:szCs w:val="32"/>
        </w:rPr>
      </w:pPr>
    </w:p>
    <w:p w14:paraId="6F162246">
      <w:pPr>
        <w:widowControl/>
        <w:spacing w:before="0" w:beforeLines="0" w:beforeAutospacing="0" w:after="0" w:afterLines="0" w:afterAutospacing="0" w:line="240" w:lineRule="auto"/>
        <w:jc w:val="left"/>
        <w:rPr>
          <w:rFonts w:ascii="宋体" w:eastAsia="宋体"/>
          <w:sz w:val="44"/>
          <w:szCs w:val="44"/>
        </w:rPr>
      </w:pPr>
    </w:p>
    <w:p w14:paraId="3D3BF203">
      <w:pPr>
        <w:widowControl/>
        <w:spacing w:before="0" w:beforeLines="0" w:beforeAutospacing="0" w:after="0" w:afterLines="0" w:afterAutospacing="0" w:line="240" w:lineRule="auto"/>
        <w:jc w:val="left"/>
        <w:rPr>
          <w:rFonts w:ascii="宋体" w:eastAsia="宋体"/>
          <w:sz w:val="44"/>
          <w:szCs w:val="44"/>
        </w:rPr>
      </w:pPr>
    </w:p>
    <w:p w14:paraId="78B0A67D">
      <w:pPr>
        <w:widowControl/>
        <w:spacing w:before="0" w:beforeLines="0" w:beforeAutospacing="0" w:after="0" w:afterLines="0" w:afterAutospacing="0" w:line="240" w:lineRule="auto"/>
        <w:jc w:val="left"/>
        <w:rPr>
          <w:rFonts w:ascii="宋体" w:eastAsia="宋体"/>
          <w:sz w:val="44"/>
          <w:szCs w:val="44"/>
        </w:rPr>
      </w:pPr>
    </w:p>
    <w:p w14:paraId="5F43119F">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新疆维吾尔自治区畜牧兽医局</w:t>
      </w:r>
    </w:p>
    <w:p w14:paraId="5A128A01">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14:paraId="0C60927D">
      <w:pPr>
        <w:widowControl/>
      </w:pPr>
      <w:r>
        <w:rPr>
          <w:b w:val="0"/>
          <w:sz w:val="0"/>
          <w:szCs w:val="0"/>
        </w:rPr>
        <w:br w:type="page"/>
      </w:r>
    </w:p>
    <w:p w14:paraId="42D436EB">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14:paraId="499EA60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14:paraId="49585C7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1A9BDB7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14:paraId="7DFC2AD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14:paraId="735B7D0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4154553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02D1C3C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5363AF3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033FE1B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3752526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64A36F2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5C375A3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29ECEC8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484EF92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34E48D3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09BBFA8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07E6736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227B3AE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6FCC202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40F9370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3886566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21D3BD5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643493F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14:paraId="0C5333A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14:paraId="0524A0D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23CE533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63DFD23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714B6F0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46BE0BF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7B2A0FB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52BBE72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189B7E4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41B1496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63F28F58">
      <w:pPr>
        <w:widowControl/>
      </w:pPr>
      <w:r>
        <w:rPr>
          <w:b w:val="0"/>
          <w:sz w:val="0"/>
          <w:szCs w:val="0"/>
        </w:rPr>
        <w:br w:type="page"/>
      </w:r>
    </w:p>
    <w:p w14:paraId="15B79FAB">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14:paraId="4D29400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1F718B5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sz w:val="32"/>
          <w:szCs w:val="32"/>
          <w:lang w:val="en-US" w:eastAsia="zh-CN"/>
        </w:rPr>
        <w:t>（一）贯彻落实国家和自治区有关畜牧兽医方面的法律法规和政策等。</w:t>
      </w:r>
    </w:p>
    <w:p w14:paraId="1086E4C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（二）负责畜牧业、兽药和兽医器械行业、饲料饲草业、畜禽屠宰行业的监督管理。</w:t>
      </w:r>
    </w:p>
    <w:p w14:paraId="699CCBA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（三）起草畜牧业、兽药和兽医器械行业、兽医事业发展、动物疫病防治、检疫监督、饲料饲草业、畜禽屠宰行业的政策法规草案，拟订发展规划，提出相关政策建议并组织实施。</w:t>
      </w:r>
    </w:p>
    <w:p w14:paraId="381212A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（四）拟订畜牧业、兽医器械行业、动物疫病防治、动物卫生、饲料饲草业、畜禽屠宰行业有关标准和技术规范并组织实施。</w:t>
      </w:r>
    </w:p>
    <w:p w14:paraId="1C70C79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（五）指导畜牧业结构调整、畜禽遗传资源保护与利用、种畜禽管理及良种推广利用、标准化规模化生产、畜禽养殖场备案管理、畜禽粪污资源化利用、病死畜禽无害化处理、畜牧设施装备现代化。</w:t>
      </w:r>
    </w:p>
    <w:p w14:paraId="6DD290D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（六）指导饲草良种体系建设、饲草生产加工流通、草牧业转型升级、农牧交错带产业结构调整。</w:t>
      </w:r>
    </w:p>
    <w:p w14:paraId="2E21C3B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（七）负责动物疫病防治和管理工作。组织实施动物疫病监测和风险评估</w:t>
      </w:r>
      <w:r>
        <w:rPr>
          <w:rFonts w:hint="eastAsia" w:ascii="仿宋_GB2312" w:eastAsia="仿宋_GB2312"/>
          <w:sz w:val="32"/>
          <w:szCs w:val="32"/>
          <w:lang w:val="en-US" w:eastAsia="zh-CN"/>
        </w:rPr>
        <w:t>。</w:t>
      </w:r>
      <w:r>
        <w:rPr>
          <w:rFonts w:hint="default" w:ascii="仿宋_GB2312" w:eastAsia="仿宋_GB2312"/>
          <w:sz w:val="32"/>
          <w:szCs w:val="32"/>
          <w:lang w:val="en-US" w:eastAsia="zh-CN"/>
        </w:rPr>
        <w:t>负责动物防疫应急管理。</w:t>
      </w:r>
    </w:p>
    <w:p w14:paraId="25798FB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（八）负责兽医医政监督管理，负责兽医相关人员、兽医和动物诊疗机构管理。承担畜牧兽医体系建设工作。</w:t>
      </w:r>
    </w:p>
    <w:p w14:paraId="363E95F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（九）负责实施动物及动物产品检疫、动物防疫条件审核、动物标识及动物产品可追溯、动物卫生监督分级管理工作。</w:t>
      </w:r>
    </w:p>
    <w:p w14:paraId="39A70F1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（十）实施兽医生物制品、动物病原微生物和实验室生物安全分级管理，负责兽医实验室考核评估。</w:t>
      </w:r>
    </w:p>
    <w:p w14:paraId="24493A3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（十一）负责兽药及兽医器械、饲料及饲料添加剂、生鲜乳生产收购运输环节、畜禽屠宰环节质量安全监督管理。</w:t>
      </w:r>
    </w:p>
    <w:p w14:paraId="57513FF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（十二）提出畜牧兽医科研、技术推广项目建议，负责重大科研、推广项目的管理工作。指导行业技术推广体系建设与改革。负责组织畜牧行业科技培训。</w:t>
      </w:r>
    </w:p>
    <w:p w14:paraId="1459FA8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（十三）组织畜禽养殖、屠宰、饲料饲草生产等牧情调度，承担畜牧业综合生产形势分析和畜牧兽医行业统计有关工作。组织畜牧业产品供求信息、价格信息的收集和分析。</w:t>
      </w:r>
    </w:p>
    <w:p w14:paraId="4717E0B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（十四）拟订畜牧业发展规划。提出相关投资项目需求和财政项目安排建议并组织实施。</w:t>
      </w:r>
    </w:p>
    <w:p w14:paraId="7400030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（十五）完成自治区党委、自治区人民政府交办的其他事项。</w:t>
      </w:r>
    </w:p>
    <w:p w14:paraId="3356038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（十六）职能转变。</w:t>
      </w:r>
    </w:p>
    <w:p w14:paraId="109AA8B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（1）贯彻落实实施乡村振兴战略要求，推进畜牧业供给侧结构性改革，提升劳动生产率、资源利用率、畜禽生产率，提升畜产品有效供给能力，提升畜牧业绿色发展水平，加快推进畜牧业现代化。</w:t>
      </w:r>
    </w:p>
    <w:p w14:paraId="69E1138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（2）加强畜牧业投入品、生鲜乳和畜禽养殖、屠宰等各环节监督管理和动物疫病防控，严防、严管、严控质量安全风险和重大动物疫病风险。</w:t>
      </w:r>
    </w:p>
    <w:p w14:paraId="484F9CB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（3）深入推进简政放权，落实“放管服”要求，最大限度简化畜牧兽医有关行政审批事项办理程序及要求，加强事中事后监管。</w:t>
      </w:r>
    </w:p>
    <w:p w14:paraId="701E69C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14:paraId="5D48EDC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新疆维吾尔自治区畜牧兽医局2024年度，实有人数1,162人，其中：在职人员412人，减少79人；离休人员3人，减少3人；退休人员747人，增加18人。</w:t>
      </w:r>
    </w:p>
    <w:p w14:paraId="34C46E7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从部门决算单位构成看，新疆维吾尔自治区畜牧兽医局部门决算包括：新疆维吾尔自治区畜牧兽医局本级决算及所属单位决算。</w:t>
      </w:r>
    </w:p>
    <w:p w14:paraId="7D2AD0A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新疆维吾尔自治区畜牧兽医局本级下设</w:t>
      </w:r>
      <w:r>
        <w:rPr>
          <w:rFonts w:hint="eastAsia" w:ascii="仿宋_GB2312" w:eastAsia="仿宋_GB2312"/>
          <w:b w:val="0"/>
          <w:sz w:val="32"/>
          <w:szCs w:val="32"/>
          <w:lang w:val="en-US" w:eastAsia="zh-CN"/>
        </w:rPr>
        <w:t>13</w:t>
      </w:r>
      <w:r>
        <w:rPr>
          <w:rFonts w:ascii="仿宋_GB2312" w:eastAsia="仿宋_GB2312"/>
          <w:b w:val="0"/>
          <w:sz w:val="32"/>
          <w:szCs w:val="32"/>
        </w:rPr>
        <w:t>个</w:t>
      </w:r>
      <w:r>
        <w:rPr>
          <w:rFonts w:hint="eastAsia" w:ascii="仿宋_GB2312" w:eastAsia="仿宋_GB2312"/>
          <w:b w:val="0"/>
          <w:sz w:val="32"/>
          <w:szCs w:val="32"/>
          <w:lang w:eastAsia="zh-CN"/>
        </w:rPr>
        <w:t>处室</w:t>
      </w:r>
      <w:r>
        <w:rPr>
          <w:rFonts w:ascii="仿宋_GB2312" w:eastAsia="仿宋_GB2312"/>
          <w:b w:val="0"/>
          <w:sz w:val="32"/>
          <w:szCs w:val="32"/>
        </w:rPr>
        <w:t>，分别是：</w:t>
      </w:r>
      <w:r>
        <w:rPr>
          <w:rFonts w:ascii="仿宋_GB2312" w:eastAsia="仿宋_GB2312"/>
          <w:b w:val="0"/>
          <w:sz w:val="32"/>
          <w:szCs w:val="32"/>
          <w:lang w:val="en-US" w:eastAsia="zh-CN"/>
        </w:rPr>
        <w:t>办公</w:t>
      </w:r>
      <w:r>
        <w:rPr>
          <w:rFonts w:hint="eastAsia" w:ascii="仿宋_GB2312" w:eastAsia="仿宋_GB2312"/>
          <w:b w:val="0"/>
          <w:sz w:val="32"/>
          <w:szCs w:val="32"/>
          <w:lang w:val="en-US" w:eastAsia="zh-CN"/>
        </w:rPr>
        <w:t>室、计划财务室、科技与法规处、产业发展处、畜牧处、防疫处、医政与检疫监督处、药政药械处、饲料饲草处、畜禽屠宰行业管理处、畜禽废弃物利用处、机关党委（人事处）、离退休干部工作处</w:t>
      </w:r>
      <w:r>
        <w:rPr>
          <w:rFonts w:ascii="仿宋_GB2312" w:eastAsia="仿宋_GB2312"/>
          <w:b w:val="0"/>
          <w:sz w:val="32"/>
          <w:szCs w:val="32"/>
        </w:rPr>
        <w:t>。</w:t>
      </w:r>
    </w:p>
    <w:p w14:paraId="6D07CE0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纳入新疆维吾尔自治区畜牧兽医局2024年度部门决算编制范围的下属预算单位包括：</w:t>
      </w:r>
    </w:p>
    <w:p w14:paraId="08759BE6">
      <w:pPr>
        <w:widowControl/>
        <w:numPr>
          <w:ilvl w:val="0"/>
          <w:numId w:val="1"/>
        </w:numPr>
        <w:spacing w:before="0" w:beforeLines="0" w:beforeAutospacing="0" w:after="0" w:afterLines="0" w:afterAutospacing="0" w:line="240" w:lineRule="auto"/>
        <w:jc w:val="both"/>
        <w:rPr>
          <w:rFonts w:ascii="仿宋_GB2312" w:eastAsia="仿宋_GB2312"/>
          <w:b w:val="0"/>
          <w:sz w:val="32"/>
          <w:szCs w:val="32"/>
        </w:rPr>
      </w:pPr>
      <w:r>
        <w:rPr>
          <w:rFonts w:ascii="仿宋_GB2312" w:eastAsia="仿宋_GB2312"/>
          <w:b w:val="0"/>
          <w:sz w:val="32"/>
          <w:szCs w:val="32"/>
        </w:rPr>
        <w:t>新疆维吾尔自治区畜牧兽医局办公室</w:t>
      </w:r>
    </w:p>
    <w:p w14:paraId="02B098CE">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新疆维吾尔自治区牧业信息中心</w:t>
      </w:r>
    </w:p>
    <w:p w14:paraId="48B9C08B">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新疆维吾尔自治区畜牧总站</w:t>
      </w:r>
    </w:p>
    <w:p w14:paraId="6494A189">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新疆维吾尔自治区动物卫生监督所（新疆维吾尔自治区动物疾病预防控制中心）</w:t>
      </w:r>
    </w:p>
    <w:p w14:paraId="3B481E3A">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新疆维吾尔自治区兽药饲料监察所</w:t>
      </w:r>
    </w:p>
    <w:p w14:paraId="21C1FD86">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新疆维吾尔自治区畜牧兽医局畜牧科技资料编译室</w:t>
      </w:r>
    </w:p>
    <w:p w14:paraId="6D18E6A3">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新疆伊犁职业技术学院</w:t>
      </w:r>
    </w:p>
    <w:p w14:paraId="7FFF2B6A">
      <w:pPr>
        <w:widowControl/>
        <w:numPr>
          <w:ilvl w:val="0"/>
          <w:numId w:val="1"/>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新疆维吾尔自治区畜牧兽医局机关服务中心</w:t>
      </w:r>
    </w:p>
    <w:p w14:paraId="1D35F5E7">
      <w:pPr>
        <w:widowControl/>
      </w:pPr>
      <w:r>
        <w:rPr>
          <w:b w:val="0"/>
          <w:sz w:val="0"/>
          <w:szCs w:val="0"/>
        </w:rPr>
        <w:br w:type="page"/>
      </w:r>
    </w:p>
    <w:p w14:paraId="416EBC10">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14:paraId="178E97E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59E970A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2024年度收入总计16,383.07万元，其中：本年收入合计15,372.77万元，使用非财政拨款结余（含专用结余）0.00万元，年初结转和结余1,010.29万元。</w:t>
      </w:r>
    </w:p>
    <w:p w14:paraId="77DE95E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2024年度支出总计16,383.07万元，其中：本年支出合计15,462.87万元，结余分配0.00万元，年末结转和结余920.19万元。</w:t>
      </w:r>
    </w:p>
    <w:p w14:paraId="58FC4EA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收入支出总体与上年相比，减少5,956.06万元，下降26.66%，主要原因是：</w:t>
      </w:r>
      <w:r>
        <w:rPr>
          <w:rFonts w:hint="eastAsia" w:ascii="仿宋_GB2312" w:eastAsia="仿宋_GB2312"/>
          <w:b w:val="0"/>
          <w:sz w:val="32"/>
          <w:szCs w:val="32"/>
          <w:lang w:val="en-US" w:eastAsia="zh-CN"/>
        </w:rPr>
        <w:t>2024年自治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机构改革行政人员调整到农业农村厅，财政资金转到农业农村厅支出，同时自治区动物防疫等补助资金、自治区畜牧业生产发展资金等项目资金减少，导致本年</w:t>
      </w:r>
      <w:r>
        <w:rPr>
          <w:rFonts w:ascii="仿宋_GB2312" w:eastAsia="仿宋_GB2312"/>
          <w:b w:val="0"/>
          <w:sz w:val="32"/>
          <w:szCs w:val="32"/>
        </w:rPr>
        <w:t>收入支出总体</w:t>
      </w:r>
      <w:r>
        <w:rPr>
          <w:rFonts w:hint="eastAsia" w:ascii="Times New Roman" w:hAnsi="Times New Roman" w:eastAsia="仿宋_GB2312" w:cs="Times New Roman"/>
          <w:color w:val="auto"/>
          <w:sz w:val="32"/>
          <w:szCs w:val="32"/>
          <w:highlight w:val="none"/>
          <w:lang w:val="en-US" w:eastAsia="zh-CN"/>
        </w:rPr>
        <w:t>较上年减少</w:t>
      </w:r>
      <w:r>
        <w:rPr>
          <w:rFonts w:ascii="仿宋_GB2312" w:eastAsia="仿宋_GB2312"/>
          <w:b w:val="0"/>
          <w:sz w:val="32"/>
          <w:szCs w:val="32"/>
        </w:rPr>
        <w:t>。</w:t>
      </w:r>
    </w:p>
    <w:p w14:paraId="457281C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7765AA4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本年收入15,372.77万元，其中：财政拨款收入14,648.56万元</w:t>
      </w:r>
      <w:r>
        <w:rPr>
          <w:rFonts w:hint="eastAsia" w:ascii="仿宋_GB2312" w:eastAsia="仿宋_GB2312"/>
          <w:b w:val="0"/>
          <w:sz w:val="32"/>
          <w:szCs w:val="32"/>
          <w:lang w:eastAsia="zh-CN"/>
        </w:rPr>
        <w:t>，</w:t>
      </w:r>
      <w:r>
        <w:rPr>
          <w:rFonts w:ascii="仿宋_GB2312" w:eastAsia="仿宋_GB2312"/>
          <w:b w:val="0"/>
          <w:sz w:val="32"/>
          <w:szCs w:val="32"/>
        </w:rPr>
        <w:t>占95.29%；上级补助收入0.00万元</w:t>
      </w:r>
      <w:r>
        <w:rPr>
          <w:rFonts w:hint="eastAsia" w:ascii="仿宋_GB2312" w:eastAsia="仿宋_GB2312"/>
          <w:b w:val="0"/>
          <w:sz w:val="32"/>
          <w:szCs w:val="32"/>
          <w:lang w:eastAsia="zh-CN"/>
        </w:rPr>
        <w:t>，</w:t>
      </w:r>
      <w:r>
        <w:rPr>
          <w:rFonts w:ascii="仿宋_GB2312" w:eastAsia="仿宋_GB2312"/>
          <w:b w:val="0"/>
          <w:sz w:val="32"/>
          <w:szCs w:val="32"/>
        </w:rPr>
        <w:t>占0.00%；事业收入0.00万元，占0.00%；经营收入0.00万元</w:t>
      </w:r>
      <w:r>
        <w:rPr>
          <w:rFonts w:hint="eastAsia" w:ascii="仿宋_GB2312" w:eastAsia="仿宋_GB2312"/>
          <w:b w:val="0"/>
          <w:sz w:val="32"/>
          <w:szCs w:val="32"/>
          <w:lang w:eastAsia="zh-CN"/>
        </w:rPr>
        <w:t>，</w:t>
      </w:r>
      <w:r>
        <w:rPr>
          <w:rFonts w:ascii="仿宋_GB2312" w:eastAsia="仿宋_GB2312"/>
          <w:b w:val="0"/>
          <w:sz w:val="32"/>
          <w:szCs w:val="32"/>
        </w:rPr>
        <w:t>占0.00%；附属单位上缴收入0.00万元，占0.00%；其他收入724.21万元，占4.71%。</w:t>
      </w:r>
    </w:p>
    <w:p w14:paraId="3CC0ADC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47F34E7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本年支出15,462.87万元，其中：基本支出11,817.82万元，占76.43%；项目支出3,645.05万元，占23.57%；上缴上级支出0.00万元，占0.00%；经营支出0.00万元，占0.00%；对附属单位补助支出0.00万元，占0.00%。</w:t>
      </w:r>
    </w:p>
    <w:p w14:paraId="49C5239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687A6D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15,039.24万元，其中：年初财政拨款结转和结余390.69万元，本年财政拨款收入14,648.56万元。财政拨款支出总计15,039.24万元，其中：年末财政拨款结转和结余395.92万元，本年财政拨款支出14,643.32万元。</w:t>
      </w:r>
    </w:p>
    <w:p w14:paraId="1E59B82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财政拨款收入支出总体与上年相比，减少5,176.37万元，下降25.61%，主要原因是：</w:t>
      </w:r>
      <w:r>
        <w:rPr>
          <w:rFonts w:hint="eastAsia" w:ascii="仿宋_GB2312" w:eastAsia="仿宋_GB2312"/>
          <w:b w:val="0"/>
          <w:sz w:val="32"/>
          <w:szCs w:val="32"/>
          <w:lang w:val="en-US" w:eastAsia="zh-CN"/>
        </w:rPr>
        <w:t>2024年自治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机构改革行政人员调整到农业农村厅，财政资金转到农业农村厅支出，同时自治区动物防疫等补助资金、自治区畜牧业生产发展资金等项目资金减少，导致</w:t>
      </w:r>
      <w:r>
        <w:rPr>
          <w:rFonts w:ascii="仿宋_GB2312" w:eastAsia="仿宋_GB2312"/>
          <w:b w:val="0"/>
          <w:sz w:val="32"/>
          <w:szCs w:val="32"/>
        </w:rPr>
        <w:t>财政拨款</w:t>
      </w:r>
      <w:r>
        <w:rPr>
          <w:rFonts w:hint="eastAsia" w:ascii="仿宋_GB2312" w:eastAsia="仿宋_GB2312"/>
          <w:b w:val="0"/>
          <w:sz w:val="32"/>
          <w:szCs w:val="32"/>
          <w:lang w:val="en-US" w:eastAsia="zh-CN"/>
        </w:rPr>
        <w:t>支出</w:t>
      </w:r>
      <w:r>
        <w:rPr>
          <w:rFonts w:hint="eastAsia" w:ascii="Times New Roman" w:hAnsi="Times New Roman" w:eastAsia="仿宋_GB2312" w:cs="Times New Roman"/>
          <w:color w:val="auto"/>
          <w:sz w:val="32"/>
          <w:szCs w:val="32"/>
          <w:highlight w:val="none"/>
          <w:lang w:val="en-US" w:eastAsia="zh-CN"/>
        </w:rPr>
        <w:t>较上年减少</w:t>
      </w:r>
      <w:r>
        <w:rPr>
          <w:rFonts w:ascii="仿宋_GB2312" w:eastAsia="仿宋_GB2312"/>
          <w:b w:val="0"/>
          <w:sz w:val="32"/>
          <w:szCs w:val="32"/>
        </w:rPr>
        <w:t>。与年初预算相比，年初预算数15,905.09万元，决算数15,039.24万元，预决算差异率-5.44%，主要原因是：</w:t>
      </w:r>
      <w:r>
        <w:rPr>
          <w:rFonts w:hint="eastAsia" w:ascii="仿宋_GB2312" w:eastAsia="仿宋_GB2312"/>
          <w:b w:val="0"/>
          <w:sz w:val="32"/>
          <w:szCs w:val="32"/>
          <w:highlight w:val="none"/>
          <w:lang w:val="en-US" w:eastAsia="zh-CN"/>
        </w:rPr>
        <w:t>2024</w:t>
      </w:r>
      <w:r>
        <w:rPr>
          <w:rFonts w:hint="eastAsia" w:ascii="Times New Roman" w:hAnsi="Times New Roman" w:eastAsia="仿宋_GB2312" w:cs="Times New Roman"/>
          <w:color w:val="auto"/>
          <w:sz w:val="32"/>
          <w:szCs w:val="32"/>
          <w:highlight w:val="none"/>
          <w:lang w:val="en-US" w:eastAsia="zh-CN"/>
        </w:rPr>
        <w:t>年</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机构改革行政人员调整到农业农村厅，财政资金转到农业农村厅支出，年中调减相关经费支出，导致预决算产生差异</w:t>
      </w:r>
      <w:r>
        <w:rPr>
          <w:rFonts w:ascii="仿宋_GB2312" w:eastAsia="仿宋_GB2312"/>
          <w:b w:val="0"/>
          <w:sz w:val="32"/>
          <w:szCs w:val="32"/>
          <w:highlight w:val="none"/>
        </w:rPr>
        <w:t>。</w:t>
      </w:r>
    </w:p>
    <w:p w14:paraId="0DC1DE8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19E682B4">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14:paraId="74CF7CE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2024年度一般公共预算财政拨款支出14,643.32万元，占本年支出合计的94.70%。与上年相比，减少5,148.97万元，下降26.02%，主要原因是：</w:t>
      </w:r>
      <w:r>
        <w:rPr>
          <w:rFonts w:hint="eastAsia" w:ascii="仿宋_GB2312" w:eastAsia="仿宋_GB2312"/>
          <w:b w:val="0"/>
          <w:sz w:val="32"/>
          <w:szCs w:val="32"/>
          <w:lang w:val="en-US" w:eastAsia="zh-CN"/>
        </w:rPr>
        <w:t>2024</w:t>
      </w:r>
      <w:r>
        <w:rPr>
          <w:rFonts w:hint="eastAsia" w:ascii="Times New Roman" w:hAnsi="Times New Roman" w:eastAsia="仿宋_GB2312" w:cs="Times New Roman"/>
          <w:color w:val="auto"/>
          <w:sz w:val="32"/>
          <w:szCs w:val="32"/>
          <w:highlight w:val="none"/>
          <w:lang w:val="en-US" w:eastAsia="zh-CN"/>
        </w:rPr>
        <w:t>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机构改革行政人员调整到农业农村厅，财政资金转到农业农村厅支出，同时</w:t>
      </w:r>
      <w:r>
        <w:rPr>
          <w:rFonts w:ascii="仿宋_GB2312" w:eastAsia="仿宋_GB2312"/>
          <w:b w:val="0"/>
          <w:sz w:val="32"/>
          <w:szCs w:val="32"/>
          <w:highlight w:val="none"/>
          <w:lang w:val="en-US" w:eastAsia="zh-CN"/>
        </w:rPr>
        <w:t>中央动物防疫等</w:t>
      </w:r>
      <w:r>
        <w:rPr>
          <w:rFonts w:hint="eastAsia" w:ascii="仿宋_GB2312" w:eastAsia="仿宋_GB2312"/>
          <w:b w:val="0"/>
          <w:sz w:val="32"/>
          <w:szCs w:val="32"/>
          <w:highlight w:val="none"/>
          <w:lang w:val="en-US" w:eastAsia="zh-CN"/>
        </w:rPr>
        <w:t>补助经费和自治区动物防疫等补助经费减少</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导致本年支出较上年减少</w:t>
      </w:r>
      <w:r>
        <w:rPr>
          <w:rFonts w:ascii="仿宋_GB2312" w:eastAsia="仿宋_GB2312"/>
          <w:b w:val="0"/>
          <w:sz w:val="32"/>
          <w:szCs w:val="32"/>
        </w:rPr>
        <w:t>。与年初预算相比，年初预算数15,905.09万元，决算数14,643.32万元，预决算差异率-7.93%，主要原因是：</w:t>
      </w:r>
      <w:r>
        <w:rPr>
          <w:rFonts w:hint="eastAsia" w:ascii="仿宋_GB2312" w:eastAsia="仿宋_GB2312"/>
          <w:b w:val="0"/>
          <w:sz w:val="32"/>
          <w:szCs w:val="32"/>
          <w:highlight w:val="none"/>
          <w:lang w:val="en-US" w:eastAsia="zh-CN"/>
        </w:rPr>
        <w:t>2024</w:t>
      </w:r>
      <w:r>
        <w:rPr>
          <w:rFonts w:hint="eastAsia" w:ascii="Times New Roman" w:hAnsi="Times New Roman" w:eastAsia="仿宋_GB2312" w:cs="Times New Roman"/>
          <w:color w:val="auto"/>
          <w:sz w:val="32"/>
          <w:szCs w:val="32"/>
          <w:highlight w:val="none"/>
          <w:lang w:val="en-US" w:eastAsia="zh-CN"/>
        </w:rPr>
        <w:t>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机构改革行政人员调整到农业农村厅，财政资金转到农业农村厅支出，年中调减相关经费支出，导致预决算产生差异</w:t>
      </w:r>
      <w:r>
        <w:rPr>
          <w:rFonts w:ascii="仿宋_GB2312" w:eastAsia="仿宋_GB2312"/>
          <w:b w:val="0"/>
          <w:sz w:val="32"/>
          <w:szCs w:val="32"/>
          <w:highlight w:val="none"/>
        </w:rPr>
        <w:t>。</w:t>
      </w:r>
    </w:p>
    <w:p w14:paraId="56537879">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14:paraId="39ADA3D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教育支出（类）1,860.32万元，占12.70%。</w:t>
      </w:r>
    </w:p>
    <w:p w14:paraId="522280D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社会保障和就业支出（类）2,297.64万元，占15.69%。</w:t>
      </w:r>
    </w:p>
    <w:p w14:paraId="3B0EAA3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卫生健康支出（类）728.67万元，占4.98%。</w:t>
      </w:r>
    </w:p>
    <w:p w14:paraId="0F2D56B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农林水支出（类）9,160.06万元，占62.55%。</w:t>
      </w:r>
    </w:p>
    <w:p w14:paraId="3EF9B92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5.</w:t>
      </w:r>
      <w:r>
        <w:rPr>
          <w:rFonts w:ascii="仿宋_GB2312" w:eastAsia="仿宋_GB2312"/>
          <w:b w:val="0"/>
          <w:sz w:val="32"/>
          <w:szCs w:val="32"/>
        </w:rPr>
        <w:t>住房保障支出（类）596.63万元，占4.07%。</w:t>
      </w:r>
    </w:p>
    <w:p w14:paraId="58741F8E">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14:paraId="45E7A39A">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教育支出（类）职业教育（款）高等职业教育（项）：支出决算数为1,860.32万元，比上年决算增加57.67万元，增长3.20%，主要原因是：</w:t>
      </w:r>
      <w:r>
        <w:rPr>
          <w:rFonts w:hint="default" w:ascii="仿宋_GB2312" w:eastAsia="仿宋_GB2312"/>
          <w:b w:val="0"/>
          <w:sz w:val="32"/>
          <w:szCs w:val="32"/>
          <w:lang w:val="en-US" w:eastAsia="zh-CN"/>
        </w:rPr>
        <w:t>新疆伊犁职业技术学院（原牧校）</w:t>
      </w:r>
      <w:r>
        <w:rPr>
          <w:rFonts w:hint="eastAsia" w:ascii="仿宋_GB2312" w:eastAsia="仿宋_GB2312"/>
          <w:b w:val="0"/>
          <w:sz w:val="32"/>
          <w:szCs w:val="32"/>
          <w:lang w:eastAsia="zh-CN"/>
        </w:rPr>
        <w:t>人员工资绩效增加，相应</w:t>
      </w:r>
      <w:r>
        <w:rPr>
          <w:rFonts w:ascii="仿宋_GB2312" w:eastAsia="仿宋_GB2312"/>
          <w:b w:val="0"/>
          <w:sz w:val="32"/>
          <w:szCs w:val="32"/>
        </w:rPr>
        <w:t>高等职业教育</w:t>
      </w:r>
      <w:r>
        <w:rPr>
          <w:rFonts w:hint="eastAsia" w:ascii="仿宋_GB2312" w:eastAsia="仿宋_GB2312"/>
          <w:b w:val="0"/>
          <w:sz w:val="32"/>
          <w:szCs w:val="32"/>
          <w:lang w:eastAsia="zh-CN"/>
        </w:rPr>
        <w:t>支出增加。</w:t>
      </w:r>
    </w:p>
    <w:p w14:paraId="14595F1B">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社会保障和就业支出（类）行政事业单位养老支出（款）行政单位离退休（项）：支出决算数为586.08万元，比上年决算减少133.39万元，下降18.54%，主要原因是：</w:t>
      </w:r>
      <w:r>
        <w:rPr>
          <w:rFonts w:hint="eastAsia" w:ascii="仿宋_GB2312" w:eastAsia="仿宋_GB2312"/>
          <w:b w:val="0"/>
          <w:sz w:val="32"/>
          <w:szCs w:val="32"/>
          <w:lang w:val="en-US" w:eastAsia="zh-CN"/>
        </w:rPr>
        <w:t>2024</w:t>
      </w:r>
      <w:r>
        <w:rPr>
          <w:rFonts w:hint="eastAsia" w:ascii="Times New Roman" w:hAnsi="Times New Roman" w:eastAsia="仿宋_GB2312" w:cs="Times New Roman"/>
          <w:color w:val="auto"/>
          <w:sz w:val="32"/>
          <w:szCs w:val="32"/>
          <w:highlight w:val="none"/>
          <w:lang w:val="en-US" w:eastAsia="zh-CN"/>
        </w:rPr>
        <w:t>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机构改革行政人员调整到农业农村厅，财政资金转到农业农村厅支出，</w:t>
      </w:r>
      <w:r>
        <w:rPr>
          <w:rFonts w:ascii="仿宋_GB2312" w:eastAsia="仿宋_GB2312"/>
          <w:b w:val="0"/>
          <w:sz w:val="32"/>
          <w:szCs w:val="32"/>
        </w:rPr>
        <w:t>离休人员减少</w:t>
      </w:r>
      <w:r>
        <w:rPr>
          <w:rFonts w:hint="eastAsia" w:ascii="仿宋_GB2312" w:eastAsia="仿宋_GB2312"/>
          <w:b w:val="0"/>
          <w:sz w:val="32"/>
          <w:szCs w:val="32"/>
          <w:lang w:eastAsia="zh-CN"/>
        </w:rPr>
        <w:t>，</w:t>
      </w:r>
      <w:r>
        <w:rPr>
          <w:rFonts w:ascii="仿宋_GB2312" w:eastAsia="仿宋_GB2312"/>
          <w:b w:val="0"/>
          <w:sz w:val="32"/>
          <w:szCs w:val="32"/>
        </w:rPr>
        <w:t>行政单位离退休</w:t>
      </w:r>
      <w:r>
        <w:rPr>
          <w:rFonts w:hint="eastAsia" w:ascii="仿宋_GB2312" w:eastAsia="仿宋_GB2312"/>
          <w:b w:val="0"/>
          <w:sz w:val="32"/>
          <w:szCs w:val="32"/>
          <w:lang w:eastAsia="zh-CN"/>
        </w:rPr>
        <w:t>支出减少。</w:t>
      </w:r>
    </w:p>
    <w:p w14:paraId="2166C1C7">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社会保障和就业支出（类）行政事业单位养老支出（款）事业单位离退休（项）：支出决算数为657.15万元，比上年决算增加31.19万元，增长4.98%，主要原因是：</w:t>
      </w:r>
      <w:r>
        <w:rPr>
          <w:rFonts w:hint="eastAsia" w:ascii="仿宋_GB2312" w:eastAsia="仿宋_GB2312"/>
          <w:b w:val="0"/>
          <w:sz w:val="32"/>
          <w:szCs w:val="32"/>
          <w:lang w:eastAsia="zh-CN"/>
        </w:rPr>
        <w:t>事业</w:t>
      </w:r>
      <w:r>
        <w:rPr>
          <w:rFonts w:ascii="仿宋_GB2312" w:eastAsia="仿宋_GB2312"/>
          <w:b w:val="0"/>
          <w:sz w:val="32"/>
          <w:szCs w:val="32"/>
        </w:rPr>
        <w:t>退休人员增加</w:t>
      </w:r>
      <w:r>
        <w:rPr>
          <w:rFonts w:hint="eastAsia" w:ascii="仿宋_GB2312" w:eastAsia="仿宋_GB2312"/>
          <w:b w:val="0"/>
          <w:sz w:val="32"/>
          <w:szCs w:val="32"/>
          <w:lang w:eastAsia="zh-CN"/>
        </w:rPr>
        <w:t>，</w:t>
      </w:r>
      <w:r>
        <w:rPr>
          <w:rFonts w:ascii="仿宋_GB2312" w:eastAsia="仿宋_GB2312"/>
          <w:b w:val="0"/>
          <w:sz w:val="32"/>
          <w:szCs w:val="32"/>
        </w:rPr>
        <w:t>事业单位离退休</w:t>
      </w:r>
      <w:r>
        <w:rPr>
          <w:rFonts w:hint="eastAsia" w:ascii="仿宋_GB2312" w:eastAsia="仿宋_GB2312"/>
          <w:b w:val="0"/>
          <w:sz w:val="32"/>
          <w:szCs w:val="32"/>
          <w:lang w:eastAsia="zh-CN"/>
        </w:rPr>
        <w:t>支出增加。</w:t>
      </w:r>
    </w:p>
    <w:p w14:paraId="1C791FDA">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社会保障和就业支出（类）行政事业单位养老支出（款）机关事业单位基本养老保险缴费支出（项）：支出决算数为764.02万元，比上年决算减少107.31万元，下降12.32%，主要原因是：</w:t>
      </w:r>
      <w:r>
        <w:rPr>
          <w:rFonts w:hint="eastAsia" w:ascii="仿宋_GB2312" w:eastAsia="仿宋_GB2312"/>
          <w:b w:val="0"/>
          <w:sz w:val="32"/>
          <w:szCs w:val="32"/>
          <w:lang w:val="en-US" w:eastAsia="zh-CN"/>
        </w:rPr>
        <w:t>2024</w:t>
      </w:r>
      <w:r>
        <w:rPr>
          <w:rFonts w:hint="eastAsia" w:ascii="Times New Roman" w:hAnsi="Times New Roman" w:eastAsia="仿宋_GB2312" w:cs="Times New Roman"/>
          <w:color w:val="auto"/>
          <w:sz w:val="32"/>
          <w:szCs w:val="32"/>
          <w:highlight w:val="none"/>
          <w:lang w:val="en-US" w:eastAsia="zh-CN"/>
        </w:rPr>
        <w:t>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机构改革行政人员调整到农业农村厅，财政资金转到农业农村厅支出，在职人员减少，</w:t>
      </w:r>
      <w:r>
        <w:rPr>
          <w:rFonts w:ascii="仿宋_GB2312" w:eastAsia="仿宋_GB2312"/>
          <w:b w:val="0"/>
          <w:sz w:val="32"/>
          <w:szCs w:val="32"/>
        </w:rPr>
        <w:t>基本养老保险缴费支出</w:t>
      </w:r>
      <w:r>
        <w:rPr>
          <w:rFonts w:hint="eastAsia" w:ascii="仿宋_GB2312" w:eastAsia="仿宋_GB2312"/>
          <w:b w:val="0"/>
          <w:sz w:val="32"/>
          <w:szCs w:val="32"/>
          <w:lang w:eastAsia="zh-CN"/>
        </w:rPr>
        <w:t>减少。</w:t>
      </w:r>
    </w:p>
    <w:p w14:paraId="0F8794C1">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社会保障和就业支出（类）行政事业单位养老支出（款）机关事业单位职业年金缴费支出（项）：支出决算数为290.40万元，比上年决算增加46.24万元，增长18.94%，主要原因是：</w:t>
      </w:r>
      <w:r>
        <w:rPr>
          <w:rFonts w:hint="eastAsia" w:ascii="仿宋_GB2312" w:eastAsia="仿宋_GB2312"/>
          <w:b w:val="0"/>
          <w:sz w:val="32"/>
          <w:szCs w:val="32"/>
          <w:lang w:val="en-US" w:eastAsia="zh-CN"/>
        </w:rPr>
        <w:t>本年新增</w:t>
      </w:r>
      <w:r>
        <w:rPr>
          <w:rFonts w:hint="eastAsia" w:ascii="仿宋_GB2312" w:eastAsia="仿宋_GB2312"/>
          <w:b w:val="0"/>
          <w:sz w:val="32"/>
          <w:szCs w:val="32"/>
          <w:lang w:eastAsia="zh-CN"/>
        </w:rPr>
        <w:t>退休人员</w:t>
      </w:r>
      <w:r>
        <w:rPr>
          <w:rFonts w:hint="eastAsia" w:ascii="仿宋_GB2312" w:eastAsia="仿宋_GB2312"/>
          <w:b w:val="0"/>
          <w:sz w:val="32"/>
          <w:szCs w:val="32"/>
          <w:lang w:val="en-US" w:eastAsia="zh-CN"/>
        </w:rPr>
        <w:t>较上年增加</w:t>
      </w:r>
      <w:r>
        <w:rPr>
          <w:rFonts w:hint="eastAsia" w:ascii="仿宋_GB2312" w:eastAsia="仿宋_GB2312"/>
          <w:b w:val="0"/>
          <w:sz w:val="32"/>
          <w:szCs w:val="32"/>
          <w:lang w:eastAsia="zh-CN"/>
        </w:rPr>
        <w:t>，</w:t>
      </w:r>
      <w:r>
        <w:rPr>
          <w:rFonts w:ascii="仿宋_GB2312" w:eastAsia="仿宋_GB2312"/>
          <w:b w:val="0"/>
          <w:sz w:val="32"/>
          <w:szCs w:val="32"/>
        </w:rPr>
        <w:t>职业年金</w:t>
      </w:r>
      <w:r>
        <w:rPr>
          <w:rFonts w:hint="eastAsia" w:ascii="仿宋_GB2312" w:eastAsia="仿宋_GB2312"/>
          <w:b w:val="0"/>
          <w:sz w:val="32"/>
          <w:szCs w:val="32"/>
          <w:lang w:val="en-US" w:eastAsia="zh-CN"/>
        </w:rPr>
        <w:t>做</w:t>
      </w:r>
      <w:r>
        <w:rPr>
          <w:rFonts w:hint="eastAsia" w:ascii="仿宋_GB2312" w:eastAsia="仿宋_GB2312"/>
          <w:b w:val="0"/>
          <w:sz w:val="32"/>
          <w:szCs w:val="32"/>
          <w:lang w:eastAsia="zh-CN"/>
        </w:rPr>
        <w:t>实增加。</w:t>
      </w:r>
    </w:p>
    <w:p w14:paraId="1AE036C8">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社会保障和就业支出（类）企业改革补助（款）其他企业改革发展补助（项）：支出决算数为0.00万元，比上年决算减少57.25万元，下降100.00%，主要原因是：</w:t>
      </w:r>
      <w:r>
        <w:rPr>
          <w:rFonts w:hint="eastAsia" w:ascii="仿宋_GB2312" w:eastAsia="仿宋_GB2312"/>
          <w:b w:val="0"/>
          <w:sz w:val="32"/>
          <w:szCs w:val="32"/>
          <w:lang w:val="en-US" w:eastAsia="zh-CN"/>
        </w:rPr>
        <w:t>2023</w:t>
      </w:r>
      <w:r>
        <w:rPr>
          <w:rFonts w:hint="eastAsia" w:ascii="仿宋_GB2312" w:eastAsia="仿宋_GB2312"/>
          <w:b w:val="0"/>
          <w:sz w:val="32"/>
          <w:szCs w:val="32"/>
          <w:lang w:eastAsia="zh-CN"/>
        </w:rPr>
        <w:t>年有</w:t>
      </w:r>
      <w:r>
        <w:rPr>
          <w:rFonts w:hint="eastAsia" w:ascii="仿宋_GB2312" w:eastAsia="仿宋_GB2312"/>
          <w:b w:val="0"/>
          <w:sz w:val="32"/>
          <w:szCs w:val="32"/>
          <w:lang w:val="en-US" w:eastAsia="zh-CN"/>
        </w:rPr>
        <w:t>遗孀补助支出，本年无此支出。</w:t>
      </w:r>
    </w:p>
    <w:p w14:paraId="792B1761">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卫生健康支出（类）行政事业单位医疗（款）行政单位医疗（项）：支出决算数为32.65万元，比上年决算减少50.32万元，下降60.65%，主要原因是：</w:t>
      </w:r>
      <w:r>
        <w:rPr>
          <w:rFonts w:hint="eastAsia" w:ascii="仿宋_GB2312" w:eastAsia="仿宋_GB2312"/>
          <w:b w:val="0"/>
          <w:sz w:val="32"/>
          <w:szCs w:val="32"/>
          <w:lang w:val="en-US" w:eastAsia="zh-CN"/>
        </w:rPr>
        <w:t>2024年自治</w:t>
      </w:r>
      <w:r>
        <w:rPr>
          <w:rFonts w:hint="default" w:ascii="仿宋_GB2312" w:eastAsia="仿宋_GB2312"/>
          <w:b w:val="0"/>
          <w:sz w:val="32"/>
          <w:szCs w:val="32"/>
          <w:lang w:val="en-US" w:eastAsia="zh-CN"/>
        </w:rPr>
        <w:t>区</w:t>
      </w:r>
      <w:r>
        <w:rPr>
          <w:rFonts w:hint="default" w:ascii="Times New Roman" w:hAnsi="Times New Roman" w:eastAsia="仿宋_GB2312" w:cs="Times New Roman"/>
          <w:color w:val="auto"/>
          <w:sz w:val="32"/>
          <w:szCs w:val="32"/>
          <w:highlight w:val="none"/>
          <w:lang w:val="en-US" w:eastAsia="zh-CN"/>
        </w:rPr>
        <w:t>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机构改革行政人员调整到农业农村厅，财政资金转到农业农村厅支出，</w:t>
      </w:r>
      <w:r>
        <w:rPr>
          <w:rFonts w:ascii="仿宋_GB2312" w:eastAsia="仿宋_GB2312"/>
          <w:b w:val="0"/>
          <w:sz w:val="32"/>
          <w:szCs w:val="32"/>
        </w:rPr>
        <w:t>行政单位医疗</w:t>
      </w:r>
      <w:r>
        <w:rPr>
          <w:rFonts w:hint="eastAsia" w:ascii="仿宋_GB2312" w:eastAsia="仿宋_GB2312"/>
          <w:b w:val="0"/>
          <w:sz w:val="32"/>
          <w:szCs w:val="32"/>
          <w:lang w:eastAsia="zh-CN"/>
        </w:rPr>
        <w:t>支出减少。</w:t>
      </w:r>
    </w:p>
    <w:p w14:paraId="02B9978F">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卫生健康支出（类）行政事业单位医疗（款）事业单位医疗（项）：支出决算数为349.33万元，比上年决算增加14.91万元，增长4.46%，主要原因是：</w:t>
      </w:r>
      <w:r>
        <w:rPr>
          <w:rFonts w:hint="eastAsia" w:ascii="仿宋_GB2312" w:eastAsia="仿宋_GB2312"/>
          <w:b w:val="0"/>
          <w:sz w:val="32"/>
          <w:szCs w:val="32"/>
          <w:lang w:val="en-US" w:eastAsia="zh-CN"/>
        </w:rPr>
        <w:t>本年在职人员调薪</w:t>
      </w:r>
      <w:r>
        <w:rPr>
          <w:rFonts w:ascii="仿宋_GB2312" w:eastAsia="仿宋_GB2312"/>
          <w:b w:val="0"/>
          <w:sz w:val="32"/>
          <w:szCs w:val="32"/>
          <w:lang w:val="en-US" w:eastAsia="zh-CN"/>
        </w:rPr>
        <w:t>，</w:t>
      </w:r>
      <w:r>
        <w:rPr>
          <w:rFonts w:hint="eastAsia" w:ascii="仿宋_GB2312" w:eastAsia="仿宋_GB2312"/>
          <w:b w:val="0"/>
          <w:sz w:val="32"/>
          <w:szCs w:val="32"/>
          <w:lang w:val="en-US" w:eastAsia="zh-CN"/>
        </w:rPr>
        <w:t>医疗保险缴费基数增加，</w:t>
      </w:r>
      <w:r>
        <w:rPr>
          <w:rFonts w:ascii="仿宋_GB2312" w:eastAsia="仿宋_GB2312"/>
          <w:b w:val="0"/>
          <w:sz w:val="32"/>
          <w:szCs w:val="32"/>
        </w:rPr>
        <w:t>事业单位医疗</w:t>
      </w:r>
      <w:r>
        <w:rPr>
          <w:rFonts w:hint="eastAsia" w:ascii="仿宋_GB2312" w:eastAsia="仿宋_GB2312"/>
          <w:b w:val="0"/>
          <w:sz w:val="32"/>
          <w:szCs w:val="32"/>
          <w:lang w:eastAsia="zh-CN"/>
        </w:rPr>
        <w:t>支出</w:t>
      </w:r>
      <w:r>
        <w:rPr>
          <w:rFonts w:hint="eastAsia" w:ascii="仿宋_GB2312" w:eastAsia="仿宋_GB2312"/>
          <w:b w:val="0"/>
          <w:sz w:val="32"/>
          <w:szCs w:val="32"/>
          <w:lang w:val="en-US" w:eastAsia="zh-CN"/>
        </w:rPr>
        <w:t>增加。</w:t>
      </w:r>
    </w:p>
    <w:p w14:paraId="27A7E62D">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卫生健康支出（类）行政事业单位医疗（款）公务员医疗补助（项）：支出决算数为346.69万元，比上年决算减少42.13万元，下降10.84%，主要原因是：</w:t>
      </w:r>
      <w:r>
        <w:rPr>
          <w:rFonts w:hint="eastAsia" w:ascii="仿宋_GB2312" w:eastAsia="仿宋_GB2312"/>
          <w:b w:val="0"/>
          <w:sz w:val="32"/>
          <w:szCs w:val="32"/>
          <w:lang w:val="en-US" w:eastAsia="zh-CN"/>
        </w:rPr>
        <w:t>2024</w:t>
      </w:r>
      <w:r>
        <w:rPr>
          <w:rFonts w:hint="eastAsia" w:ascii="Times New Roman" w:hAnsi="Times New Roman" w:eastAsia="仿宋_GB2312" w:cs="Times New Roman"/>
          <w:color w:val="auto"/>
          <w:sz w:val="32"/>
          <w:szCs w:val="32"/>
          <w:highlight w:val="none"/>
          <w:lang w:val="en-US" w:eastAsia="zh-CN"/>
        </w:rPr>
        <w:t>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机构改革行政人员调整到农业农村厅，财政资金转到农业农村厅支出，</w:t>
      </w:r>
      <w:r>
        <w:rPr>
          <w:rFonts w:ascii="仿宋_GB2312" w:eastAsia="仿宋_GB2312"/>
          <w:b w:val="0"/>
          <w:sz w:val="32"/>
          <w:szCs w:val="32"/>
        </w:rPr>
        <w:t>公务员医疗补助</w:t>
      </w:r>
      <w:r>
        <w:rPr>
          <w:rFonts w:hint="eastAsia" w:ascii="仿宋_GB2312" w:eastAsia="仿宋_GB2312"/>
          <w:b w:val="0"/>
          <w:sz w:val="32"/>
          <w:szCs w:val="32"/>
          <w:lang w:eastAsia="zh-CN"/>
        </w:rPr>
        <w:t>支出减少。</w:t>
      </w:r>
    </w:p>
    <w:p w14:paraId="485CCFCC">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农林水支出（类）农业农村（款）行政运行（项）：支出决算数为516.78万元，比上年决算减少1,435.50万元，下降73.53%，主要原因是：</w:t>
      </w:r>
      <w:r>
        <w:rPr>
          <w:rFonts w:hint="eastAsia" w:ascii="仿宋_GB2312" w:eastAsia="仿宋_GB2312"/>
          <w:b w:val="0"/>
          <w:sz w:val="32"/>
          <w:szCs w:val="32"/>
          <w:lang w:val="en-US" w:eastAsia="zh-CN"/>
        </w:rPr>
        <w:t>2024</w:t>
      </w:r>
      <w:r>
        <w:rPr>
          <w:rFonts w:hint="eastAsia" w:ascii="Times New Roman" w:hAnsi="Times New Roman" w:eastAsia="仿宋_GB2312" w:cs="Times New Roman"/>
          <w:color w:val="auto"/>
          <w:sz w:val="32"/>
          <w:szCs w:val="32"/>
          <w:highlight w:val="none"/>
          <w:lang w:val="en-US" w:eastAsia="zh-CN"/>
        </w:rPr>
        <w:t>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机构改革行政人员调整到农业农村厅，财政资金转到农业农村厅支出，工资等经费较上年</w:t>
      </w:r>
      <w:r>
        <w:rPr>
          <w:rFonts w:hint="eastAsia" w:ascii="仿宋_GB2312" w:eastAsia="仿宋_GB2312"/>
          <w:b w:val="0"/>
          <w:sz w:val="32"/>
          <w:szCs w:val="32"/>
          <w:lang w:eastAsia="zh-CN"/>
        </w:rPr>
        <w:t>减少。</w:t>
      </w:r>
    </w:p>
    <w:p w14:paraId="10822C36">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农林水支出（类）农业农村（款）机关服务（项）：支出决算数为183.65万元，比上年决算减少8.77万元，下降4.56%，主要原因是：</w:t>
      </w:r>
      <w:r>
        <w:rPr>
          <w:rFonts w:hint="eastAsia" w:ascii="仿宋_GB2312" w:eastAsia="仿宋_GB2312"/>
          <w:b w:val="0"/>
          <w:sz w:val="32"/>
          <w:szCs w:val="32"/>
          <w:lang w:val="en-US" w:eastAsia="zh-CN"/>
        </w:rPr>
        <w:t>委托业务费支出减少。</w:t>
      </w:r>
    </w:p>
    <w:p w14:paraId="5A3A8111">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农林水支出（类）农业农村（款）事业运行（项）：支出决算数为5,615.84万元，比上年决算减少186.29万元，下降3.21%，主要原因是：</w:t>
      </w:r>
      <w:r>
        <w:rPr>
          <w:rFonts w:hint="eastAsia" w:ascii="仿宋_GB2312" w:eastAsia="仿宋_GB2312"/>
          <w:b w:val="0"/>
          <w:sz w:val="32"/>
          <w:szCs w:val="32"/>
          <w:lang w:val="en-US" w:eastAsia="zh-CN"/>
        </w:rPr>
        <w:t>本年</w:t>
      </w:r>
      <w:r>
        <w:rPr>
          <w:rFonts w:ascii="仿宋_GB2312" w:eastAsia="仿宋_GB2312"/>
          <w:b w:val="0"/>
          <w:sz w:val="32"/>
          <w:szCs w:val="32"/>
          <w:lang w:val="en-US" w:eastAsia="zh-CN"/>
        </w:rPr>
        <w:t>聘用人员减少，</w:t>
      </w:r>
      <w:r>
        <w:rPr>
          <w:rFonts w:hint="eastAsia" w:ascii="仿宋_GB2312" w:eastAsia="仿宋_GB2312"/>
          <w:b w:val="0"/>
          <w:sz w:val="32"/>
          <w:szCs w:val="32"/>
          <w:lang w:val="en-US" w:eastAsia="zh-CN"/>
        </w:rPr>
        <w:t>相应经费减少</w:t>
      </w:r>
      <w:r>
        <w:rPr>
          <w:rFonts w:hint="eastAsia" w:ascii="Times New Roman" w:hAnsi="Times New Roman" w:eastAsia="仿宋_GB2312" w:cs="Times New Roman"/>
          <w:color w:val="auto"/>
          <w:sz w:val="32"/>
          <w:szCs w:val="32"/>
          <w:highlight w:val="none"/>
          <w:lang w:val="en-US" w:eastAsia="zh-CN"/>
        </w:rPr>
        <w:t>。</w:t>
      </w:r>
    </w:p>
    <w:p w14:paraId="13F50334">
      <w:pPr>
        <w:widowControl/>
        <w:numPr>
          <w:ilvl w:val="0"/>
          <w:numId w:val="2"/>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农林水支出（类）农业农村（款）科技转化与推广服务（项）：支出决算数为180.82万元，比上年决算减少172.89万元，下降48.88%，主要原因是：自治区农业技术服务专项补助推广项目支出减</w:t>
      </w:r>
      <w:r>
        <w:rPr>
          <w:rFonts w:ascii="仿宋_GB2312" w:eastAsia="仿宋_GB2312"/>
          <w:b w:val="0"/>
          <w:sz w:val="32"/>
          <w:szCs w:val="32"/>
          <w:highlight w:val="none"/>
        </w:rPr>
        <w:t>少</w:t>
      </w:r>
      <w:r>
        <w:rPr>
          <w:rFonts w:hint="eastAsia" w:ascii="仿宋_GB2312" w:eastAsia="仿宋_GB2312"/>
          <w:sz w:val="32"/>
          <w:szCs w:val="32"/>
          <w:highlight w:val="none"/>
          <w:lang w:val="en-US" w:eastAsia="zh-CN"/>
        </w:rPr>
        <w:t>。</w:t>
      </w:r>
    </w:p>
    <w:p w14:paraId="564DC81A">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农林水支出（类）农业农村（款）病虫害控制（项）：支出决算数为1,423.03万元，比上年决算减少1,118.58万元，下降44.01%，主要原因是：</w:t>
      </w:r>
      <w:r>
        <w:rPr>
          <w:rFonts w:hint="eastAsia" w:ascii="仿宋_GB2312" w:eastAsia="仿宋_GB2312"/>
          <w:b w:val="0"/>
          <w:sz w:val="32"/>
          <w:szCs w:val="32"/>
          <w:lang w:val="en-US" w:eastAsia="zh-CN"/>
        </w:rPr>
        <w:t>2024</w:t>
      </w:r>
      <w:r>
        <w:rPr>
          <w:rFonts w:ascii="仿宋_GB2312" w:eastAsia="仿宋_GB2312"/>
          <w:b w:val="0"/>
          <w:sz w:val="32"/>
          <w:szCs w:val="32"/>
          <w:lang w:val="en-US" w:eastAsia="zh-CN"/>
        </w:rPr>
        <w:t>年项目调整，中央动物防疫等</w:t>
      </w:r>
      <w:r>
        <w:rPr>
          <w:rFonts w:hint="eastAsia" w:ascii="仿宋_GB2312" w:eastAsia="仿宋_GB2312"/>
          <w:b w:val="0"/>
          <w:sz w:val="32"/>
          <w:szCs w:val="32"/>
          <w:lang w:val="en-US" w:eastAsia="zh-CN"/>
        </w:rPr>
        <w:t>补助经费和自治区动物防疫等补助经费减少。</w:t>
      </w:r>
    </w:p>
    <w:p w14:paraId="4BA74ABD">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农林水支出（类）农业农村（款）农产品质量安全（项）：支出决算数为355.00万元，比上年决算增加30.00万元，增长9.23%，主要原因是：</w:t>
      </w:r>
      <w:r>
        <w:rPr>
          <w:rFonts w:hint="eastAsia" w:ascii="仿宋_GB2312" w:eastAsia="仿宋_GB2312"/>
          <w:b w:val="0"/>
          <w:sz w:val="32"/>
          <w:szCs w:val="32"/>
          <w:lang w:val="en-US" w:eastAsia="zh-CN"/>
        </w:rPr>
        <w:t>2024年</w:t>
      </w:r>
      <w:r>
        <w:rPr>
          <w:rFonts w:ascii="仿宋_GB2312" w:eastAsia="仿宋_GB2312"/>
          <w:b w:val="0"/>
          <w:sz w:val="32"/>
          <w:szCs w:val="32"/>
          <w:lang w:val="en-US" w:eastAsia="zh-CN"/>
        </w:rPr>
        <w:t>兽药饲料检验项目、畜产品质量安</w:t>
      </w:r>
      <w:r>
        <w:rPr>
          <w:rFonts w:hint="eastAsia" w:ascii="仿宋_GB2312" w:eastAsia="仿宋_GB2312"/>
          <w:b w:val="0"/>
          <w:sz w:val="32"/>
          <w:szCs w:val="32"/>
          <w:lang w:val="en-US" w:eastAsia="zh-CN"/>
        </w:rPr>
        <w:t>全监测项目略有增加。</w:t>
      </w:r>
    </w:p>
    <w:p w14:paraId="61980A0B">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农林水支出（类）农业农村（款）统计监测与信息服务（项）：支出决算数为150.00万元，比上年决算增加0.00万元，增长</w:t>
      </w:r>
      <w:r>
        <w:rPr>
          <w:rFonts w:hint="eastAsia" w:ascii="仿宋_GB2312" w:eastAsia="仿宋_GB2312"/>
          <w:b w:val="0"/>
          <w:sz w:val="32"/>
          <w:szCs w:val="32"/>
          <w:lang w:val="en-US" w:eastAsia="zh-CN"/>
        </w:rPr>
        <w:t>0.00</w:t>
      </w:r>
      <w:r>
        <w:rPr>
          <w:rFonts w:ascii="仿宋_GB2312" w:eastAsia="仿宋_GB2312"/>
          <w:b w:val="0"/>
          <w:sz w:val="32"/>
          <w:szCs w:val="32"/>
        </w:rPr>
        <w:t>%，主要原因是：</w:t>
      </w:r>
      <w:r>
        <w:rPr>
          <w:rFonts w:hint="eastAsia" w:ascii="仿宋_GB2312" w:eastAsia="仿宋_GB2312"/>
          <w:b w:val="0"/>
          <w:sz w:val="32"/>
          <w:szCs w:val="32"/>
          <w:lang w:val="en-US" w:eastAsia="zh-CN"/>
        </w:rPr>
        <w:t>2024</w:t>
      </w:r>
      <w:r>
        <w:rPr>
          <w:rFonts w:ascii="仿宋_GB2312" w:eastAsia="仿宋_GB2312"/>
          <w:b w:val="0"/>
          <w:sz w:val="32"/>
          <w:szCs w:val="32"/>
          <w:lang w:val="en-US" w:eastAsia="zh-CN"/>
        </w:rPr>
        <w:t>年继续安排农业信息平</w:t>
      </w:r>
      <w:r>
        <w:rPr>
          <w:rFonts w:hint="eastAsia" w:ascii="仿宋_GB2312" w:eastAsia="仿宋_GB2312"/>
          <w:b w:val="0"/>
          <w:sz w:val="32"/>
          <w:szCs w:val="32"/>
          <w:lang w:val="en-US" w:eastAsia="zh-CN"/>
        </w:rPr>
        <w:t>台运维项目，与上年经费一致。</w:t>
      </w:r>
    </w:p>
    <w:p w14:paraId="22C1FB6D">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农林水支出（类）农业农村（款）农业生产发展（项）：支出决算数为230.35万元，比上年决算减少1,407.37万元，下降85.93%，主要原因是：</w:t>
      </w:r>
      <w:r>
        <w:rPr>
          <w:rFonts w:hint="eastAsia" w:ascii="仿宋_GB2312" w:eastAsia="仿宋_GB2312"/>
          <w:b w:val="0"/>
          <w:sz w:val="32"/>
          <w:szCs w:val="32"/>
          <w:lang w:val="en-US" w:eastAsia="zh-CN"/>
        </w:rPr>
        <w:t>2024</w:t>
      </w:r>
      <w:r>
        <w:rPr>
          <w:rFonts w:hint="eastAsia" w:ascii="仿宋_GB2312" w:eastAsia="仿宋_GB2312"/>
          <w:b w:val="0"/>
          <w:sz w:val="32"/>
          <w:szCs w:val="32"/>
          <w:lang w:eastAsia="zh-CN"/>
        </w:rPr>
        <w:t>年</w:t>
      </w:r>
      <w:r>
        <w:rPr>
          <w:rFonts w:hint="eastAsia" w:ascii="仿宋_GB2312" w:eastAsia="仿宋_GB2312"/>
          <w:b w:val="0"/>
          <w:sz w:val="32"/>
          <w:szCs w:val="32"/>
          <w:lang w:val="en-US" w:eastAsia="zh-CN"/>
        </w:rPr>
        <w:t>自治区畜牧业生产发展资金（优质饲草产业发展）项目减少。</w:t>
      </w:r>
    </w:p>
    <w:p w14:paraId="5229EF40">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农林水支出（类）农业农村（款）其他农业农村支出（项）：支出决算数为504.58万元，比上年决算减少548.11万元，下降52.07%，主要原因是：</w:t>
      </w:r>
      <w:r>
        <w:rPr>
          <w:rFonts w:hint="eastAsia" w:ascii="仿宋_GB2312" w:eastAsia="仿宋_GB2312"/>
          <w:b w:val="0"/>
          <w:sz w:val="32"/>
          <w:szCs w:val="32"/>
          <w:lang w:val="en-US" w:eastAsia="zh-CN"/>
        </w:rPr>
        <w:t>2024</w:t>
      </w:r>
      <w:r>
        <w:rPr>
          <w:rFonts w:hint="eastAsia" w:ascii="仿宋_GB2312" w:eastAsia="仿宋_GB2312"/>
          <w:b w:val="0"/>
          <w:sz w:val="32"/>
          <w:szCs w:val="32"/>
          <w:lang w:eastAsia="zh-CN"/>
        </w:rPr>
        <w:t>年减少</w:t>
      </w:r>
      <w:r>
        <w:rPr>
          <w:rFonts w:ascii="仿宋_GB2312" w:eastAsia="仿宋_GB2312"/>
          <w:b w:val="0"/>
          <w:sz w:val="32"/>
          <w:szCs w:val="32"/>
          <w:lang w:val="en-US" w:eastAsia="zh-CN"/>
        </w:rPr>
        <w:t>自治区农业发展资金</w:t>
      </w:r>
      <w:r>
        <w:rPr>
          <w:rFonts w:hint="eastAsia" w:ascii="仿宋_GB2312" w:eastAsia="仿宋_GB2312"/>
          <w:b w:val="0"/>
          <w:sz w:val="32"/>
          <w:szCs w:val="32"/>
          <w:lang w:val="en-US" w:eastAsia="zh-CN"/>
        </w:rPr>
        <w:t>。</w:t>
      </w:r>
    </w:p>
    <w:p w14:paraId="1D62D416">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住房保障支出（类）住房改革支出（款）住房公积金（项）：支出决算数为596.63万元，比上年决算减少61.07万元，下降9.29%，主要原因是：</w:t>
      </w:r>
      <w:r>
        <w:rPr>
          <w:rFonts w:hint="eastAsia" w:ascii="仿宋_GB2312" w:eastAsia="仿宋_GB2312"/>
          <w:b w:val="0"/>
          <w:sz w:val="32"/>
          <w:szCs w:val="32"/>
          <w:lang w:val="en-US" w:eastAsia="zh-CN"/>
        </w:rPr>
        <w:t>2024</w:t>
      </w:r>
      <w:r>
        <w:rPr>
          <w:rFonts w:hint="eastAsia" w:ascii="Times New Roman" w:hAnsi="Times New Roman" w:eastAsia="仿宋_GB2312" w:cs="Times New Roman"/>
          <w:color w:val="auto"/>
          <w:sz w:val="32"/>
          <w:szCs w:val="32"/>
          <w:highlight w:val="none"/>
          <w:lang w:val="en-US" w:eastAsia="zh-CN"/>
        </w:rPr>
        <w:t>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机构改革行政人员调整到农业农村厅，财</w:t>
      </w:r>
      <w:bookmarkStart w:id="4" w:name="_GoBack"/>
      <w:bookmarkEnd w:id="4"/>
      <w:r>
        <w:rPr>
          <w:rFonts w:hint="eastAsia" w:ascii="Times New Roman" w:hAnsi="Times New Roman" w:eastAsia="仿宋_GB2312" w:cs="Times New Roman"/>
          <w:color w:val="auto"/>
          <w:sz w:val="32"/>
          <w:szCs w:val="32"/>
          <w:highlight w:val="none"/>
          <w:lang w:val="en-US" w:eastAsia="zh-CN"/>
        </w:rPr>
        <w:t>政资金转到农业农村厅支出，</w:t>
      </w:r>
      <w:r>
        <w:rPr>
          <w:rFonts w:ascii="仿宋_GB2312" w:eastAsia="仿宋_GB2312"/>
          <w:b w:val="0"/>
          <w:sz w:val="32"/>
          <w:szCs w:val="32"/>
        </w:rPr>
        <w:t>住房公积金</w:t>
      </w:r>
      <w:r>
        <w:rPr>
          <w:rFonts w:hint="eastAsia" w:ascii="仿宋_GB2312" w:eastAsia="仿宋_GB2312"/>
          <w:b w:val="0"/>
          <w:sz w:val="32"/>
          <w:szCs w:val="32"/>
          <w:lang w:eastAsia="zh-CN"/>
        </w:rPr>
        <w:t>支出减少。</w:t>
      </w:r>
    </w:p>
    <w:p w14:paraId="6BA6916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390EBF2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11,799.54万元，其中：人员经费10,676.83万元，包括：基本工资、津贴补贴、奖金、绩效工资、机关事业单位基本养老保险缴费、职业年金缴费、职工基本医疗保险缴费、公务员医疗补助缴费、其他社会保障缴费、住房公积金、其他工资福利支出、离休费、退休费、抚恤金、生活补助、奖励金和其他对个人和家庭的补助。</w:t>
      </w:r>
    </w:p>
    <w:p w14:paraId="61C4497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1,122.70万元，包括：办公费、印刷费、咨询费、手续费、水费、电费、邮电费、取暖费、物业管理费、差旅费、维修（护）费、培训费、公务接待费、专用材料费、劳务费、委托业务费、工会经费、福利费、公务用车运行维护费、其他交通费用和其他商品和服务支出。</w:t>
      </w:r>
    </w:p>
    <w:p w14:paraId="2E3AB82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7C14201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14:paraId="362915F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44ECE22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14:paraId="7D1E934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112310C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2024年度财政拨款“三公”经费支出28.23万元，比上年减少53.47万元，下降65.45%，主要原因</w:t>
      </w:r>
      <w:r>
        <w:rPr>
          <w:rFonts w:hint="eastAsia" w:ascii="Times New Roman" w:hAnsi="Times New Roman" w:eastAsia="仿宋_GB2312" w:cs="Times New Roman"/>
          <w:color w:val="auto"/>
          <w:sz w:val="32"/>
          <w:szCs w:val="32"/>
          <w:highlight w:val="none"/>
          <w:lang w:val="en-US" w:eastAsia="zh-CN"/>
        </w:rPr>
        <w:t>是：</w:t>
      </w:r>
      <w:r>
        <w:rPr>
          <w:rFonts w:hint="eastAsia" w:ascii="仿宋_GB2312" w:eastAsia="仿宋_GB2312"/>
          <w:b w:val="0"/>
          <w:sz w:val="32"/>
          <w:szCs w:val="32"/>
          <w:lang w:val="en-US" w:eastAsia="zh-CN"/>
        </w:rPr>
        <w:t>2024年自治</w:t>
      </w:r>
      <w:r>
        <w:rPr>
          <w:rFonts w:hint="default" w:ascii="仿宋_GB2312" w:eastAsia="仿宋_GB2312"/>
          <w:b w:val="0"/>
          <w:sz w:val="32"/>
          <w:szCs w:val="32"/>
          <w:lang w:val="en-US" w:eastAsia="zh-CN"/>
        </w:rPr>
        <w:t>区</w:t>
      </w:r>
      <w:r>
        <w:rPr>
          <w:rFonts w:hint="default" w:ascii="Times New Roman" w:hAnsi="Times New Roman" w:eastAsia="仿宋_GB2312" w:cs="Times New Roman"/>
          <w:color w:val="auto"/>
          <w:sz w:val="32"/>
          <w:szCs w:val="32"/>
          <w:highlight w:val="none"/>
          <w:lang w:val="en-US" w:eastAsia="zh-CN"/>
        </w:rPr>
        <w:t>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机构改革行政人员调整到农业农村厅，业务量减少</w:t>
      </w:r>
      <w:r>
        <w:rPr>
          <w:rFonts w:hint="eastAsia" w:ascii="Times New Roman" w:hAnsi="Times New Roman" w:eastAsia="仿宋_GB2312" w:cs="Times New Roman"/>
          <w:color w:val="auto"/>
          <w:kern w:val="2"/>
          <w:sz w:val="32"/>
          <w:szCs w:val="32"/>
          <w:highlight w:val="none"/>
          <w:lang w:val="en-US" w:eastAsia="zh-CN" w:bidi="ar-SA"/>
        </w:rPr>
        <w:t>，</w:t>
      </w:r>
      <w:r>
        <w:rPr>
          <w:rFonts w:ascii="仿宋_GB2312" w:eastAsia="仿宋_GB2312"/>
          <w:b w:val="0"/>
          <w:sz w:val="32"/>
          <w:szCs w:val="32"/>
        </w:rPr>
        <w:t>“三公”经费支出</w:t>
      </w:r>
      <w:r>
        <w:rPr>
          <w:rFonts w:hint="eastAsia" w:ascii="仿宋_GB2312" w:eastAsia="仿宋_GB2312"/>
          <w:b w:val="0"/>
          <w:sz w:val="32"/>
          <w:szCs w:val="32"/>
          <w:lang w:eastAsia="zh-CN"/>
        </w:rPr>
        <w:t>减少</w:t>
      </w:r>
      <w:r>
        <w:rPr>
          <w:rFonts w:ascii="仿宋_GB2312" w:eastAsia="仿宋_GB2312"/>
          <w:b w:val="0"/>
          <w:sz w:val="32"/>
          <w:szCs w:val="32"/>
        </w:rPr>
        <w:t>。其中：因公出国（境）费支出0.00万元</w:t>
      </w:r>
      <w:r>
        <w:rPr>
          <w:rFonts w:hint="eastAsia" w:ascii="仿宋_GB2312" w:eastAsia="仿宋_GB2312"/>
          <w:b w:val="0"/>
          <w:sz w:val="32"/>
          <w:szCs w:val="32"/>
          <w:lang w:eastAsia="zh-CN"/>
        </w:rPr>
        <w:t>，</w:t>
      </w:r>
      <w:r>
        <w:rPr>
          <w:rFonts w:ascii="仿宋_GB2312" w:eastAsia="仿宋_GB2312"/>
          <w:b w:val="0"/>
          <w:sz w:val="32"/>
          <w:szCs w:val="32"/>
        </w:rPr>
        <w:t>占0.00%，比上年减少2.56万元，下降100%，主要原因是：</w:t>
      </w:r>
      <w:r>
        <w:rPr>
          <w:rFonts w:hint="eastAsia" w:ascii="仿宋_GB2312" w:eastAsia="仿宋_GB2312"/>
          <w:b w:val="0"/>
          <w:sz w:val="32"/>
          <w:szCs w:val="32"/>
          <w:lang w:val="en-US" w:eastAsia="zh-CN"/>
        </w:rPr>
        <w:t>2023</w:t>
      </w:r>
      <w:r>
        <w:rPr>
          <w:rFonts w:hint="eastAsia" w:ascii="仿宋_GB2312" w:eastAsia="仿宋_GB2312"/>
          <w:b w:val="0"/>
          <w:sz w:val="32"/>
          <w:szCs w:val="32"/>
          <w:lang w:eastAsia="zh-CN"/>
        </w:rPr>
        <w:t>年</w:t>
      </w:r>
      <w:r>
        <w:rPr>
          <w:rFonts w:ascii="仿宋_GB2312" w:eastAsia="仿宋_GB2312"/>
          <w:b w:val="0"/>
          <w:sz w:val="32"/>
          <w:szCs w:val="32"/>
          <w:lang w:val="en-US" w:eastAsia="zh-CN"/>
        </w:rPr>
        <w:t>因工作需要临时增加因公出国费用</w:t>
      </w:r>
      <w:r>
        <w:rPr>
          <w:rFonts w:hint="eastAsia" w:ascii="仿宋_GB2312" w:eastAsia="仿宋_GB2312"/>
          <w:b w:val="0"/>
          <w:sz w:val="32"/>
          <w:szCs w:val="32"/>
          <w:lang w:val="en-US" w:eastAsia="zh-CN"/>
        </w:rPr>
        <w:t>，本年无此安排</w:t>
      </w:r>
      <w:r>
        <w:rPr>
          <w:rFonts w:ascii="仿宋_GB2312" w:eastAsia="仿宋_GB2312"/>
          <w:b w:val="0"/>
          <w:sz w:val="32"/>
          <w:szCs w:val="32"/>
        </w:rPr>
        <w:t>；公务用车购置及运行维护费支出26.74万元，占94.72%，比上年减少51.42万元，下降65.79%，主要原因是：</w:t>
      </w:r>
      <w:r>
        <w:rPr>
          <w:rFonts w:hint="eastAsia" w:ascii="仿宋_GB2312" w:eastAsia="仿宋_GB2312"/>
          <w:b w:val="0"/>
          <w:sz w:val="32"/>
          <w:szCs w:val="32"/>
          <w:lang w:val="en-US" w:eastAsia="zh-CN"/>
        </w:rPr>
        <w:t>2024</w:t>
      </w:r>
      <w:r>
        <w:rPr>
          <w:rFonts w:hint="eastAsia" w:ascii="Times New Roman" w:hAnsi="Times New Roman" w:eastAsia="仿宋_GB2312" w:cs="Times New Roman"/>
          <w:color w:val="auto"/>
          <w:sz w:val="32"/>
          <w:szCs w:val="32"/>
          <w:highlight w:val="none"/>
          <w:lang w:val="en-US" w:eastAsia="zh-CN"/>
        </w:rPr>
        <w:t>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机构改革行政人员调整到农业农村厅，业务减少</w:t>
      </w:r>
      <w:r>
        <w:rPr>
          <w:rFonts w:hint="eastAsia" w:ascii="Times New Roman" w:hAnsi="Times New Roman" w:eastAsia="仿宋_GB2312" w:cs="Times New Roman"/>
          <w:color w:val="auto"/>
          <w:kern w:val="2"/>
          <w:sz w:val="32"/>
          <w:szCs w:val="32"/>
          <w:highlight w:val="none"/>
          <w:lang w:val="en-US" w:eastAsia="zh-CN" w:bidi="ar-SA"/>
        </w:rPr>
        <w:t>，车辆</w:t>
      </w:r>
      <w:r>
        <w:rPr>
          <w:rFonts w:ascii="仿宋_GB2312" w:eastAsia="仿宋_GB2312"/>
          <w:b w:val="0"/>
          <w:sz w:val="32"/>
          <w:szCs w:val="32"/>
        </w:rPr>
        <w:t>运行维护经费</w:t>
      </w:r>
      <w:r>
        <w:rPr>
          <w:rFonts w:hint="eastAsia" w:ascii="仿宋_GB2312" w:eastAsia="仿宋_GB2312"/>
          <w:b w:val="0"/>
          <w:sz w:val="32"/>
          <w:szCs w:val="32"/>
          <w:lang w:eastAsia="zh-CN"/>
        </w:rPr>
        <w:t>减少</w:t>
      </w:r>
      <w:r>
        <w:rPr>
          <w:rFonts w:ascii="仿宋_GB2312" w:eastAsia="仿宋_GB2312"/>
          <w:b w:val="0"/>
          <w:sz w:val="32"/>
          <w:szCs w:val="32"/>
        </w:rPr>
        <w:t>；公务接待费支出1.48万元，占5.24%，比上年增加0.49万元，增长49.49%，主要原因是：</w:t>
      </w:r>
      <w:r>
        <w:rPr>
          <w:rFonts w:hint="eastAsia" w:ascii="仿宋_GB2312" w:eastAsia="仿宋_GB2312"/>
          <w:b w:val="0"/>
          <w:sz w:val="32"/>
          <w:szCs w:val="32"/>
          <w:lang w:val="en-US" w:eastAsia="zh-CN"/>
        </w:rPr>
        <w:t>2024</w:t>
      </w:r>
      <w:r>
        <w:rPr>
          <w:rFonts w:hint="eastAsia" w:ascii="Times New Roman" w:hAnsi="Times New Roman" w:eastAsia="仿宋_GB2312" w:cs="Times New Roman"/>
          <w:color w:val="000000"/>
          <w:sz w:val="32"/>
          <w:szCs w:val="32"/>
          <w:lang w:val="en-US" w:eastAsia="zh-CN"/>
        </w:rPr>
        <w:t>年公务接待活动批次增加、人次增加，导致公务接待费较上年增加</w:t>
      </w:r>
      <w:r>
        <w:rPr>
          <w:rFonts w:ascii="仿宋_GB2312" w:eastAsia="仿宋_GB2312"/>
          <w:b w:val="0"/>
          <w:sz w:val="32"/>
          <w:szCs w:val="32"/>
        </w:rPr>
        <w:t>。</w:t>
      </w:r>
    </w:p>
    <w:p w14:paraId="43CE2DB0">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49E2F89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lang w:eastAsia="zh-CN"/>
        </w:rPr>
        <w:t>无</w:t>
      </w:r>
      <w:r>
        <w:rPr>
          <w:rFonts w:ascii="仿宋_GB2312" w:eastAsia="仿宋_GB2312"/>
          <w:b w:val="0"/>
          <w:sz w:val="32"/>
          <w:szCs w:val="32"/>
        </w:rPr>
        <w:t>因公出国（境）</w:t>
      </w:r>
      <w:r>
        <w:rPr>
          <w:rFonts w:hint="eastAsia" w:ascii="仿宋_GB2312" w:eastAsia="仿宋_GB2312"/>
          <w:b w:val="0"/>
          <w:sz w:val="32"/>
          <w:szCs w:val="32"/>
          <w:lang w:val="en-US" w:eastAsia="zh-CN"/>
        </w:rPr>
        <w:t>费</w:t>
      </w:r>
      <w:r>
        <w:rPr>
          <w:rFonts w:ascii="仿宋_GB2312" w:eastAsia="仿宋_GB2312"/>
          <w:b w:val="0"/>
          <w:sz w:val="32"/>
          <w:szCs w:val="32"/>
        </w:rPr>
        <w:t>。单位全年安排的因公出国（境）团组0个，因公出国（境）0人次。</w:t>
      </w:r>
    </w:p>
    <w:p w14:paraId="26F03635">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ascii="仿宋_GB2312" w:eastAsia="仿宋_GB2312"/>
          <w:b w:val="0"/>
          <w:sz w:val="32"/>
          <w:szCs w:val="32"/>
        </w:rPr>
        <w:t>公务用车购置及运行维护费26.74万元，其中：公务用车购置费0.00万元，公务用车运行维护费26.74万元。公务用车运行维护费开支内容包括</w:t>
      </w:r>
      <w:r>
        <w:rPr>
          <w:rFonts w:hint="eastAsia" w:ascii="仿宋_GB2312" w:eastAsia="仿宋_GB2312"/>
          <w:b w:val="0"/>
          <w:sz w:val="32"/>
          <w:szCs w:val="32"/>
          <w:lang w:eastAsia="zh-CN"/>
        </w:rPr>
        <w:t>车辆</w:t>
      </w:r>
      <w:r>
        <w:rPr>
          <w:rFonts w:hint="eastAsia" w:ascii="仿宋_GB2312" w:eastAsia="仿宋_GB2312"/>
          <w:b w:val="0"/>
          <w:sz w:val="32"/>
          <w:szCs w:val="32"/>
          <w:lang w:val="en-US" w:eastAsia="zh-CN"/>
        </w:rPr>
        <w:t>加油费、维修费及保险费</w:t>
      </w:r>
      <w:r>
        <w:rPr>
          <w:rFonts w:ascii="仿宋_GB2312" w:eastAsia="仿宋_GB2312"/>
          <w:b w:val="0"/>
          <w:sz w:val="32"/>
          <w:szCs w:val="32"/>
        </w:rPr>
        <w:t>。公务用车购置数0辆，公务用车保有量55辆。国有资产占用情况中固定资产车辆55辆，与公务用车保有量差异原因</w:t>
      </w:r>
      <w:r>
        <w:rPr>
          <w:rFonts w:hint="eastAsia" w:ascii="仿宋_GB2312" w:eastAsia="仿宋_GB2312"/>
          <w:b w:val="0"/>
          <w:sz w:val="32"/>
          <w:szCs w:val="32"/>
          <w:lang w:val="en-US" w:eastAsia="zh-CN"/>
        </w:rPr>
        <w:t>是：本单位固定资产车辆与公务用车保有量一致无差异。</w:t>
      </w:r>
    </w:p>
    <w:p w14:paraId="2A77539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公务接待费1.48万元，开支内容包括</w:t>
      </w:r>
      <w:r>
        <w:rPr>
          <w:rFonts w:hint="eastAsia" w:ascii="仿宋_GB2312" w:eastAsia="仿宋_GB2312"/>
          <w:b w:val="0"/>
          <w:sz w:val="32"/>
          <w:szCs w:val="32"/>
          <w:lang w:eastAsia="zh-CN"/>
        </w:rPr>
        <w:t>接待上级领导检查、调研的餐费</w:t>
      </w:r>
      <w:r>
        <w:rPr>
          <w:rFonts w:ascii="仿宋_GB2312" w:eastAsia="仿宋_GB2312"/>
          <w:b w:val="0"/>
          <w:sz w:val="32"/>
          <w:szCs w:val="32"/>
        </w:rPr>
        <w:t>。单位全年安排的国内公务接待</w:t>
      </w:r>
      <w:r>
        <w:rPr>
          <w:rFonts w:hint="eastAsia" w:ascii="仿宋_GB2312" w:eastAsia="仿宋_GB2312"/>
          <w:b w:val="0"/>
          <w:sz w:val="32"/>
          <w:szCs w:val="32"/>
          <w:lang w:val="en-US" w:eastAsia="zh-CN"/>
        </w:rPr>
        <w:t>17</w:t>
      </w:r>
      <w:r>
        <w:rPr>
          <w:rFonts w:ascii="仿宋_GB2312" w:eastAsia="仿宋_GB2312"/>
          <w:b w:val="0"/>
          <w:sz w:val="32"/>
          <w:szCs w:val="32"/>
        </w:rPr>
        <w:t>批次，226人次。</w:t>
      </w:r>
    </w:p>
    <w:p w14:paraId="68DD9A1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与全年预算相比，财政拨款“三公”经费支出全年预算数28.34万元，决算数28.23万元，预决算差异率-0.39%，主要原因是：</w:t>
      </w:r>
      <w:r>
        <w:rPr>
          <w:rFonts w:hint="eastAsia" w:ascii="仿宋_GB2312" w:eastAsia="仿宋_GB2312"/>
          <w:b w:val="0"/>
          <w:sz w:val="32"/>
          <w:szCs w:val="32"/>
          <w:lang w:eastAsia="zh-CN"/>
        </w:rPr>
        <w:t>严格落实中央八项规定精神，厉行节约，按要求严格控制</w:t>
      </w:r>
      <w:r>
        <w:rPr>
          <w:rFonts w:ascii="仿宋_GB2312" w:eastAsia="仿宋_GB2312"/>
          <w:b w:val="0"/>
          <w:sz w:val="32"/>
          <w:szCs w:val="32"/>
        </w:rPr>
        <w:t>“三公”经费支出。其中：因公出国（境）费全年预算数0.00万元，决算数0.00万元，预决算差异率0.00%，主要原因是：</w:t>
      </w:r>
      <w:r>
        <w:rPr>
          <w:rFonts w:hint="eastAsia" w:ascii="仿宋_GB2312" w:eastAsia="仿宋_GB2312"/>
          <w:b w:val="0"/>
          <w:sz w:val="32"/>
          <w:szCs w:val="32"/>
          <w:lang w:val="en-US" w:eastAsia="zh-CN"/>
        </w:rPr>
        <w:t>本部门无</w:t>
      </w:r>
      <w:r>
        <w:rPr>
          <w:rFonts w:ascii="仿宋_GB2312" w:eastAsia="仿宋_GB2312"/>
          <w:b w:val="0"/>
          <w:sz w:val="32"/>
          <w:szCs w:val="32"/>
        </w:rPr>
        <w:t>因公出国（境）</w:t>
      </w:r>
      <w:r>
        <w:rPr>
          <w:rFonts w:hint="eastAsia" w:ascii="仿宋_GB2312" w:eastAsia="仿宋_GB2312"/>
          <w:b w:val="0"/>
          <w:sz w:val="32"/>
          <w:szCs w:val="32"/>
          <w:lang w:eastAsia="zh-CN"/>
        </w:rPr>
        <w:t>费</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val="en-US" w:eastAsia="zh-CN"/>
        </w:rPr>
        <w:t>本部门无</w:t>
      </w:r>
      <w:r>
        <w:rPr>
          <w:rFonts w:ascii="仿宋_GB2312" w:eastAsia="仿宋_GB2312"/>
          <w:b w:val="0"/>
          <w:sz w:val="32"/>
          <w:szCs w:val="32"/>
        </w:rPr>
        <w:t>公务用车购置</w:t>
      </w:r>
      <w:r>
        <w:rPr>
          <w:rFonts w:hint="eastAsia" w:ascii="仿宋_GB2312" w:eastAsia="仿宋_GB2312"/>
          <w:b w:val="0"/>
          <w:sz w:val="32"/>
          <w:szCs w:val="32"/>
          <w:lang w:val="en-US" w:eastAsia="zh-CN"/>
        </w:rPr>
        <w:t>费</w:t>
      </w:r>
      <w:r>
        <w:rPr>
          <w:rFonts w:ascii="仿宋_GB2312" w:eastAsia="仿宋_GB2312"/>
          <w:b w:val="0"/>
          <w:sz w:val="32"/>
          <w:szCs w:val="32"/>
        </w:rPr>
        <w:t>。公务用车运行维护费全年预算数26.75万元，决算数26.74万元，预决算差异率-0.04%，主要原因是：</w:t>
      </w:r>
      <w:r>
        <w:rPr>
          <w:rFonts w:hint="eastAsia" w:ascii="仿宋_GB2312" w:eastAsia="仿宋_GB2312"/>
          <w:b w:val="0"/>
          <w:sz w:val="32"/>
          <w:szCs w:val="32"/>
          <w:lang w:eastAsia="zh-CN"/>
        </w:rPr>
        <w:t>严格落实中央八项规定精神，厉行节约，按要求严格控制车辆</w:t>
      </w:r>
      <w:r>
        <w:rPr>
          <w:rFonts w:ascii="仿宋_GB2312" w:eastAsia="仿宋_GB2312"/>
          <w:b w:val="0"/>
          <w:sz w:val="32"/>
          <w:szCs w:val="32"/>
        </w:rPr>
        <w:t>运行维护</w:t>
      </w:r>
      <w:r>
        <w:rPr>
          <w:rFonts w:hint="eastAsia" w:ascii="仿宋_GB2312" w:eastAsia="仿宋_GB2312"/>
          <w:b w:val="0"/>
          <w:sz w:val="32"/>
          <w:szCs w:val="32"/>
          <w:lang w:eastAsia="zh-CN"/>
        </w:rPr>
        <w:t>费</w:t>
      </w:r>
      <w:r>
        <w:rPr>
          <w:rFonts w:ascii="仿宋_GB2312" w:eastAsia="仿宋_GB2312"/>
          <w:b w:val="0"/>
          <w:sz w:val="32"/>
          <w:szCs w:val="32"/>
        </w:rPr>
        <w:t>。公务接待费全年预算数1.59万元，决算数1.48万元，预决算差异率-6.92%，主要原因是：</w:t>
      </w:r>
      <w:r>
        <w:rPr>
          <w:rFonts w:hint="eastAsia" w:ascii="仿宋_GB2312" w:eastAsia="仿宋_GB2312"/>
          <w:b w:val="0"/>
          <w:sz w:val="32"/>
          <w:szCs w:val="32"/>
          <w:lang w:eastAsia="zh-CN"/>
        </w:rPr>
        <w:t>严格落实中央八项规定精神，厉行节约，按要求严格控制公务接待标准</w:t>
      </w:r>
      <w:r>
        <w:rPr>
          <w:rFonts w:ascii="仿宋_GB2312" w:eastAsia="仿宋_GB2312"/>
          <w:b w:val="0"/>
          <w:sz w:val="32"/>
          <w:szCs w:val="32"/>
        </w:rPr>
        <w:t>。</w:t>
      </w:r>
    </w:p>
    <w:p w14:paraId="3F72BA3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7DD40BD0">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14:paraId="0B08176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2024年度新疆维吾尔自治区畜牧兽医局部门（行政单位和参照公务员法管理事业单位）机关运行经费支出13.86万元，比上年减少335.95万元，下降96.04%，主要原因是：</w:t>
      </w:r>
      <w:r>
        <w:rPr>
          <w:rFonts w:hint="eastAsia" w:ascii="仿宋_GB2312" w:eastAsia="仿宋_GB2312"/>
          <w:b w:val="0"/>
          <w:sz w:val="32"/>
          <w:szCs w:val="32"/>
          <w:lang w:val="en-US" w:eastAsia="zh-CN"/>
        </w:rPr>
        <w:t>2024年自治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机构改革行政人员调整到农业农村厅，办公费、差旅费、邮电费等公用经费减少，导致</w:t>
      </w:r>
      <w:r>
        <w:rPr>
          <w:rFonts w:ascii="仿宋_GB2312" w:eastAsia="仿宋_GB2312"/>
          <w:b w:val="0"/>
          <w:sz w:val="32"/>
          <w:szCs w:val="32"/>
        </w:rPr>
        <w:t>机关运行经费支出</w:t>
      </w:r>
      <w:r>
        <w:rPr>
          <w:rFonts w:hint="eastAsia" w:ascii="仿宋_GB2312" w:eastAsia="仿宋_GB2312"/>
          <w:b w:val="0"/>
          <w:sz w:val="32"/>
          <w:szCs w:val="32"/>
          <w:lang w:val="en-US" w:eastAsia="zh-CN"/>
        </w:rPr>
        <w:t>较上年</w:t>
      </w:r>
      <w:r>
        <w:rPr>
          <w:rFonts w:hint="eastAsia" w:ascii="仿宋_GB2312" w:eastAsia="仿宋_GB2312"/>
          <w:b w:val="0"/>
          <w:sz w:val="32"/>
          <w:szCs w:val="32"/>
          <w:lang w:eastAsia="zh-CN"/>
        </w:rPr>
        <w:t>减少</w:t>
      </w:r>
      <w:r>
        <w:rPr>
          <w:rFonts w:ascii="仿宋_GB2312" w:eastAsia="仿宋_GB2312"/>
          <w:b w:val="0"/>
          <w:sz w:val="32"/>
          <w:szCs w:val="32"/>
        </w:rPr>
        <w:t>。</w:t>
      </w:r>
    </w:p>
    <w:p w14:paraId="7D39805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2024年度新疆维吾尔自治区畜牧兽医局部门（事业单位）公用经费支出1,108.84万元，比上年增加330.22万</w:t>
      </w:r>
      <w:r>
        <w:rPr>
          <w:rFonts w:ascii="仿宋_GB2312" w:eastAsia="仿宋_GB2312"/>
          <w:b w:val="0"/>
          <w:sz w:val="32"/>
          <w:szCs w:val="32"/>
          <w:highlight w:val="none"/>
        </w:rPr>
        <w:t>元，</w:t>
      </w:r>
      <w:r>
        <w:rPr>
          <w:rFonts w:ascii="仿宋_GB2312" w:eastAsia="仿宋_GB2312"/>
          <w:b w:val="0"/>
          <w:sz w:val="32"/>
          <w:szCs w:val="32"/>
        </w:rPr>
        <w:t>增长42.41%</w:t>
      </w:r>
      <w:r>
        <w:rPr>
          <w:rFonts w:ascii="仿宋_GB2312" w:eastAsia="仿宋_GB2312"/>
          <w:b w:val="0"/>
          <w:sz w:val="32"/>
          <w:szCs w:val="32"/>
          <w:highlight w:val="none"/>
        </w:rPr>
        <w:t>，主要原因是：伊犁职业技术学院</w:t>
      </w:r>
      <w:r>
        <w:rPr>
          <w:rFonts w:hint="eastAsia" w:ascii="仿宋_GB2312" w:eastAsia="仿宋_GB2312"/>
          <w:b w:val="0"/>
          <w:sz w:val="32"/>
          <w:szCs w:val="32"/>
          <w:highlight w:val="none"/>
        </w:rPr>
        <w:t>咨询费</w:t>
      </w:r>
      <w:r>
        <w:rPr>
          <w:rFonts w:hint="eastAsia" w:ascii="仿宋_GB2312" w:eastAsia="仿宋_GB2312"/>
          <w:b w:val="0"/>
          <w:sz w:val="32"/>
          <w:szCs w:val="32"/>
          <w:highlight w:val="none"/>
          <w:lang w:eastAsia="zh-CN"/>
        </w:rPr>
        <w:t>、电费、专用材料费</w:t>
      </w:r>
      <w:r>
        <w:rPr>
          <w:rFonts w:hint="eastAsia" w:ascii="仿宋_GB2312" w:eastAsia="仿宋_GB2312"/>
          <w:b w:val="0"/>
          <w:sz w:val="32"/>
          <w:szCs w:val="32"/>
          <w:highlight w:val="none"/>
          <w:lang w:val="en-US" w:eastAsia="zh-CN"/>
        </w:rPr>
        <w:t>增加较多</w:t>
      </w:r>
      <w:r>
        <w:rPr>
          <w:rFonts w:ascii="仿宋_GB2312" w:eastAsia="仿宋_GB2312"/>
          <w:b w:val="0"/>
          <w:sz w:val="32"/>
          <w:szCs w:val="32"/>
        </w:rPr>
        <w:t>。</w:t>
      </w:r>
    </w:p>
    <w:p w14:paraId="707ACCAA">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14:paraId="47030EC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2024年度政府采购支出总额875.62万元，其中：政府采购货物支出619.75万元、政府采购工程支出0.00万元、政府采购服务支出255.87万元。</w:t>
      </w:r>
    </w:p>
    <w:p w14:paraId="37ACA10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授予中小企业合同金额867.39万元，占政府采购支出总额的99.06%，其中：授予小微企业合同金额816.16万元，占政府采购支出总额的93.21%。</w:t>
      </w:r>
    </w:p>
    <w:p w14:paraId="5FB5B6A1">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14:paraId="7ECD82E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115,728.51平方米，价值12,116.77万元。车辆55辆，价值2,079.67万元，其中：副部（省）级及以上领导用车0辆、主要负责人用车0辆、机要通信用车1辆、应急保障用车0辆、执法执勤用车0辆、特种专业技术用车4辆、离退休干部服务用车2辆、其他用车48辆，其他用车主要是：</w:t>
      </w:r>
      <w:r>
        <w:rPr>
          <w:rFonts w:hint="eastAsia" w:ascii="仿宋_GB2312" w:eastAsia="仿宋_GB2312"/>
          <w:b w:val="0"/>
          <w:sz w:val="32"/>
          <w:szCs w:val="32"/>
          <w:lang w:eastAsia="zh-CN"/>
        </w:rPr>
        <w:t>一般</w:t>
      </w:r>
      <w:r>
        <w:rPr>
          <w:rFonts w:hint="eastAsia" w:ascii="仿宋_GB2312" w:eastAsia="仿宋_GB2312"/>
          <w:b w:val="0"/>
          <w:sz w:val="32"/>
          <w:szCs w:val="32"/>
          <w:lang w:val="en-US" w:eastAsia="zh-CN"/>
        </w:rPr>
        <w:t>公</w:t>
      </w:r>
      <w:r>
        <w:rPr>
          <w:rFonts w:hint="eastAsia" w:ascii="仿宋_GB2312" w:eastAsia="仿宋_GB2312"/>
          <w:b w:val="0"/>
          <w:sz w:val="32"/>
          <w:szCs w:val="32"/>
          <w:lang w:eastAsia="zh-CN"/>
        </w:rPr>
        <w:t>务用车；</w:t>
      </w:r>
      <w:r>
        <w:rPr>
          <w:rFonts w:ascii="仿宋_GB2312" w:eastAsia="仿宋_GB2312"/>
          <w:b w:val="0"/>
          <w:sz w:val="32"/>
          <w:szCs w:val="32"/>
        </w:rPr>
        <w:t>单价100万元（含）以上设备（不含车辆）12台（套）。</w:t>
      </w:r>
    </w:p>
    <w:p w14:paraId="1D37785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074FE19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根据预算绩效管理要求，本部门2024年度预算绩效管理形成整体支出绩效自评表1个，全年预算总额</w:t>
      </w:r>
      <w:r>
        <w:rPr>
          <w:rFonts w:hint="eastAsia" w:ascii="仿宋_GB2312" w:eastAsia="仿宋_GB2312"/>
          <w:b w:val="0"/>
          <w:sz w:val="32"/>
          <w:szCs w:val="32"/>
        </w:rPr>
        <w:t>16</w:t>
      </w:r>
      <w:r>
        <w:rPr>
          <w:rFonts w:hint="eastAsia" w:ascii="仿宋_GB2312" w:eastAsia="仿宋_GB2312"/>
          <w:b w:val="0"/>
          <w:sz w:val="32"/>
          <w:szCs w:val="32"/>
          <w:lang w:val="en-US" w:eastAsia="zh-CN"/>
        </w:rPr>
        <w:t>,</w:t>
      </w:r>
      <w:r>
        <w:rPr>
          <w:rFonts w:hint="eastAsia" w:ascii="仿宋_GB2312" w:eastAsia="仿宋_GB2312"/>
          <w:b w:val="0"/>
          <w:sz w:val="32"/>
          <w:szCs w:val="32"/>
        </w:rPr>
        <w:t>383.07</w:t>
      </w:r>
      <w:r>
        <w:rPr>
          <w:rFonts w:ascii="仿宋_GB2312" w:eastAsia="仿宋_GB2312"/>
          <w:b w:val="0"/>
          <w:sz w:val="32"/>
          <w:szCs w:val="32"/>
        </w:rPr>
        <w:t>万元，实际执行总额</w:t>
      </w:r>
      <w:r>
        <w:rPr>
          <w:rFonts w:hint="eastAsia" w:ascii="仿宋_GB2312" w:eastAsia="仿宋_GB2312"/>
          <w:b w:val="0"/>
          <w:sz w:val="32"/>
          <w:szCs w:val="32"/>
        </w:rPr>
        <w:t>15</w:t>
      </w:r>
      <w:r>
        <w:rPr>
          <w:rFonts w:hint="eastAsia" w:ascii="仿宋_GB2312" w:eastAsia="仿宋_GB2312"/>
          <w:b w:val="0"/>
          <w:sz w:val="32"/>
          <w:szCs w:val="32"/>
          <w:lang w:val="en-US" w:eastAsia="zh-CN"/>
        </w:rPr>
        <w:t>,</w:t>
      </w:r>
      <w:r>
        <w:rPr>
          <w:rFonts w:hint="eastAsia" w:ascii="仿宋_GB2312" w:eastAsia="仿宋_GB2312"/>
          <w:b w:val="0"/>
          <w:sz w:val="32"/>
          <w:szCs w:val="32"/>
        </w:rPr>
        <w:t>462.87</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18</w:t>
      </w:r>
      <w:r>
        <w:rPr>
          <w:rFonts w:ascii="仿宋_GB2312" w:eastAsia="仿宋_GB2312"/>
          <w:b w:val="0"/>
          <w:sz w:val="32"/>
          <w:szCs w:val="32"/>
        </w:rPr>
        <w:t>个，全年预算数</w:t>
      </w:r>
      <w:r>
        <w:rPr>
          <w:rFonts w:hint="eastAsia" w:ascii="仿宋_GB2312" w:eastAsia="仿宋_GB2312"/>
          <w:b w:val="0"/>
          <w:sz w:val="32"/>
          <w:szCs w:val="32"/>
          <w:lang w:val="en-US" w:eastAsia="zh-CN"/>
        </w:rPr>
        <w:t>19,703.99</w:t>
      </w:r>
      <w:r>
        <w:rPr>
          <w:rFonts w:ascii="仿宋_GB2312" w:eastAsia="仿宋_GB2312"/>
          <w:b w:val="0"/>
          <w:sz w:val="32"/>
          <w:szCs w:val="32"/>
        </w:rPr>
        <w:t>万元，全年执行数</w:t>
      </w:r>
      <w:r>
        <w:rPr>
          <w:rFonts w:hint="eastAsia" w:ascii="仿宋_GB2312" w:eastAsia="仿宋_GB2312"/>
          <w:b w:val="0"/>
          <w:sz w:val="32"/>
          <w:szCs w:val="32"/>
          <w:lang w:val="en-US" w:eastAsia="zh-CN"/>
        </w:rPr>
        <w:t>19,048.00</w:t>
      </w:r>
      <w:r>
        <w:rPr>
          <w:rFonts w:ascii="仿宋_GB2312" w:eastAsia="仿宋_GB2312"/>
          <w:b w:val="0"/>
          <w:sz w:val="32"/>
          <w:szCs w:val="32"/>
        </w:rPr>
        <w:t>万元。预算绩效管理取得的成效：</w:t>
      </w:r>
      <w:r>
        <w:rPr>
          <w:rFonts w:hint="eastAsia" w:ascii="仿宋_GB2312" w:eastAsia="仿宋_GB2312"/>
          <w:b w:val="0"/>
          <w:sz w:val="32"/>
          <w:szCs w:val="32"/>
          <w:lang w:val="en-US" w:eastAsia="zh-CN"/>
        </w:rPr>
        <w:t>一是</w:t>
      </w:r>
      <w:r>
        <w:rPr>
          <w:rFonts w:hint="default" w:ascii="仿宋_GB2312" w:eastAsia="仿宋_GB2312"/>
          <w:b w:val="0"/>
          <w:sz w:val="32"/>
          <w:szCs w:val="32"/>
          <w:lang w:val="en-US" w:eastAsia="zh-CN"/>
        </w:rPr>
        <w:t>全年实现了强制免疫病种应免畜禽的免疫密度达到90</w:t>
      </w:r>
      <w:r>
        <w:rPr>
          <w:rFonts w:hint="eastAsia" w:ascii="仿宋_GB2312" w:eastAsia="仿宋_GB2312"/>
          <w:b w:val="0"/>
          <w:sz w:val="32"/>
          <w:szCs w:val="32"/>
          <w:lang w:val="en-US" w:eastAsia="zh-CN"/>
        </w:rPr>
        <w:t>.00</w:t>
      </w:r>
      <w:r>
        <w:rPr>
          <w:rFonts w:hint="default" w:ascii="仿宋_GB2312" w:eastAsia="仿宋_GB2312"/>
          <w:b w:val="0"/>
          <w:sz w:val="32"/>
          <w:szCs w:val="32"/>
          <w:lang w:val="en-US" w:eastAsia="zh-CN"/>
        </w:rPr>
        <w:t>%，显著提高动物群体对疫病的抵抗力，保障动物健康和养殖业的稳定发展。肉牛、肉羊全产业链的建设完善，肉类产量的提升直接保障了居民的饮食需求，新疆奶业通过品牌建设和市场拓展，逐步提升了市场竞争力。</w:t>
      </w:r>
      <w:r>
        <w:rPr>
          <w:rFonts w:hint="eastAsia" w:ascii="仿宋_GB2312" w:eastAsia="仿宋_GB2312"/>
          <w:b w:val="0"/>
          <w:sz w:val="32"/>
          <w:szCs w:val="32"/>
          <w:lang w:val="en-US" w:eastAsia="zh-CN"/>
        </w:rPr>
        <w:t>二是</w:t>
      </w:r>
      <w:r>
        <w:rPr>
          <w:rFonts w:hint="default" w:ascii="仿宋_GB2312" w:eastAsia="仿宋_GB2312"/>
          <w:b w:val="0"/>
          <w:sz w:val="32"/>
          <w:szCs w:val="32"/>
          <w:lang w:val="en-US" w:eastAsia="zh-CN"/>
        </w:rPr>
        <w:t>畜禽粪污综合利用率达到了86.01%，节约肥料成本，畜禽粪污资源化利用显著降低了农业生产成本，改善了人居环境</w:t>
      </w:r>
      <w:r>
        <w:rPr>
          <w:rFonts w:ascii="仿宋_GB2312" w:eastAsia="仿宋_GB2312"/>
          <w:b w:val="0"/>
          <w:sz w:val="32"/>
          <w:szCs w:val="32"/>
        </w:rPr>
        <w:t>。发现的问题及原因：</w:t>
      </w:r>
      <w:bookmarkStart w:id="0" w:name="_Toc9758"/>
      <w:r>
        <w:rPr>
          <w:rFonts w:hint="eastAsia" w:ascii="仿宋_GB2312" w:eastAsia="仿宋_GB2312"/>
          <w:b w:val="0"/>
          <w:sz w:val="32"/>
          <w:szCs w:val="32"/>
          <w:lang w:val="en-US" w:eastAsia="zh-CN"/>
        </w:rPr>
        <w:t>一是绩效指标设置不够明确</w:t>
      </w:r>
      <w:bookmarkEnd w:id="0"/>
      <w:r>
        <w:rPr>
          <w:rFonts w:hint="eastAsia" w:ascii="仿宋_GB2312" w:eastAsia="仿宋_GB2312"/>
          <w:b w:val="0"/>
          <w:sz w:val="32"/>
          <w:szCs w:val="32"/>
          <w:lang w:val="en-US" w:eastAsia="zh-CN"/>
        </w:rPr>
        <w:t>。我部门部分绩效指标设置存在不够精简、指标数据无法统计和指标值设置过低等问题，部分项目绩效指标值设定为定性的指标，指标设置的科学性、合理性有待进一步提高。</w:t>
      </w:r>
      <w:bookmarkStart w:id="1" w:name="_Toc2729"/>
      <w:r>
        <w:rPr>
          <w:rFonts w:hint="eastAsia" w:ascii="仿宋_GB2312" w:eastAsia="仿宋_GB2312"/>
          <w:b w:val="0"/>
          <w:sz w:val="32"/>
          <w:szCs w:val="32"/>
          <w:lang w:val="en-US" w:eastAsia="zh-CN"/>
        </w:rPr>
        <w:t>二是预算编制不科学、不精准</w:t>
      </w:r>
      <w:bookmarkEnd w:id="1"/>
      <w:r>
        <w:rPr>
          <w:rFonts w:hint="eastAsia" w:ascii="仿宋_GB2312" w:eastAsia="仿宋_GB2312"/>
          <w:b w:val="0"/>
          <w:sz w:val="32"/>
          <w:szCs w:val="32"/>
          <w:lang w:val="en-US" w:eastAsia="zh-CN"/>
        </w:rPr>
        <w:t>。部分预算未纳入年初预算，导致预算执行与实际需求存在较大偏差；预算编制缺乏前瞻性，未能合理预计年度资金需求，导致预算收支不全面；部分预算调整未及时报批；专项资金拨付不及时，影响项目实施进度；年中追加项目较多，预算调整执行缓慢，导致预算执行率较低；部分项目经费下达时间晚，影响资金使用和项目推进。三是预算管理意识较弱、管理机制不足。</w:t>
      </w:r>
      <w:r>
        <w:rPr>
          <w:rFonts w:hint="default" w:ascii="仿宋_GB2312" w:eastAsia="仿宋_GB2312"/>
          <w:b w:val="0"/>
          <w:sz w:val="32"/>
          <w:szCs w:val="32"/>
          <w:lang w:val="en-US" w:eastAsia="zh-CN"/>
        </w:rPr>
        <w:t>部分单位预算编制意识不强，未能严格按照预算法要求编制预算</w:t>
      </w:r>
      <w:r>
        <w:rPr>
          <w:rFonts w:hint="eastAsia" w:ascii="仿宋_GB2312" w:eastAsia="仿宋_GB2312"/>
          <w:b w:val="0"/>
          <w:sz w:val="32"/>
          <w:szCs w:val="32"/>
          <w:lang w:val="en-US" w:eastAsia="zh-CN"/>
        </w:rPr>
        <w:t>；部门预算与工作计划衔接性不强，导致预算执行率偏差较大。绩效目标管理、绩效运行监控、绩效评价管理等方面存在不足，未能全面覆盖预算绩效目标；预算绩效管理宣传力度不足，相关科室对绩效评价的认识不足</w:t>
      </w:r>
      <w:r>
        <w:rPr>
          <w:rFonts w:ascii="仿宋_GB2312" w:eastAsia="仿宋_GB2312"/>
          <w:b w:val="0"/>
          <w:sz w:val="32"/>
          <w:szCs w:val="32"/>
        </w:rPr>
        <w:t>。下一步改进措施：</w:t>
      </w:r>
      <w:bookmarkStart w:id="2" w:name="_Toc24446"/>
      <w:r>
        <w:rPr>
          <w:rFonts w:hint="eastAsia" w:ascii="仿宋_GB2312" w:eastAsia="仿宋_GB2312"/>
          <w:b w:val="0"/>
          <w:sz w:val="32"/>
          <w:szCs w:val="32"/>
          <w:lang w:val="en-US" w:eastAsia="zh-CN"/>
        </w:rPr>
        <w:t>一是强化部门绩效管理体系建设</w:t>
      </w:r>
      <w:bookmarkEnd w:id="2"/>
      <w:r>
        <w:rPr>
          <w:rFonts w:hint="eastAsia" w:ascii="仿宋_GB2312" w:eastAsia="仿宋_GB2312"/>
          <w:b w:val="0"/>
          <w:sz w:val="32"/>
          <w:szCs w:val="32"/>
          <w:lang w:val="en-US" w:eastAsia="zh-CN"/>
        </w:rPr>
        <w:t>。建议以规章规则的形式，出台绩效管理制度，对绩效管理的目的、意义、性质和特点，以及组织实施绩效管理的程序、步骤、方法、原则和要求进行统一的规定。合理设置年度任务。提高各处室对部门中长期规划的重视程度，增强相关规划的落地性、导向性。探索符合部门工作特点的评价指标体系。在设定绩效目标时选取相关性强的量化指标，并注重选取符合实际工作情况的指标值。二是科学编制预算，提高预算执行率，编制部门预算时，提前对接相关单位，尽量将经营收入、事业收入、其他收入编细、编精确；细化预算编制，严格界定基本支出和项目支出，规范和强化预算约束力提前谋划预算，充分预计和合理安排各项支出，确保预算编制的科学性和准确性。严格按照预算法及实施条例要求，编制全面预算，包括上级转移支付、其他收入等，强化预算编制的科学性和规范性，确保预算细化到具体项目和支出。加快预算执行进度，确保资金及时到位，避免因资金拨付不及时导致的项目实施滞后，加强预算调整管理，确保预算调整程序规范，避免随意调整预算用途。</w:t>
      </w:r>
      <w:bookmarkStart w:id="3" w:name="_Toc18250"/>
      <w:r>
        <w:rPr>
          <w:rFonts w:hint="eastAsia" w:ascii="仿宋_GB2312" w:eastAsia="仿宋_GB2312"/>
          <w:b w:val="0"/>
          <w:sz w:val="32"/>
          <w:szCs w:val="32"/>
          <w:lang w:val="en-US" w:eastAsia="zh-CN"/>
        </w:rPr>
        <w:t>三是完善绩效管理机制，</w:t>
      </w:r>
      <w:bookmarkEnd w:id="3"/>
      <w:r>
        <w:rPr>
          <w:rFonts w:hint="eastAsia" w:ascii="仿宋_GB2312" w:eastAsia="仿宋_GB2312"/>
          <w:b w:val="0"/>
          <w:sz w:val="32"/>
          <w:szCs w:val="32"/>
          <w:lang w:val="en-US" w:eastAsia="zh-CN"/>
        </w:rPr>
        <w:t>提升预算管理能力。建立健全预算绩效管理机制，加强绩效目标的科学设置和绩效评价管理，确保预算绩效目标全面覆盖年度工作计划，加强绩效管理培训，提升相关工作人员的绩效管理意识，提高绩效管理水平。定期开展预算执行情况的监督检查，发现问题及时整改，确保预算执行的规范性和透明性。加强预算管理培训，提升财务人员的业务能力，增强预算管理意识；提升单位领导对预算管理的重视程度，确保预算编制和执行的科学性和规范性</w:t>
      </w:r>
      <w:r>
        <w:rPr>
          <w:rFonts w:ascii="仿宋_GB2312" w:eastAsia="仿宋_GB2312"/>
          <w:b w:val="0"/>
          <w:sz w:val="32"/>
          <w:szCs w:val="32"/>
        </w:rPr>
        <w:t>。具体附部门整体支出绩效自评表，项目支出绩效自评表和部门评价报告。</w:t>
      </w:r>
    </w:p>
    <w:p w14:paraId="2031F6B7">
      <w:pPr>
        <w:rPr>
          <w:rFonts w:ascii="黑体" w:eastAsia="黑体"/>
          <w:b w:val="0"/>
          <w:sz w:val="32"/>
          <w:szCs w:val="32"/>
        </w:rPr>
      </w:pPr>
      <w:r>
        <w:rPr>
          <w:rFonts w:ascii="黑体" w:eastAsia="黑体"/>
          <w:b w:val="0"/>
          <w:sz w:val="32"/>
          <w:szCs w:val="32"/>
        </w:rPr>
        <w:br w:type="page"/>
      </w:r>
    </w:p>
    <w:p w14:paraId="7C1A05B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259E8B8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本部门无其他需说明事项。</w:t>
      </w:r>
    </w:p>
    <w:p w14:paraId="1EFDA510">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61530ACD">
      <w:pPr>
        <w:widowControl/>
      </w:pPr>
      <w:r>
        <w:rPr>
          <w:b w:val="0"/>
          <w:sz w:val="0"/>
          <w:szCs w:val="0"/>
        </w:rPr>
        <w:br w:type="page"/>
      </w:r>
    </w:p>
    <w:p w14:paraId="1CBFEA59">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14:paraId="68772BB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1CB175C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7A6C4F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07C02E1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2AEF137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18A50DA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0723532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2280502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D5079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217B7E5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74FBFFC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47D6EB5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60B4363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BD8FB7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474E8984">
      <w:pPr>
        <w:widowControl/>
      </w:pPr>
      <w:r>
        <w:rPr>
          <w:b w:val="0"/>
          <w:sz w:val="0"/>
          <w:szCs w:val="0"/>
        </w:rPr>
        <w:br w:type="page"/>
      </w:r>
    </w:p>
    <w:p w14:paraId="78741BDA">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14:paraId="2A3A2DE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516C405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7507345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6618ABB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70E00B1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44B8866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539DB90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0D1EEA6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7608B29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abstractNum w:abstractNumId="1">
    <w:nsid w:val="151C67A4"/>
    <w:multiLevelType w:val="singleLevel"/>
    <w:tmpl w:val="151C67A4"/>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000000"/>
    <w:rsid w:val="150E65C5"/>
    <w:rsid w:val="1AEF5241"/>
    <w:rsid w:val="1F1A76A6"/>
    <w:rsid w:val="216B1FF1"/>
    <w:rsid w:val="40330901"/>
    <w:rsid w:val="40935726"/>
    <w:rsid w:val="4947220F"/>
    <w:rsid w:val="50091D29"/>
    <w:rsid w:val="53A04360"/>
    <w:rsid w:val="54211B59"/>
    <w:rsid w:val="54227740"/>
    <w:rsid w:val="563C0091"/>
    <w:rsid w:val="5834613A"/>
    <w:rsid w:val="67D55508"/>
    <w:rsid w:val="692F09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0"/>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1"/>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2"/>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3"/>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Body Text Indent"/>
    <w:basedOn w:val="1"/>
    <w:unhideWhenUsed/>
    <w:qFormat/>
    <w:uiPriority w:val="0"/>
    <w:pPr>
      <w:ind w:firstLine="640" w:firstLineChars="200"/>
    </w:pPr>
    <w:rPr>
      <w:rFonts w:eastAsia="宋体"/>
    </w:rPr>
  </w:style>
  <w:style w:type="paragraph" w:styleId="9">
    <w:name w:val="header"/>
    <w:basedOn w:val="1"/>
    <w:link w:val="19"/>
    <w:unhideWhenUsed/>
    <w:qFormat/>
    <w:uiPriority w:val="99"/>
    <w:pPr>
      <w:tabs>
        <w:tab w:val="center" w:pos="4680"/>
        <w:tab w:val="right" w:pos="9360"/>
      </w:tabs>
    </w:pPr>
  </w:style>
  <w:style w:type="paragraph" w:styleId="10">
    <w:name w:val="Subtitle"/>
    <w:basedOn w:val="1"/>
    <w:next w:val="1"/>
    <w:link w:val="24"/>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5"/>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2">
    <w:name w:val="Body Text First Indent 2"/>
    <w:basedOn w:val="8"/>
    <w:unhideWhenUsed/>
    <w:qFormat/>
    <w:uiPriority w:val="0"/>
    <w:pPr>
      <w:ind w:firstLine="420" w:firstLineChars="200"/>
    </w:pPr>
  </w:style>
  <w:style w:type="table" w:styleId="14">
    <w:name w:val="Table Grid"/>
    <w:basedOn w:val="13"/>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Strong"/>
    <w:basedOn w:val="15"/>
    <w:qFormat/>
    <w:uiPriority w:val="0"/>
    <w:rPr>
      <w:b/>
      <w:bCs/>
    </w:rPr>
  </w:style>
  <w:style w:type="character" w:styleId="17">
    <w:name w:val="Emphasis"/>
    <w:basedOn w:val="15"/>
    <w:qFormat/>
    <w:uiPriority w:val="20"/>
    <w:rPr>
      <w:i/>
      <w:iCs/>
    </w:rPr>
  </w:style>
  <w:style w:type="character" w:styleId="18">
    <w:name w:val="Hyperlink"/>
    <w:basedOn w:val="15"/>
    <w:unhideWhenUsed/>
    <w:qFormat/>
    <w:uiPriority w:val="99"/>
    <w:rPr>
      <w:color w:val="0000FF" w:themeColor="hyperlink"/>
      <w:u w:val="single"/>
    </w:rPr>
  </w:style>
  <w:style w:type="character" w:customStyle="1" w:styleId="19">
    <w:name w:val="Header Char"/>
    <w:basedOn w:val="15"/>
    <w:link w:val="9"/>
    <w:qFormat/>
    <w:uiPriority w:val="99"/>
  </w:style>
  <w:style w:type="character" w:customStyle="1" w:styleId="20">
    <w:name w:val="Heading 1 Char"/>
    <w:basedOn w:val="15"/>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1">
    <w:name w:val="Heading 2 Char"/>
    <w:basedOn w:val="15"/>
    <w:link w:val="3"/>
    <w:qFormat/>
    <w:uiPriority w:val="9"/>
    <w:rPr>
      <w:rFonts w:asciiTheme="majorHAnsi" w:hAnsiTheme="majorHAnsi" w:eastAsiaTheme="majorEastAsia" w:cstheme="majorBidi"/>
      <w:b/>
      <w:bCs/>
      <w:color w:val="4F81BD" w:themeColor="accent1"/>
      <w:sz w:val="26"/>
      <w:szCs w:val="26"/>
    </w:rPr>
  </w:style>
  <w:style w:type="character" w:customStyle="1" w:styleId="22">
    <w:name w:val="Heading 3 Char"/>
    <w:basedOn w:val="15"/>
    <w:link w:val="4"/>
    <w:qFormat/>
    <w:uiPriority w:val="9"/>
    <w:rPr>
      <w:rFonts w:asciiTheme="majorHAnsi" w:hAnsiTheme="majorHAnsi" w:eastAsiaTheme="majorEastAsia" w:cstheme="majorBidi"/>
      <w:b/>
      <w:bCs/>
      <w:color w:val="4F81BD" w:themeColor="accent1"/>
    </w:rPr>
  </w:style>
  <w:style w:type="character" w:customStyle="1" w:styleId="23">
    <w:name w:val="Heading 4 Char"/>
    <w:basedOn w:val="15"/>
    <w:link w:val="5"/>
    <w:qFormat/>
    <w:uiPriority w:val="9"/>
    <w:rPr>
      <w:rFonts w:asciiTheme="majorHAnsi" w:hAnsiTheme="majorHAnsi" w:eastAsiaTheme="majorEastAsia" w:cstheme="majorBidi"/>
      <w:b/>
      <w:bCs/>
      <w:i/>
      <w:iCs/>
      <w:color w:val="4F81BD" w:themeColor="accent1"/>
    </w:rPr>
  </w:style>
  <w:style w:type="character" w:customStyle="1" w:styleId="24">
    <w:name w:val="Subtitle Char"/>
    <w:basedOn w:val="15"/>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5">
    <w:name w:val="Title Char"/>
    <w:basedOn w:val="15"/>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9192</Words>
  <Characters>10246</Characters>
  <TotalTime>14</TotalTime>
  <ScaleCrop>false</ScaleCrop>
  <LinksUpToDate>false</LinksUpToDate>
  <CharactersWithSpaces>10246</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2025-08-11T05:26:00Z</dcterms:created>
  <dc:creator>Administrator</dc:creator>
  <cp:lastModifiedBy>雨。</cp:lastModifiedBy>
  <dcterms:modified xsi:type="dcterms:W3CDTF">2025-08-25T08:35:50Z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eyJoZGlkIjoiNDg4ZTU2ZTRlNTdiNzJkNDA1YTllMzlkYTg4N2RlNjgiLCJ1c2VySWQiOiIyNTk4NTcxMjUifQ==</vt:lpwstr>
  </property>
  <property fmtid="{D5CDD505-2E9C-101B-9397-08002B2CF9AE}" pid="3" name="KSOProductBuildVer">
    <vt:lpwstr>2052-12.1.0.22529</vt:lpwstr>
  </property>
  <property fmtid="{D5CDD505-2E9C-101B-9397-08002B2CF9AE}" pid="4" name="ICV">
    <vt:lpwstr>7EA58EAA5AF248D7A17DBFA8F5AA849D_13</vt:lpwstr>
  </property>
</Properties>
</file>