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Theme="minorEastAsia" w:hAnsiTheme="minorEastAsia" w:eastAsiaTheme="minorEastAsia" w:cstheme="minorEastAsia"/>
          <w:color w:val="333333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 w:bidi="ar"/>
        </w:rPr>
        <w:t>附件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 w:bidi="ar"/>
        </w:rPr>
        <w:t>2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自治区部门单位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支出绩效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  <w:lang w:eastAsia="zh-CN"/>
        </w:rPr>
        <w:t>评价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</w:t>
      </w:r>
    </w:p>
    <w:p>
      <w:pPr>
        <w:spacing w:line="700" w:lineRule="exact"/>
        <w:ind w:firstLine="849" w:firstLineChars="236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部门单位名称（公章）：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畜牧兽医局机关服务中心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 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 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26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 w:bidi="ar"/>
        </w:rPr>
      </w:pP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/>
          <w:szCs w:val="30"/>
        </w:rPr>
      </w:pPr>
    </w:p>
    <w:p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一、基本情况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</w:rPr>
      </w:pPr>
      <w:r>
        <w:rPr>
          <w:rFonts w:hint="eastAsia" w:ascii="仿宋_GB2312"/>
        </w:rPr>
        <w:t>（一）项目概况。</w:t>
      </w:r>
    </w:p>
    <w:p>
      <w:pPr>
        <w:spacing w:line="600" w:lineRule="exact"/>
        <w:ind w:firstLine="641"/>
        <w:rPr>
          <w:rFonts w:eastAsia="仿宋_GB2312"/>
          <w:b/>
          <w:bCs/>
          <w:sz w:val="30"/>
          <w:szCs w:val="30"/>
        </w:rPr>
      </w:pPr>
      <w:r>
        <w:rPr>
          <w:rFonts w:eastAsia="仿宋_GB2312"/>
          <w:b/>
          <w:bCs/>
          <w:sz w:val="30"/>
          <w:szCs w:val="30"/>
        </w:rPr>
        <w:t>1、项目背景</w:t>
      </w:r>
    </w:p>
    <w:p>
      <w:pPr>
        <w:spacing w:line="360" w:lineRule="auto"/>
        <w:ind w:firstLine="600" w:firstLineChars="200"/>
        <w:rPr>
          <w:rStyle w:val="7"/>
          <w:rFonts w:hint="eastAsia" w:ascii="楷体_GB2312" w:hAnsi="楷体" w:eastAsia="楷体_GB2312"/>
          <w:spacing w:val="-4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畜牧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兽医局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机关服务中心是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新疆维吾尔自治区农业农村厅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下属全额拨款事业单位。自治区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农业农村厅新华南路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办公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区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位于新华南路408号，由自治区农业农村厅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自治区党委农办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和自治区畜牧兽医局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共同办公使用。当前我们是通过二医院二网供热，线路比较长，近几年办公楼内温度一直偏低，在此办公的同志多次反映，室内温度太低影响正常工作，虽然采取了一些更换窗户密封条、门口加装热风机等措施，效果不佳。通过咨询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专业人员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，他们建议我们将原来废弃的自我管理的换热站重新恢复使用，根据使用热量支付取暖费，就可以解决室温偏低的问题。</w:t>
      </w:r>
    </w:p>
    <w:p>
      <w:pPr>
        <w:pStyle w:val="2"/>
        <w:numPr>
          <w:ilvl w:val="0"/>
          <w:numId w:val="1"/>
        </w:numPr>
        <w:spacing w:before="0" w:after="0" w:line="600" w:lineRule="exact"/>
        <w:ind w:firstLine="602" w:firstLineChars="200"/>
        <w:jc w:val="both"/>
        <w:rPr>
          <w:rFonts w:ascii="Times New Roman" w:hAnsi="Times New Roman" w:eastAsia="仿宋_GB2312"/>
          <w:kern w:val="2"/>
          <w:sz w:val="30"/>
          <w:szCs w:val="30"/>
        </w:rPr>
      </w:pPr>
      <w:r>
        <w:rPr>
          <w:rFonts w:ascii="Times New Roman" w:hAnsi="Times New Roman" w:eastAsia="仿宋_GB2312"/>
          <w:kern w:val="2"/>
          <w:sz w:val="30"/>
          <w:szCs w:val="30"/>
        </w:rPr>
        <w:t>项目主要内容：</w:t>
      </w:r>
    </w:p>
    <w:p>
      <w:pPr>
        <w:spacing w:line="600" w:lineRule="exact"/>
        <w:ind w:firstLine="600" w:firstLineChars="200"/>
        <w:rPr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更换维修办公楼换热站项目</w:t>
      </w:r>
      <w:r>
        <w:rPr>
          <w:rFonts w:eastAsia="仿宋_GB2312"/>
          <w:sz w:val="30"/>
          <w:szCs w:val="30"/>
        </w:rPr>
        <w:t>实施情况：项目目前已经完成实际设立的目标，项目在实施过程中严格按照目标设立的各阶段任务进行开展工作，在前期立项过程中严把质量关，建立安全防护机制，保证项目实施各阶段安全顺利进行。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本项目总投资</w:t>
      </w:r>
      <w:r>
        <w:rPr>
          <w:rFonts w:hint="eastAsia"/>
          <w:sz w:val="30"/>
          <w:szCs w:val="30"/>
          <w:highlight w:val="none"/>
          <w:lang w:val="en-US" w:eastAsia="zh-CN"/>
        </w:rPr>
        <w:t>58</w:t>
      </w:r>
      <w:r>
        <w:rPr>
          <w:rFonts w:eastAsia="仿宋_GB2312"/>
          <w:sz w:val="30"/>
          <w:szCs w:val="30"/>
        </w:rPr>
        <w:t>万元，其中：财政本级资金</w:t>
      </w:r>
      <w:r>
        <w:rPr>
          <w:rFonts w:hint="eastAsia"/>
          <w:sz w:val="30"/>
          <w:szCs w:val="30"/>
          <w:highlight w:val="non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万元。项目实际支出</w:t>
      </w:r>
      <w:r>
        <w:rPr>
          <w:rFonts w:hint="eastAsia"/>
          <w:sz w:val="30"/>
          <w:szCs w:val="30"/>
          <w:highlight w:val="none"/>
          <w:lang w:val="en-US" w:eastAsia="zh-CN"/>
        </w:rPr>
        <w:t>58</w:t>
      </w:r>
      <w:r>
        <w:rPr>
          <w:rFonts w:eastAsia="仿宋_GB2312"/>
          <w:sz w:val="30"/>
          <w:szCs w:val="30"/>
        </w:rPr>
        <w:t>万元，支出率为100%。</w:t>
      </w:r>
    </w:p>
    <w:p>
      <w:pPr>
        <w:spacing w:line="600" w:lineRule="exact"/>
        <w:ind w:firstLine="602" w:firstLineChars="200"/>
        <w:rPr>
          <w:rFonts w:eastAsia="仿宋_GB2312"/>
          <w:b/>
          <w:bCs/>
          <w:sz w:val="30"/>
          <w:szCs w:val="30"/>
        </w:rPr>
      </w:pPr>
      <w:r>
        <w:rPr>
          <w:rFonts w:eastAsia="仿宋_GB2312"/>
          <w:b/>
          <w:bCs/>
          <w:sz w:val="30"/>
          <w:szCs w:val="30"/>
        </w:rPr>
        <w:t>3、资金投入和使用情况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（1）资金安排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项目总投资</w:t>
      </w:r>
      <w:r>
        <w:rPr>
          <w:rFonts w:hint="eastAsia"/>
          <w:sz w:val="30"/>
          <w:szCs w:val="30"/>
          <w:highlight w:val="none"/>
          <w:lang w:val="en-US" w:eastAsia="zh-CN"/>
        </w:rPr>
        <w:t>58</w:t>
      </w:r>
      <w:r>
        <w:rPr>
          <w:rFonts w:eastAsia="仿宋_GB2312"/>
          <w:sz w:val="30"/>
          <w:szCs w:val="30"/>
        </w:rPr>
        <w:t>万元，按照单位财务制度等相关规定，资金支出符合</w:t>
      </w:r>
      <w:r>
        <w:rPr>
          <w:rFonts w:hint="eastAsia" w:eastAsia="仿宋_GB2312"/>
          <w:sz w:val="30"/>
          <w:szCs w:val="30"/>
          <w:lang w:eastAsia="zh-CN"/>
        </w:rPr>
        <w:t>自治区畜牧业生产发展资金</w:t>
      </w:r>
      <w:r>
        <w:rPr>
          <w:rFonts w:eastAsia="仿宋_GB2312"/>
          <w:sz w:val="30"/>
          <w:szCs w:val="30"/>
        </w:rPr>
        <w:t>专项资金费用范围，做到了专款专用。在项目资金拨付和使用过程中，为确保项目资金的安全性，提高项目资金使用效率，严格遵循</w:t>
      </w:r>
      <w:r>
        <w:rPr>
          <w:rFonts w:hint="eastAsia" w:eastAsia="仿宋_GB2312"/>
          <w:sz w:val="30"/>
          <w:szCs w:val="30"/>
          <w:highlight w:val="none"/>
          <w:lang w:eastAsia="zh-CN"/>
        </w:rPr>
        <w:t>项目</w:t>
      </w:r>
      <w:r>
        <w:rPr>
          <w:rFonts w:eastAsia="仿宋_GB2312"/>
          <w:sz w:val="30"/>
          <w:szCs w:val="30"/>
        </w:rPr>
        <w:t>资金的拨付程序，认真审核项目实施各阶段的相关材料和手续，根据项目实施进展情况拨付资金。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（2）预算资金来源及使用情况</w:t>
      </w:r>
      <w:bookmarkStart w:id="0" w:name="page10"/>
      <w:bookmarkEnd w:id="0"/>
    </w:p>
    <w:p>
      <w:pPr>
        <w:pStyle w:val="2"/>
        <w:spacing w:before="0" w:after="0" w:line="600" w:lineRule="exact"/>
        <w:ind w:firstLine="600" w:firstLineChars="200"/>
        <w:jc w:val="both"/>
        <w:rPr>
          <w:rFonts w:hint="eastAsia" w:ascii="仿宋_GB2312"/>
        </w:rPr>
      </w:pPr>
      <w:r>
        <w:rPr>
          <w:rFonts w:ascii="Times New Roman" w:hAnsi="Times New Roman" w:eastAsia="仿宋_GB2312"/>
          <w:b w:val="0"/>
          <w:bCs w:val="0"/>
          <w:kern w:val="2"/>
          <w:sz w:val="30"/>
          <w:szCs w:val="30"/>
        </w:rPr>
        <w:t>项目预算资金来源于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非财政拨款结转结余的单位资金</w:t>
      </w:r>
      <w:r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，</w:t>
      </w:r>
      <w:r>
        <w:rPr>
          <w:rFonts w:ascii="Times New Roman" w:hAnsi="Times New Roman" w:eastAsia="仿宋_GB2312"/>
          <w:b w:val="0"/>
          <w:bCs w:val="0"/>
          <w:kern w:val="2"/>
          <w:sz w:val="30"/>
          <w:szCs w:val="30"/>
        </w:rPr>
        <w:t>项目资金到位</w:t>
      </w:r>
      <w:r>
        <w:rPr>
          <w:rFonts w:hint="eastAsia" w:ascii="Times New Roman" w:hAnsi="Times New Roman" w:eastAsia="仿宋_GB2312"/>
          <w:b w:val="0"/>
          <w:bCs w:val="0"/>
          <w:kern w:val="2"/>
          <w:sz w:val="30"/>
          <w:szCs w:val="30"/>
          <w:highlight w:val="none"/>
          <w:lang w:val="en-US" w:eastAsia="zh-CN"/>
        </w:rPr>
        <w:t>58</w:t>
      </w:r>
      <w:r>
        <w:rPr>
          <w:rFonts w:ascii="Times New Roman" w:hAnsi="Times New Roman" w:eastAsia="仿宋_GB2312"/>
          <w:b w:val="0"/>
          <w:bCs w:val="0"/>
          <w:kern w:val="2"/>
          <w:sz w:val="30"/>
          <w:szCs w:val="30"/>
        </w:rPr>
        <w:t>万元，</w:t>
      </w:r>
      <w:r>
        <w:rPr>
          <w:rFonts w:hint="eastAsia" w:ascii="Times New Roman" w:hAnsi="Times New Roman" w:eastAsia="仿宋_GB2312"/>
          <w:b w:val="0"/>
          <w:bCs w:val="0"/>
          <w:kern w:val="2"/>
          <w:sz w:val="30"/>
          <w:szCs w:val="30"/>
        </w:rPr>
        <w:t>全年执行</w:t>
      </w:r>
      <w:r>
        <w:rPr>
          <w:rFonts w:hint="eastAsia" w:ascii="Times New Roman" w:hAnsi="Times New Roman" w:eastAsia="仿宋_GB2312"/>
          <w:b w:val="0"/>
          <w:bCs w:val="0"/>
          <w:kern w:val="2"/>
          <w:sz w:val="30"/>
          <w:szCs w:val="30"/>
          <w:lang w:val="en-US" w:eastAsia="zh-CN"/>
        </w:rPr>
        <w:t>58</w:t>
      </w:r>
      <w:r>
        <w:rPr>
          <w:rFonts w:hint="eastAsia" w:ascii="Times New Roman" w:hAnsi="Times New Roman" w:eastAsia="仿宋_GB2312"/>
          <w:b w:val="0"/>
          <w:bCs w:val="0"/>
          <w:kern w:val="2"/>
          <w:sz w:val="30"/>
          <w:szCs w:val="30"/>
        </w:rPr>
        <w:t>万元，预算执行率为</w:t>
      </w:r>
      <w:r>
        <w:rPr>
          <w:rFonts w:hint="eastAsia" w:ascii="Times New Roman" w:hAnsi="Times New Roman" w:eastAsia="仿宋_GB2312"/>
          <w:b w:val="0"/>
          <w:bCs w:val="0"/>
          <w:kern w:val="2"/>
          <w:sz w:val="30"/>
          <w:szCs w:val="30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kern w:val="2"/>
          <w:sz w:val="30"/>
          <w:szCs w:val="30"/>
        </w:rPr>
        <w:t>%,</w:t>
      </w:r>
      <w:r>
        <w:rPr>
          <w:rFonts w:hint="eastAsia" w:ascii="Times New Roman" w:hAnsi="Times New Roman" w:eastAsia="仿宋_GB2312"/>
          <w:b w:val="0"/>
          <w:bCs w:val="0"/>
          <w:kern w:val="2"/>
          <w:sz w:val="30"/>
          <w:szCs w:val="30"/>
        </w:rPr>
        <w:t>主要</w:t>
      </w:r>
      <w:r>
        <w:rPr>
          <w:rFonts w:ascii="Times New Roman" w:hAnsi="Times New Roman" w:eastAsia="仿宋_GB2312"/>
          <w:b w:val="0"/>
          <w:bCs w:val="0"/>
          <w:kern w:val="2"/>
          <w:sz w:val="30"/>
          <w:szCs w:val="30"/>
        </w:rPr>
        <w:t>用于支付项目实施进程中的各项费用。</w:t>
      </w:r>
    </w:p>
    <w:p>
      <w:pPr>
        <w:numPr>
          <w:ilvl w:val="0"/>
          <w:numId w:val="2"/>
        </w:numPr>
        <w:spacing w:line="600" w:lineRule="exact"/>
        <w:ind w:firstLine="600" w:firstLineChars="200"/>
        <w:rPr>
          <w:rFonts w:hint="eastAsia" w:ascii="仿宋_GB2312"/>
          <w:highlight w:val="none"/>
        </w:rPr>
      </w:pPr>
      <w:r>
        <w:rPr>
          <w:rFonts w:hint="eastAsia" w:ascii="仿宋_GB2312"/>
          <w:highlight w:val="none"/>
        </w:rPr>
        <w:t>项目绩效目标。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eastAsia="仿宋_GB2312"/>
          <w:sz w:val="30"/>
          <w:szCs w:val="30"/>
          <w:highlight w:val="none"/>
        </w:rPr>
        <w:t>1、总体目标</w:t>
      </w:r>
    </w:p>
    <w:p>
      <w:pPr>
        <w:spacing w:line="600" w:lineRule="exact"/>
        <w:ind w:firstLine="600" w:firstLineChars="200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关于抓牢安全生产的重要性，迎合推进新时代安全生产高质量发展。自治区畜牧兽医局办公楼近几年冬季室温过低，为确保工作正常开展，重新建设恢复原有的自我管理换热站。</w:t>
      </w:r>
    </w:p>
    <w:p>
      <w:pPr>
        <w:spacing w:line="600" w:lineRule="exact"/>
        <w:ind w:firstLine="600" w:firstLineChars="200"/>
        <w:rPr>
          <w:sz w:val="30"/>
          <w:szCs w:val="30"/>
        </w:rPr>
      </w:pPr>
      <w:r>
        <w:rPr>
          <w:rFonts w:eastAsia="仿宋_GB2312"/>
          <w:sz w:val="30"/>
          <w:szCs w:val="30"/>
        </w:rPr>
        <w:t>2、阶段性目标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（1）前期准备：通过制定项目实施方案，经项目负责人审核通过后，有序开展后续工作。</w:t>
      </w:r>
    </w:p>
    <w:p>
      <w:pPr>
        <w:spacing w:line="600" w:lineRule="exact"/>
        <w:ind w:firstLine="600" w:firstLineChars="200"/>
      </w:pPr>
      <w:r>
        <w:rPr>
          <w:rFonts w:eastAsia="仿宋_GB2312"/>
          <w:sz w:val="30"/>
          <w:szCs w:val="30"/>
        </w:rPr>
        <w:t>（2）组织实施：资金一到位，立即根据项目要求实施项目。项目责任人按照项目实施方案要求逐一进行项目部署安排，提高项目质量及效率性。</w:t>
      </w:r>
    </w:p>
    <w:p>
      <w:pPr>
        <w:spacing w:line="600" w:lineRule="exact"/>
        <w:ind w:firstLine="600" w:firstLineChars="200"/>
        <w:rPr>
          <w:rFonts w:ascii="黑体" w:hAnsi="黑体" w:eastAsia="黑体"/>
          <w:highlight w:val="none"/>
        </w:rPr>
      </w:pPr>
      <w:r>
        <w:rPr>
          <w:rFonts w:hint="eastAsia" w:ascii="黑体" w:hAnsi="黑体" w:eastAsia="黑体"/>
          <w:highlight w:val="none"/>
        </w:rPr>
        <w:t>二、绩效评价工作开展情况</w:t>
      </w:r>
    </w:p>
    <w:p>
      <w:pPr>
        <w:spacing w:line="600" w:lineRule="exact"/>
        <w:ind w:firstLine="600" w:firstLineChars="200"/>
        <w:rPr>
          <w:rFonts w:hint="eastAsia" w:ascii="仿宋_GB2312"/>
          <w:highlight w:val="none"/>
        </w:rPr>
      </w:pPr>
      <w:r>
        <w:rPr>
          <w:rFonts w:hint="eastAsia" w:ascii="仿宋_GB2312"/>
          <w:highlight w:val="none"/>
        </w:rPr>
        <w:t>（一）绩效评价目的、对象和范围。</w:t>
      </w:r>
    </w:p>
    <w:p>
      <w:pPr>
        <w:pStyle w:val="2"/>
        <w:widowControl w:val="0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1、绩效评价的目的</w:t>
      </w:r>
    </w:p>
    <w:p>
      <w:pPr>
        <w:spacing w:line="600" w:lineRule="exact"/>
        <w:ind w:firstLine="600" w:firstLineChars="200"/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>
      <w:pPr>
        <w:numPr>
          <w:ilvl w:val="0"/>
          <w:numId w:val="3"/>
        </w:numPr>
        <w:spacing w:line="600" w:lineRule="exact"/>
        <w:ind w:firstLine="600" w:firstLineChars="200"/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项目在实施前向项目负责人提供财政支出绩效方面的资金管理信息，促进项目支出严格按照资金管理规定进行。</w:t>
      </w:r>
    </w:p>
    <w:p>
      <w:pPr>
        <w:spacing w:line="600" w:lineRule="exact"/>
        <w:ind w:firstLine="600" w:firstLineChars="200"/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（2）项目绩效管理财政支出运行提供及时、有效的信息。</w:t>
      </w:r>
    </w:p>
    <w:p>
      <w:pPr>
        <w:spacing w:line="600" w:lineRule="exact"/>
        <w:ind w:firstLine="600" w:firstLineChars="200"/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综合来看，通过开展有效的财政支出绩效评价管理，达到改进预算管理、控制节约成本，提高预算资金使用效益的目的。</w:t>
      </w:r>
    </w:p>
    <w:p>
      <w:pPr>
        <w:pStyle w:val="2"/>
        <w:widowControl w:val="0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2、绩效评价的对象</w:t>
      </w:r>
    </w:p>
    <w:p>
      <w:pPr>
        <w:spacing w:line="560" w:lineRule="exact"/>
        <w:ind w:firstLine="600" w:firstLineChars="200"/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项目和资金管理、产出和效益，产出指标设置有数量指标、质量指标、时效指标，适合项目实施应具备的条件，与评价对象密切相关，全面反映项目决策、项目资金使用方向和资金管理的核心指标。项目资金使用方向包括：</w:t>
      </w:r>
      <w:r>
        <w:rPr>
          <w:rFonts w:hint="eastAsia" w:ascii="仿宋_GB2312" w:eastAsia="仿宋_GB2312"/>
          <w:sz w:val="32"/>
          <w:szCs w:val="32"/>
        </w:rPr>
        <w:t>建设工程费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设计费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设备购置费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安装工程费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工程监理费。</w:t>
      </w:r>
    </w:p>
    <w:p>
      <w:pPr>
        <w:pStyle w:val="2"/>
        <w:widowControl w:val="0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3、绩效评价的范围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atLeast"/>
        <w:ind w:left="0" w:leftChars="0" w:firstLine="600" w:firstLineChars="200"/>
        <w:textAlignment w:val="auto"/>
        <w:rPr>
          <w:rFonts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更换维修办公楼换热站项目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经费下达后，我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中心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根据预算制定了详细的实施计划，分配项目经费，落实到项目负责人和分管监督领导。在实际执行中，把成本控制在年初的预算范围内，确保资金使用的安全性与科学性。该项目按照预算执行，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未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超出预算范围。产出指标设置有数量指标、质量指标、时效指标，适合项目实施应具备的条件，与评价对象密切相关，全面反映项目决策、项目资金使用方向和资金管理的核心指标。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项目执行过程中，未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lang w:val="en-US" w:eastAsia="zh-CN" w:bidi="ar-SA"/>
        </w:rPr>
        <w:t>发现资金使用重大违纪违法现象。项目资金全部及时拨付到位，拨付率达到100%。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_GB2312"/>
        </w:rPr>
      </w:pPr>
      <w:r>
        <w:rPr>
          <w:rFonts w:hint="eastAsia" w:ascii="仿宋_GB2312"/>
          <w:lang w:eastAsia="zh-CN"/>
        </w:rPr>
        <w:t>（</w:t>
      </w:r>
      <w:r>
        <w:rPr>
          <w:rFonts w:hint="eastAsia" w:ascii="仿宋_GB2312"/>
          <w:lang w:val="en-US" w:eastAsia="zh-CN"/>
        </w:rPr>
        <w:t>二</w:t>
      </w:r>
      <w:r>
        <w:rPr>
          <w:rFonts w:hint="eastAsia" w:ascii="仿宋_GB2312"/>
          <w:lang w:eastAsia="zh-CN"/>
        </w:rPr>
        <w:t>）</w:t>
      </w:r>
      <w:r>
        <w:rPr>
          <w:rFonts w:hint="eastAsia" w:ascii="仿宋_GB2312"/>
        </w:rPr>
        <w:t>绩效评价原则、评价指标体系（附表说明）、评价方法、评价标准等。</w:t>
      </w:r>
    </w:p>
    <w:p>
      <w:pPr>
        <w:pStyle w:val="2"/>
        <w:widowControl w:val="0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1、绩效评价原则</w:t>
      </w:r>
    </w:p>
    <w:p>
      <w:pPr>
        <w:spacing w:line="600" w:lineRule="exact"/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本次项目绩效评价遵循以下基本原则：</w:t>
      </w:r>
    </w:p>
    <w:p>
      <w:pPr>
        <w:pStyle w:val="2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（1）科学公正。绩效评价应当运用科学合理的方法，按照规范的程序，对项目绩效进行客观、公正的反映。</w:t>
      </w:r>
    </w:p>
    <w:p>
      <w:pPr>
        <w:pStyle w:val="2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2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2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（4）公开透明。绩效评价结果应依法依规公开，并自觉接受社会监督。</w:t>
      </w:r>
    </w:p>
    <w:p>
      <w:pPr>
        <w:pStyle w:val="2"/>
        <w:widowControl w:val="0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2、评价指标体系</w:t>
      </w:r>
    </w:p>
    <w:p>
      <w:pPr>
        <w:spacing w:line="600" w:lineRule="exact"/>
        <w:ind w:firstLine="668" w:firstLineChars="200"/>
        <w:rPr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绩效评价框架是开展绩效评价的核心。绩效评价框架包括评价准则、关键评价问题、评价指标、数据来源、数据收集方法等。指标体系建立过程如下：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（1）确定评价指标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（2）确定权重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确定各个指标相对于项目总体绩效的权重分值。在绩效评价指标体系中，项目决策权重为5分，项目过程权重为5分，项目产出权重为50分，项目效益权重为40分。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（3）确定指标标准值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2"/>
        <w:spacing w:before="0" w:after="0" w:line="600" w:lineRule="exact"/>
        <w:ind w:firstLine="668" w:firstLineChars="200"/>
        <w:jc w:val="both"/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  <w:sz w:val="30"/>
          <w:szCs w:val="30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>
      <w:pPr>
        <w:pStyle w:val="2"/>
        <w:widowControl w:val="0"/>
        <w:spacing w:before="0" w:after="0" w:line="600" w:lineRule="exact"/>
        <w:ind w:firstLine="668" w:firstLineChars="200"/>
        <w:jc w:val="both"/>
        <w:outlineLvl w:val="9"/>
        <w:rPr>
          <w:rFonts w:ascii="Times New Roman" w:hAnsi="Times New Roman" w:eastAsia="仿宋_GB2312"/>
          <w:b w:val="0"/>
          <w:bCs w:val="0"/>
          <w:color w:val="000000"/>
          <w:spacing w:val="17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sz w:val="30"/>
          <w:szCs w:val="30"/>
        </w:rPr>
        <w:t>具体评价指标体系详情见附件1</w:t>
      </w:r>
    </w:p>
    <w:p>
      <w:pPr>
        <w:pStyle w:val="2"/>
        <w:widowControl w:val="0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3、绩效评价方法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（1）比较法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通过对绩效目标与实施效果、历史与当期情况，综合分析绩效目标实现程度。对</w:t>
      </w:r>
      <w:r>
        <w:rPr>
          <w:rFonts w:eastAsia="仿宋_GB2312"/>
          <w:sz w:val="30"/>
          <w:szCs w:val="30"/>
        </w:rPr>
        <w:t>项目</w:t>
      </w:r>
      <w:r>
        <w:rPr>
          <w:rFonts w:eastAsia="仿宋_GB2312"/>
          <w:color w:val="000000"/>
          <w:spacing w:val="17"/>
          <w:sz w:val="30"/>
          <w:szCs w:val="30"/>
        </w:rPr>
        <w:t>最终验收情况与年度绩效目标对比、预算资金执行情况等相关因素进行比较。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（2）因素分析法</w:t>
      </w:r>
    </w:p>
    <w:p>
      <w:pPr>
        <w:spacing w:line="600" w:lineRule="exact"/>
        <w:ind w:firstLine="668" w:firstLineChars="200"/>
        <w:rPr>
          <w:rFonts w:eastAsia="仿宋_GB2312"/>
          <w:color w:val="000000"/>
          <w:spacing w:val="17"/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通过综合分析影响绩效目标实现、实施效果的内外因素，评价绩效目标实现程度。通过对</w:t>
      </w:r>
      <w:r>
        <w:rPr>
          <w:rFonts w:eastAsia="仿宋_GB2312"/>
          <w:sz w:val="30"/>
          <w:szCs w:val="30"/>
        </w:rPr>
        <w:t>项目</w:t>
      </w:r>
      <w:r>
        <w:rPr>
          <w:rFonts w:eastAsia="仿宋_GB2312"/>
          <w:color w:val="000000"/>
          <w:spacing w:val="17"/>
          <w:sz w:val="30"/>
          <w:szCs w:val="30"/>
        </w:rPr>
        <w:t>的开展情况、项目产出数量、成本控制、资金拨付文件及自评报告等相关资料的收集和审核，综合分析各因素对绩效目标实现的影响。</w:t>
      </w:r>
    </w:p>
    <w:p>
      <w:pPr>
        <w:pStyle w:val="2"/>
        <w:widowControl w:val="0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4、评价标准</w:t>
      </w:r>
    </w:p>
    <w:p>
      <w:pPr>
        <w:spacing w:line="600" w:lineRule="exact"/>
        <w:ind w:firstLine="668" w:firstLineChars="200"/>
        <w:rPr>
          <w:sz w:val="30"/>
          <w:szCs w:val="30"/>
        </w:rPr>
      </w:pPr>
      <w:r>
        <w:rPr>
          <w:rFonts w:eastAsia="仿宋_GB2312"/>
          <w:color w:val="000000"/>
          <w:spacing w:val="17"/>
          <w:sz w:val="30"/>
          <w:szCs w:val="30"/>
        </w:rPr>
        <w:t>绩效评价标准通常包括计划标准、行业标准、历史标准等，用于对绩效指标完成情况进行比较。本次评价主要采用了计划标准和行业标准。</w:t>
      </w:r>
    </w:p>
    <w:p>
      <w:pPr>
        <w:numPr>
          <w:ilvl w:val="0"/>
          <w:numId w:val="2"/>
        </w:numPr>
        <w:spacing w:line="600" w:lineRule="exact"/>
        <w:ind w:left="0" w:leftChars="0" w:firstLine="600" w:firstLineChars="200"/>
        <w:rPr>
          <w:sz w:val="30"/>
          <w:szCs w:val="30"/>
        </w:rPr>
      </w:pPr>
      <w:r>
        <w:rPr>
          <w:rFonts w:hint="eastAsia" w:ascii="仿宋_GB2312"/>
          <w:sz w:val="30"/>
          <w:szCs w:val="30"/>
        </w:rPr>
        <w:t>绩效评价工作过程。</w:t>
      </w:r>
    </w:p>
    <w:p>
      <w:pPr>
        <w:numPr>
          <w:ilvl w:val="0"/>
          <w:numId w:val="4"/>
        </w:numPr>
        <w:spacing w:line="600" w:lineRule="exact"/>
        <w:ind w:firstLine="600" w:firstLineChars="200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>
      <w:pPr>
        <w:numPr>
          <w:ilvl w:val="0"/>
          <w:numId w:val="4"/>
        </w:numPr>
        <w:spacing w:line="600" w:lineRule="exact"/>
        <w:ind w:firstLine="600" w:firstLineChars="200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>
      <w:pPr>
        <w:numPr>
          <w:ilvl w:val="0"/>
          <w:numId w:val="4"/>
        </w:numPr>
        <w:spacing w:line="600" w:lineRule="exact"/>
        <w:ind w:firstLine="600" w:firstLineChars="200"/>
        <w:rPr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numPr>
          <w:ilvl w:val="0"/>
          <w:numId w:val="5"/>
        </w:numPr>
        <w:spacing w:line="600" w:lineRule="exact"/>
        <w:ind w:firstLine="600" w:firstLineChars="200"/>
        <w:rPr>
          <w:rFonts w:hint="eastAsia" w:ascii="仿宋_GB2312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综合评价情况及评价结论</w:t>
      </w:r>
      <w:r>
        <w:rPr>
          <w:rFonts w:hint="eastAsia" w:ascii="仿宋_GB2312"/>
          <w:sz w:val="30"/>
          <w:szCs w:val="30"/>
        </w:rPr>
        <w:t>（附相关评分表）</w:t>
      </w:r>
    </w:p>
    <w:p>
      <w:pPr>
        <w:pStyle w:val="2"/>
        <w:widowControl w:val="0"/>
        <w:spacing w:before="0" w:after="0" w:line="600" w:lineRule="exact"/>
        <w:ind w:firstLine="600" w:firstLineChars="200"/>
        <w:jc w:val="both"/>
        <w:outlineLvl w:val="9"/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</w:pPr>
      <w:r>
        <w:rPr>
          <w:rFonts w:ascii="Times New Roman" w:hAnsi="Times New Roman" w:eastAsia="仿宋_GB2312"/>
          <w:b w:val="0"/>
          <w:bCs w:val="0"/>
          <w:sz w:val="30"/>
          <w:szCs w:val="30"/>
        </w:rPr>
        <w:t>对</w:t>
      </w:r>
      <w:r>
        <w:rPr>
          <w:rFonts w:hint="eastAsia" w:ascii="Times New Roman" w:hAnsi="Times New Roman" w:eastAsia="仿宋_GB2312" w:cs="Times New Roman"/>
          <w:b w:val="0"/>
          <w:bCs/>
          <w:kern w:val="2"/>
          <w:sz w:val="30"/>
          <w:szCs w:val="30"/>
          <w:lang w:val="en-US" w:eastAsia="zh-CN" w:bidi="ar-SA"/>
        </w:rPr>
        <w:t>更换维修办公楼换热站项目</w:t>
      </w:r>
      <w:r>
        <w:rPr>
          <w:rFonts w:ascii="Times New Roman" w:hAnsi="Times New Roman" w:eastAsia="仿宋_GB2312"/>
          <w:b w:val="0"/>
          <w:bCs w:val="0"/>
          <w:sz w:val="30"/>
          <w:szCs w:val="30"/>
        </w:rPr>
        <w:t xml:space="preserve">进行客观评价，最终评分结果：总得分为 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分，属于“优”。其中，项目决策类指标权重为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</w:rPr>
        <w:t>20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 xml:space="preserve">分，得分为 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20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 xml:space="preserve">分，得分率为 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%。项目过程类指标权重为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</w:rPr>
        <w:t>20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分，得分为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20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 xml:space="preserve">分，得分率为 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%。项目产出类指标权重为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</w:rPr>
        <w:t>40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分，得分为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40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 xml:space="preserve">分，得分率为 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%。项目效益类指标权重为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</w:rPr>
        <w:t>20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分，得分为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20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sz w:val="30"/>
          <w:szCs w:val="30"/>
          <w:highlight w:val="none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  <w:t>%。</w:t>
      </w:r>
    </w:p>
    <w:tbl>
      <w:tblPr>
        <w:tblStyle w:val="5"/>
        <w:tblpPr w:leftFromText="180" w:rightFromText="180" w:vertAnchor="text" w:horzAnchor="page" w:tblpX="1016" w:tblpY="-67"/>
        <w:tblOverlap w:val="never"/>
        <w:tblW w:w="99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990"/>
        <w:gridCol w:w="1283"/>
        <w:gridCol w:w="1707"/>
        <w:gridCol w:w="727"/>
        <w:gridCol w:w="1044"/>
        <w:gridCol w:w="924"/>
        <w:gridCol w:w="1215"/>
        <w:gridCol w:w="9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tblHeader/>
        </w:trPr>
        <w:tc>
          <w:tcPr>
            <w:tcW w:w="1104" w:type="dxa"/>
            <w:shd w:val="clear" w:color="auto" w:fill="BFBFBF"/>
            <w:vAlign w:val="center"/>
          </w:tcPr>
          <w:p>
            <w:pPr>
              <w:widowControl/>
              <w:spacing w:line="0" w:lineRule="atLeas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990" w:type="dxa"/>
            <w:shd w:val="clear" w:color="auto" w:fill="BFBFBF"/>
            <w:vAlign w:val="center"/>
          </w:tcPr>
          <w:p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1283" w:type="dxa"/>
            <w:shd w:val="clear" w:color="auto" w:fill="BFBFBF"/>
            <w:vAlign w:val="center"/>
          </w:tcPr>
          <w:p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7" w:type="dxa"/>
            <w:shd w:val="clear" w:color="auto" w:fill="BFBFBF"/>
            <w:vAlign w:val="center"/>
          </w:tcPr>
          <w:p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727" w:type="dxa"/>
            <w:shd w:val="clear" w:color="auto" w:fill="BFBFBF"/>
            <w:vAlign w:val="center"/>
          </w:tcPr>
          <w:p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权重</w:t>
            </w:r>
          </w:p>
        </w:tc>
        <w:tc>
          <w:tcPr>
            <w:tcW w:w="1044" w:type="dxa"/>
            <w:shd w:val="clear" w:color="auto" w:fill="BFBFBF"/>
            <w:vAlign w:val="center"/>
          </w:tcPr>
          <w:p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目标值</w:t>
            </w:r>
          </w:p>
        </w:tc>
        <w:tc>
          <w:tcPr>
            <w:tcW w:w="924" w:type="dxa"/>
            <w:shd w:val="clear" w:color="auto" w:fill="BFBFBF"/>
            <w:vAlign w:val="center"/>
          </w:tcPr>
          <w:p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业绩值</w:t>
            </w:r>
          </w:p>
        </w:tc>
        <w:tc>
          <w:tcPr>
            <w:tcW w:w="1215" w:type="dxa"/>
            <w:shd w:val="clear" w:color="auto" w:fill="BFBFBF"/>
            <w:vAlign w:val="center"/>
          </w:tcPr>
          <w:p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得分率</w:t>
            </w:r>
          </w:p>
        </w:tc>
        <w:tc>
          <w:tcPr>
            <w:tcW w:w="960" w:type="dxa"/>
            <w:shd w:val="clear" w:color="auto" w:fill="BFBFBF"/>
            <w:vAlign w:val="center"/>
          </w:tcPr>
          <w:p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决策　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项目立项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立项依据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充分性</w:t>
            </w:r>
          </w:p>
        </w:tc>
        <w:tc>
          <w:tcPr>
            <w:tcW w:w="72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充分</w:t>
            </w:r>
          </w:p>
        </w:tc>
        <w:tc>
          <w:tcPr>
            <w:tcW w:w="92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充分</w:t>
            </w:r>
          </w:p>
        </w:tc>
        <w:tc>
          <w:tcPr>
            <w:tcW w:w="1215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立项程序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规范性</w:t>
            </w:r>
          </w:p>
        </w:tc>
        <w:tc>
          <w:tcPr>
            <w:tcW w:w="72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规范</w:t>
            </w:r>
          </w:p>
        </w:tc>
        <w:tc>
          <w:tcPr>
            <w:tcW w:w="92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规范</w:t>
            </w:r>
          </w:p>
        </w:tc>
        <w:tc>
          <w:tcPr>
            <w:tcW w:w="1215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绩效目标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绩效目标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合理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合理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绩效指标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明确性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明确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明确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资金投入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预算编制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科学性</w:t>
            </w:r>
          </w:p>
        </w:tc>
        <w:tc>
          <w:tcPr>
            <w:tcW w:w="72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科学</w:t>
            </w:r>
          </w:p>
        </w:tc>
        <w:tc>
          <w:tcPr>
            <w:tcW w:w="92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科学</w:t>
            </w:r>
          </w:p>
        </w:tc>
        <w:tc>
          <w:tcPr>
            <w:tcW w:w="1215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资金分配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合理性</w:t>
            </w:r>
          </w:p>
        </w:tc>
        <w:tc>
          <w:tcPr>
            <w:tcW w:w="72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合理</w:t>
            </w:r>
          </w:p>
        </w:tc>
        <w:tc>
          <w:tcPr>
            <w:tcW w:w="92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合理</w:t>
            </w:r>
          </w:p>
        </w:tc>
        <w:tc>
          <w:tcPr>
            <w:tcW w:w="1215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过程</w:t>
            </w:r>
          </w:p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资金到位率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预算执行率</w:t>
            </w:r>
          </w:p>
        </w:tc>
        <w:tc>
          <w:tcPr>
            <w:tcW w:w="72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资金使用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合规性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组织实施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管理制度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健全性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健全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健全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制度执行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有效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有效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40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产出数量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实际完成率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产出质量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质量达标率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产出时效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完成及时性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及时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及时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产出成本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成本节约率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效益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color w:val="000000"/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项目效益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实施效益</w:t>
            </w:r>
          </w:p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（社会效益、经济效益、可持续效益）</w:t>
            </w:r>
          </w:p>
        </w:tc>
        <w:tc>
          <w:tcPr>
            <w:tcW w:w="72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4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有效</w:t>
            </w:r>
          </w:p>
        </w:tc>
        <w:tc>
          <w:tcPr>
            <w:tcW w:w="924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有效</w:t>
            </w:r>
          </w:p>
        </w:tc>
        <w:tc>
          <w:tcPr>
            <w:tcW w:w="1215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满意度</w:t>
            </w:r>
          </w:p>
        </w:tc>
        <w:tc>
          <w:tcPr>
            <w:tcW w:w="727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4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≥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95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92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95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</w:tr>
    </w:tbl>
    <w:p>
      <w:pP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</w:pPr>
    </w:p>
    <w:p>
      <w:pPr>
        <w:pStyle w:val="2"/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</w:pPr>
    </w:p>
    <w:p>
      <w:pPr>
        <w:rPr>
          <w:rFonts w:ascii="Times New Roman" w:hAnsi="Times New Roman" w:eastAsia="仿宋_GB2312"/>
          <w:b w:val="0"/>
          <w:bCs w:val="0"/>
          <w:sz w:val="30"/>
          <w:szCs w:val="30"/>
          <w:highlight w:val="none"/>
        </w:rPr>
      </w:pPr>
    </w:p>
    <w:p>
      <w:pPr>
        <w:pStyle w:val="2"/>
        <w:jc w:val="both"/>
      </w:pPr>
    </w:p>
    <w:p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四、绩效评价指标分析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</w:rPr>
      </w:pPr>
      <w:r>
        <w:rPr>
          <w:rFonts w:hint="eastAsia" w:ascii="仿宋_GB2312"/>
        </w:rPr>
        <w:t>（一）项目决策情况。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</w:rPr>
      </w:pPr>
      <w:r>
        <w:rPr>
          <w:rFonts w:hint="eastAsia" w:ascii="仿宋_GB2312"/>
        </w:rPr>
        <w:t>项目立项符合法律法规、相关政策及部门职责，能反映和考核项目立项依据情况，项目申请、设立过程符合相关要求，能反映和考核项目立项的规范情况，所设定的绩效目标依据充分，符合客观实际，能反映和考核项目绩效目标与项目实施的相符情况，依据绩效目标设定的绩效指标清晰、细化、可衡量，能反映和考核项目绩效目标的明细化情况。</w:t>
      </w:r>
    </w:p>
    <w:p>
      <w:pPr>
        <w:numPr>
          <w:ilvl w:val="0"/>
          <w:numId w:val="6"/>
        </w:numPr>
        <w:spacing w:line="600" w:lineRule="exact"/>
        <w:ind w:firstLine="600" w:firstLineChars="200"/>
        <w:outlineLvl w:val="0"/>
        <w:rPr>
          <w:rFonts w:hint="eastAsia" w:ascii="仿宋_GB2312"/>
        </w:rPr>
      </w:pPr>
      <w:r>
        <w:rPr>
          <w:rFonts w:hint="eastAsia" w:ascii="仿宋_GB2312"/>
        </w:rPr>
        <w:t>项目过程情况。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项目严格按照预期绩效目标执行预算资金。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>
      <w:pPr>
        <w:numPr>
          <w:ilvl w:val="0"/>
          <w:numId w:val="6"/>
        </w:numPr>
        <w:spacing w:line="600" w:lineRule="exact"/>
        <w:ind w:left="0" w:leftChars="0" w:firstLine="600" w:firstLineChars="200"/>
        <w:outlineLvl w:val="0"/>
        <w:rPr>
          <w:rFonts w:hint="eastAsia" w:ascii="仿宋_GB2312"/>
          <w:highlight w:val="none"/>
        </w:rPr>
      </w:pPr>
      <w:r>
        <w:rPr>
          <w:rFonts w:hint="eastAsia" w:ascii="仿宋_GB2312"/>
          <w:highlight w:val="none"/>
        </w:rPr>
        <w:t>项目产出情况。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数量指标方面：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a.维修换热站  指标，指标值为1个，实际完成1个，完成率100%，偏差率0%，偏差原因是无。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质量指标方面：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a .项目验收合格率  指标，指标值为≧95%，实际完成95%，完成率100%，偏差率0%，偏差原因是无。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b .维修改造利用率  指标，指标值为≧95%，实际完成95%，完成率100%，偏差率0%，偏差原因是无。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时效指标方面：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 xml:space="preserve"> a.工程按期完成率  指标，指标值为≧98%，实际完成98%，完成率100%，偏差率0%，偏差原因是无。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</w:rPr>
      </w:pPr>
      <w:r>
        <w:rPr>
          <w:rFonts w:hint="eastAsia" w:ascii="仿宋_GB2312"/>
        </w:rPr>
        <w:t>（四）项目效益情况。</w:t>
      </w:r>
    </w:p>
    <w:p>
      <w:pPr>
        <w:spacing w:line="600" w:lineRule="exact"/>
        <w:ind w:firstLine="600" w:firstLineChars="200"/>
        <w:rPr>
          <w:rStyle w:val="8"/>
          <w:rFonts w:hint="eastAsia" w:eastAsia="仿宋_GB2312" w:cs="Times New Roman"/>
          <w:color w:val="auto"/>
          <w:sz w:val="30"/>
          <w:szCs w:val="30"/>
          <w:highlight w:val="none"/>
          <w:lang w:eastAsia="zh-CN"/>
        </w:rPr>
      </w:pPr>
      <w:r>
        <w:rPr>
          <w:rStyle w:val="8"/>
          <w:rFonts w:ascii="Times New Roman" w:hAnsi="Times New Roman" w:cs="Times New Roman"/>
          <w:color w:val="auto"/>
          <w:sz w:val="30"/>
          <w:szCs w:val="30"/>
          <w:highlight w:val="none"/>
        </w:rPr>
        <w:t>社会效益指标方面：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a .提升职工安全幸福指数  指标，指标值为有效，实际完成有效提升，完成率100%，偏差率0%，偏差原因是无。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满意度指标方面：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a.职工满意度  指标，指标值为≧90%，实际完成90%，完成率100%，偏差率0%，偏差原因是无。</w:t>
      </w:r>
    </w:p>
    <w:p>
      <w:pPr>
        <w:spacing w:line="600" w:lineRule="exact"/>
        <w:ind w:firstLine="60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五、主要经验及做法、存在的问题及原因分析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（一）主要经验及做法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存在的问题及原因分析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存在的问题：厅机关服务中心涉及维护维修改造的地方多，需要逐年安排，并且随着办公楼、设备设施不断老化，维护维修费用存在逐年上升的问题。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原因分析：</w:t>
      </w:r>
    </w:p>
    <w:p>
      <w:pPr>
        <w:spacing w:line="600" w:lineRule="exact"/>
        <w:ind w:firstLine="600" w:firstLineChars="200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1.是因机构改革，原自治区党委农办、自治区农业农村厅、自治区畜牧厅合并，现有办公楼承载人数达到300多人。</w:t>
      </w:r>
    </w:p>
    <w:p>
      <w:pPr>
        <w:spacing w:line="600" w:lineRule="exact"/>
        <w:ind w:firstLine="600" w:firstLineChars="200"/>
        <w:outlineLvl w:val="0"/>
      </w:pPr>
      <w:r>
        <w:rPr>
          <w:rFonts w:hint="eastAsia" w:ascii="仿宋_GB2312"/>
          <w:lang w:val="en-US" w:eastAsia="zh-CN"/>
        </w:rPr>
        <w:t>2.是机关大楼2003年修建，2005年11月大楼开始运营，年久失修，设备老化，需要维修及更换设备的地方较多。</w:t>
      </w:r>
    </w:p>
    <w:p>
      <w:pPr>
        <w:spacing w:line="600" w:lineRule="exact"/>
        <w:ind w:firstLine="60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六、有关建议</w:t>
      </w:r>
    </w:p>
    <w:p>
      <w:pPr>
        <w:spacing w:line="600" w:lineRule="exact"/>
        <w:ind w:firstLine="600" w:firstLineChars="200"/>
        <w:outlineLvl w:val="0"/>
      </w:pPr>
      <w:r>
        <w:rPr>
          <w:rFonts w:hint="eastAsia" w:ascii="仿宋_GB2312"/>
          <w:lang w:val="en-US" w:eastAsia="zh-CN"/>
        </w:rPr>
        <w:t>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numPr>
          <w:ilvl w:val="0"/>
          <w:numId w:val="7"/>
        </w:numPr>
        <w:spacing w:line="600" w:lineRule="exact"/>
        <w:ind w:firstLine="60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其他需要说明的问题</w:t>
      </w:r>
    </w:p>
    <w:p>
      <w:pPr>
        <w:pStyle w:val="2"/>
        <w:numPr>
          <w:ilvl w:val="0"/>
          <w:numId w:val="0"/>
        </w:numPr>
        <w:ind w:firstLine="600" w:firstLineChars="200"/>
        <w:jc w:val="both"/>
        <w:rPr>
          <w:rFonts w:hint="eastAsia" w:ascii="仿宋_GB2312" w:hAnsi="Times New Roman" w:eastAsia="仿宋_GB2312" w:cs="Times New Roman"/>
          <w:b w:val="0"/>
          <w:bCs w:val="0"/>
          <w:kern w:val="2"/>
          <w:sz w:val="30"/>
          <w:szCs w:val="24"/>
          <w:lang w:val="en-US" w:eastAsia="zh-CN" w:bidi="ar-SA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0"/>
          <w:szCs w:val="24"/>
          <w:lang w:val="en-US" w:eastAsia="zh-CN" w:bidi="ar-SA"/>
        </w:rPr>
        <w:t>无。</w:t>
      </w:r>
      <w:bookmarkStart w:id="1" w:name="_GoBack"/>
      <w:bookmarkEnd w:id="1"/>
    </w:p>
    <w:p>
      <w:pPr>
        <w:spacing w:line="600" w:lineRule="exact"/>
        <w:rPr>
          <w:rFonts w:hint="eastAsia"/>
          <w:bCs/>
          <w:sz w:val="32"/>
          <w:szCs w:val="32"/>
          <w:lang w:val="en-US" w:eastAsia="zh-CN"/>
        </w:rPr>
      </w:pPr>
    </w:p>
    <w:sectPr>
      <w:pgSz w:w="11906" w:h="16838"/>
      <w:pgMar w:top="1928" w:right="1531" w:bottom="1701" w:left="1531" w:header="737" w:footer="850" w:gutter="0"/>
      <w:cols w:space="0" w:num="1"/>
      <w:rtlGutter w:val="0"/>
      <w:docGrid w:type="lines" w:linePitch="4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F60FE1"/>
    <w:multiLevelType w:val="singleLevel"/>
    <w:tmpl w:val="DEF60FE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83853AE"/>
    <w:multiLevelType w:val="singleLevel"/>
    <w:tmpl w:val="E83853AE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F2D0A217"/>
    <w:multiLevelType w:val="singleLevel"/>
    <w:tmpl w:val="F2D0A2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13F1A68"/>
    <w:multiLevelType w:val="singleLevel"/>
    <w:tmpl w:val="013F1A6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38F0C646"/>
    <w:multiLevelType w:val="singleLevel"/>
    <w:tmpl w:val="38F0C646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8925242"/>
    <w:multiLevelType w:val="singleLevel"/>
    <w:tmpl w:val="48925242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78D93AF"/>
    <w:multiLevelType w:val="singleLevel"/>
    <w:tmpl w:val="678D93A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0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NGUxMmNmNTcxYzFhNjI3ODhiM2RiMzRkNmZiM2MifQ=="/>
  </w:docVars>
  <w:rsids>
    <w:rsidRoot w:val="00000000"/>
    <w:rsid w:val="002F2469"/>
    <w:rsid w:val="06FD4082"/>
    <w:rsid w:val="09EC0CB4"/>
    <w:rsid w:val="15C03031"/>
    <w:rsid w:val="172B2B58"/>
    <w:rsid w:val="19CA087B"/>
    <w:rsid w:val="19D51BD5"/>
    <w:rsid w:val="1C3A5233"/>
    <w:rsid w:val="1F0B55D3"/>
    <w:rsid w:val="20E06D20"/>
    <w:rsid w:val="21E133CD"/>
    <w:rsid w:val="24D2072D"/>
    <w:rsid w:val="26CD3B00"/>
    <w:rsid w:val="275A2FC0"/>
    <w:rsid w:val="279A1E6B"/>
    <w:rsid w:val="290E1626"/>
    <w:rsid w:val="2D7A4E0A"/>
    <w:rsid w:val="33496EEC"/>
    <w:rsid w:val="35667DD4"/>
    <w:rsid w:val="35F25EDF"/>
    <w:rsid w:val="37153FFF"/>
    <w:rsid w:val="377E4DB6"/>
    <w:rsid w:val="385F6DA5"/>
    <w:rsid w:val="3A495D92"/>
    <w:rsid w:val="3DAC7820"/>
    <w:rsid w:val="3FC83A3D"/>
    <w:rsid w:val="404E311D"/>
    <w:rsid w:val="40FC6655"/>
    <w:rsid w:val="420960AA"/>
    <w:rsid w:val="44AE1880"/>
    <w:rsid w:val="45EC0627"/>
    <w:rsid w:val="46876249"/>
    <w:rsid w:val="4B73514B"/>
    <w:rsid w:val="4FC436A3"/>
    <w:rsid w:val="547F6106"/>
    <w:rsid w:val="563C07D8"/>
    <w:rsid w:val="59FF156F"/>
    <w:rsid w:val="5CE42E8E"/>
    <w:rsid w:val="62557CEE"/>
    <w:rsid w:val="63222A63"/>
    <w:rsid w:val="69496857"/>
    <w:rsid w:val="6AB03879"/>
    <w:rsid w:val="6D2321A9"/>
    <w:rsid w:val="6DAC7271"/>
    <w:rsid w:val="6DDF03D8"/>
    <w:rsid w:val="6F2D643A"/>
    <w:rsid w:val="6F4155A5"/>
    <w:rsid w:val="72264515"/>
    <w:rsid w:val="74311A31"/>
    <w:rsid w:val="762C06D6"/>
    <w:rsid w:val="76A57D47"/>
    <w:rsid w:val="7B110D6A"/>
    <w:rsid w:val="7D281D07"/>
    <w:rsid w:val="7FC0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  <w:szCs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5316</Words>
  <Characters>5580</Characters>
  <Lines>0</Lines>
  <Paragraphs>0</Paragraphs>
  <TotalTime>24</TotalTime>
  <ScaleCrop>false</ScaleCrop>
  <LinksUpToDate>false</LinksUpToDate>
  <CharactersWithSpaces>5631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2024-03-04T05:11:00Z</dcterms:created>
  <dc:creator>Administrator</dc:creator>
  <cp:lastModifiedBy>Administrator</cp:lastModifiedBy>
  <cp:lastPrinted>2025-02-19T03:08:00Z</cp:lastPrinted>
  <dcterms:modified xsi:type="dcterms:W3CDTF">2025-08-08T11:47:24Z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4CBA51F098A84EE1BF0E059B495C134A</vt:lpwstr>
  </property>
</Properties>
</file>