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新疆维吾尔自治区畜牧兽医局畜牧科技资料编译室</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畜牧科技资料编译室主要承担《新疆畜牧业》汉文、维吾尔文、哈萨克文、蒙古文四种文字期刊的编辑、出版、发行工作；承担畜牧科技资料维吾尔文、哈萨克文、蒙古文三种文字的翻译、编著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新疆维吾尔自治区畜牧兽医局畜牧科技资料编译室2024年度，实有人数63人，其中：在职人员28人，减少1人；离休人员0人，减少1人；退休人员35人，增加1人。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新疆维吾尔自治区畜牧兽医局畜牧科技资料编译室无下属预算单位，下设6个科室，分别是：编辑部、政工科、办公室、审读科、翻译科、财务科。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2024年度收入总计862.59万元，其中：本年收入合计851.70万元，使用非财政拨款结余（含专用结余）0.00万元，年初结转和结余10.89万元。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2024年度支出总计862.59万元，其中：本年支出合计856.64万元，结余分配0.00万元，年末结转和结余5.95万元。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收入支出总体与上年相比，减少37.56万元，下降4.17%，主要原因是：在职人员、离休人员较上年度减少，人员经费和公用经费同比减少。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本年收入851.70万元，其中：财政拨款收入851.50万元,占99.98%；上级补助收入0.00万元,占0.00%；事业收入0.00万元，占0.00%；经营收入0.00万元,占0.00%；附属单位上缴收入0.00万元，占0.00%；其他收入0.20万元，占0.02%。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本年支出856.64万元，其中：基本支出791.64万元，占92.41%；项目支出65.00万元，占7.59%；上缴上级支出0.00万元，占0.00%；经营支出0.00万元，占0.00%；对附属单位补助支出0.00万元，占0.00%。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2024年度财政拨款收入总计851.50万元，其中：年初财政拨款结转和结余0.00万元，本年财政拨款收入851.50万元。财政拨款支出总计851.50万元，其中：年末财政拨款结转和结余0.00万元，本年财政拨款支出851.50万元。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26.29万元，下降3.00%，主要原因是：在职人员、离休人员较上年度减少，人员经费和公用经费同比减少。与年初预算相比，年初预算数780.98万元，决算数851.50万元，预决算差异率9.03%，主要原因是：年中追加2023年年度考核奖、追加调增基本工资、职业年金等财政基本支出经费，故经费相应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851.50万元，占本年支出合计的99.40%。与上年相比，减少26.29万元，下降3.00%，主要原因是：在职人员、离休人员较上年度减少，人员经费和公用经费同比减少。与年初预算相比，年初预算数780.98万元，决算数851.50万元，预决算差异率9.03%，主要原因是：年中追加2023年年度考核奖、追加调增基本工资、职业年金等财政基本支出经费，故经费相应增加。</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社会保障和就业支出（类）180.53万元，占21.20%。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卫生健康支出（类）58.27万元，占6.84%。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农林水支出（类）564.47万元，占66.29%。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住房保障支出（类）48.23万元，占5.66%。</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1、社会保障和就业支出（类）行政事业单位养老支出（款）事业单位离退休（项）：支出决算数为75.63万元，比上年决算增加12.68万元，增长20.14%，主要原因是：退休人员较上年增加，支出增加。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64.30万元，比上年决算减少3.01万元，下降4.47%，主要原因是：在职人员减少，养老保险缴费减少，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40.60万元，比上年决算增加15.79万元，增长63.64%，主要原因是：本年年中追加了退休人员的职业年金，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4、卫生健康支出（类）行政事业单位医疗（款）事业单位医疗（项）：支出决算数为30.14万元，比上年决算减少1.41万元，下降4.47%，主要原因是：在职人员减少，事业单位医疗缴费减少，支出减少。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5、卫生健康支出（类）行政事业单位医疗（款）公务员医疗补助（项）：支出决算数为28.13万元，比上年决算减少1.32万元，下降4.48%，主要原因是：在职人员减少，公务员医疗补助缴费减少，支出减少。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6、农林水支出（类）农业农村（款）事业运行（项）：支出决算数为504.47万元，比上年决算减少46.77万元，下降8.48%，主要原因是：在职人员较上年减少，测算基数的调整形成的预算支出减少。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7、农林水支出（类）农业农村（款）其他农业农村支出（项）：支出决算数为60.00万元，与上年相比无变化，主要原因是：根据当年的工作计划，《新疆畜牧业》杂志出版发行印刷费项目资金安排较上年无变化。</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8、住房保障支出（类）住房改革支出（款）住房公积金（项）：支出决算数为48.23万元，比上年决算减少2.25万元，下降4.46%，主要原因是：在职人员减少，住房公积金缴费减少，支出减少。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791.50万元，其中：人员经费739.22万元，包括：基本工资、津贴补贴、奖金、绩效工资、机关事业单位基本养老保险缴费、职业年金缴费、职工基本医疗保险缴费、公务员医疗补助缴费、其他社会保障缴费、住房公积金、退休费、抚恤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公用经费52.28万元，包括：办公费、水费、电费、邮电费、物业管理费、差旅费、培训费、委托业务费、工会经费、福利费、公务用车运行维护费、其他交通费用和其他商品和服务支出。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1.77万元，比上年增加0.35万元，增长24.65%，主要原因是：我单位严格执行“三公”经费预算，加强公务用车管理，减少公车出行，严格控制“三公”经费支出，因车辆使用年限过长，本来维修维护的费用略有增加。其中：因公出国（境）费支出0.00万元,占0.00%，与上年相比无变化，主要原因是：我单位未安排因公出国（境）费用；公务用车购置及运行维护费支出1.77万元，占100.00%，比上年增加0.35万元，增长24.65%，主要原因是：我单位严格执行“三公”经费预算，加强公务用车管理，减少公车出行，严格控制“三公”经费支出，因车辆使用年限过长，本来维修维护的费用略有增加；公务接待费支出0.00万元，占0.00%，与上年相比无变化，主要原因是：我单位未安排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因公出国（境）费支出0.00万元，开支内容包括我单位未安排此项经费预算。单位全年安排的因公出国（境）团组0个，因公出国（境）0人次。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1.77万元，其中：公务用车购置费0.00万元，公务用车运行维护费1.77万元。公务用车运行维护费开支内容包括车辆燃油、车辆保险及日常维护维修。公务用车购置数0辆，公务用车保有量5辆。国有资产占用情况中固定资产车辆5辆，与公务用车保有量差异原因是：国有资产占用情况中固定资产车辆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公务接待费0.00万元，开支内容包括我单位未安排此项经费预算。单位全年安排的国内公务接待0批次，0人次。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1.78万元，决算数1.77万元，预决算差异率-0.56%，主要原因是：我单位严格执行“三公”经费预算，加强公务用车管理，减少公车出行，严格控制“三公”经费支出。其中：因公出国（境）费全年预算数0.00万元，决算数0.00万元，预决算差异率0.00%，主要原因是：我单位未安排此项经费预算；公务用车购置费全年预算数0.00万元，决算数0.00万元，预决算差异率0.00%，主要原因是：我单位未安排此项经费预算；公务用车运行维护费全年预算数1.78万元，决算数1.77万元，预决算差异率-0.56%，主要原因是：我单位严格执行“三公”经费预算，加强公务用车管理，减少公车出行，严格控制“三公”经费支出；公务接待费全年预算数0.00万元，决算数0.00万元，预决算差异率0.00%，主要原因是：我单位未安排此项经费预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2024年度新疆维吾尔自治区畜牧兽医局畜牧科技资料编译室单位（事业单位）公用经费支出52.28万元，比上年增加5.52万元，增长11.80%，主要原因是：在职人员职级变动，公用经费定员定额增加。</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2024年度政府采购支出总额30.24万元，其中：政府采购货物支出0.30万元、政府采购工程支出0.00万元、政府采购服务支出29.94万元。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授予中小企业合同金额29.95万元，占政府采购支出总额的99.04%，其中：授予小微企业合同金额25.29万元，占政府采购支出总额的83.63%。</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5辆，价值58.93万元，其中：副部（省）级及以上领导用车0辆、主要负责人用车0辆、机要通信用车0辆、应急保障用车0辆、执法执勤用车0辆、特种专业技术用车0辆、离退休干部服务用车0辆、其他用车5辆，其他用车主要是：履行本单位职责职能的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65.00万元，全年执行数65.00万元。预算绩效管理取得的成效：一是强化绩效责任的硬约束。将绩效管理融入到预算编制、执行、监督全过程，建立绩效责任硬约束，消减低效无效资金；二是健全管理制度，推进绩效评价公开的透明度。发现的问题及原因：一是要改进管理方式方法，提高资金使用效益；二是有的绩效评价指标设置不科学，需要改进。下一步改进措施：一是加强绩效“全过程”管理力度，按时完成绩效管理任务；二是合理设置绩效评价指标</w:t>
      </w:r>
      <w:bookmarkStart w:id="0" w:name="_GoBack"/>
      <w:bookmarkEnd w:id="0"/>
      <w:r>
        <w:rPr>
          <w:rFonts w:ascii="仿宋_GB2312" w:eastAsia="仿宋_GB2312"/>
          <w:b w:val="0"/>
          <w:sz w:val="32"/>
          <w:szCs w:val="32"/>
        </w:rPr>
        <w:t>。具体附项目支出绩效自评表。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9" w:usb3="00000000" w:csb0="200001FF" w:csb1="00000000"/>
  </w:font>
  <w:font w:name="Calibri">
    <w:altName w:val="DejaVu Sans"/>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auto"/>
    <w:pitch w:val="default"/>
    <w:sig w:usb0="00000000" w:usb1="00000000" w:usb2="02000000" w:usb3="00000000" w:csb0="2000019F" w:csb1="00000000"/>
  </w:font>
  <w:font w:name="仿宋_GB2312">
    <w:altName w:val="方正仿宋_GBK"/>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55F0E"/>
    <w:rsid w:val="57F77D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5467</Words>
  <Characters>6054</Characters>
  <TotalTime>1</TotalTime>
  <ScaleCrop>false</ScaleCrop>
  <LinksUpToDate>false</LinksUpToDate>
  <CharactersWithSpaces>6064</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2025-08-16T20:01:00Z</dcterms:created>
  <dc:creator>Administrator</dc:creator>
  <cp:lastModifiedBy>user</cp:lastModifiedBy>
  <dcterms:modified xsi:type="dcterms:W3CDTF">2025-08-27T16:45:01Z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5DA5449E25934CD5BE609713C2F8B11D</vt:lpwstr>
  </property>
</Properties>
</file>