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Theme="minorEastAsia" w:hAnsiTheme="minorEastAsia" w:eastAsiaTheme="minorEastAsia" w:cstheme="minorEastAsia"/>
          <w:color w:val="333333"/>
          <w:sz w:val="24"/>
          <w:szCs w:val="24"/>
          <w:lang w:val="en-US" w:eastAsia="zh-CN" w:bidi="ar"/>
        </w:rPr>
      </w:pPr>
      <w:bookmarkStart w:id="2" w:name="_GoBack"/>
      <w:bookmarkEnd w:id="2"/>
      <w:r>
        <w:rPr>
          <w:rFonts w:hint="eastAsia" w:asciiTheme="minorEastAsia" w:hAnsiTheme="minorEastAsia" w:eastAsiaTheme="minorEastAsia" w:cstheme="minorEastAsia"/>
          <w:color w:val="333333"/>
          <w:sz w:val="24"/>
          <w:szCs w:val="24"/>
          <w:lang w:eastAsia="zh-CN" w:bidi="ar"/>
        </w:rPr>
        <w:t>附件</w:t>
      </w:r>
      <w:r>
        <w:rPr>
          <w:rFonts w:hint="eastAsia" w:asciiTheme="minorEastAsia" w:hAnsiTheme="minorEastAsia" w:eastAsiaTheme="minorEastAsia" w:cstheme="minorEastAsia"/>
          <w:color w:val="333333"/>
          <w:sz w:val="24"/>
          <w:szCs w:val="24"/>
          <w:lang w:val="en-US" w:eastAsia="zh-CN" w:bidi="ar"/>
        </w:rPr>
        <w:t>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自治区部门单位</w:t>
      </w:r>
      <w:r>
        <w:rPr>
          <w:rFonts w:hint="eastAsia" w:ascii="方正小标宋简体" w:hAnsi="方正小标宋简体" w:eastAsia="方正小标宋简体" w:cs="方正小标宋简体"/>
          <w:b/>
          <w:kern w:val="0"/>
          <w:sz w:val="48"/>
          <w:szCs w:val="48"/>
          <w:lang w:eastAsia="zh-CN"/>
        </w:rPr>
        <w:t>项目</w:t>
      </w:r>
      <w:r>
        <w:rPr>
          <w:rFonts w:hint="eastAsia" w:ascii="方正小标宋简体" w:hAnsi="方正小标宋简体" w:eastAsia="方正小标宋简体" w:cs="方正小标宋简体"/>
          <w:b/>
          <w:kern w:val="0"/>
          <w:sz w:val="48"/>
          <w:szCs w:val="48"/>
        </w:rPr>
        <w:t>支出绩效</w:t>
      </w: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2024</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新疆维吾尔自治区兽药饲料监察所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2025</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3</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2</w:t>
      </w:r>
      <w:r>
        <w:rPr>
          <w:rFonts w:hint="eastAsia" w:hAnsi="宋体" w:eastAsia="仿宋_GB2312" w:cs="宋体"/>
          <w:kern w:val="0"/>
          <w:sz w:val="36"/>
          <w:szCs w:val="36"/>
        </w:rPr>
        <w:t xml:space="preserve"> 日</w:t>
      </w:r>
    </w:p>
    <w:p>
      <w:pPr>
        <w:spacing w:line="700" w:lineRule="exact"/>
        <w:ind w:firstLine="849" w:firstLineChars="236"/>
        <w:jc w:val="left"/>
        <w:rPr>
          <w:rFonts w:hAnsi="宋体" w:eastAsia="仿宋_GB2312" w:cs="宋体"/>
          <w:kern w:val="0"/>
          <w:sz w:val="36"/>
          <w:szCs w:val="36"/>
        </w:rPr>
      </w:pPr>
    </w:p>
    <w:p>
      <w:pPr>
        <w:spacing w:line="540" w:lineRule="exact"/>
        <w:rPr>
          <w:rStyle w:val="24"/>
          <w:rFonts w:hint="default" w:ascii="Times New Roman" w:hAnsi="Times New Roman" w:eastAsia="黑体" w:cs="Times New Roman"/>
          <w:b w:val="0"/>
          <w:spacing w:val="-4"/>
          <w:sz w:val="32"/>
          <w:szCs w:val="32"/>
        </w:rPr>
      </w:pPr>
    </w:p>
    <w:p>
      <w:pPr>
        <w:keepNext w:val="0"/>
        <w:keepLines w:val="0"/>
        <w:pageBreakBefore w:val="0"/>
        <w:kinsoku/>
        <w:wordWrap/>
        <w:overflowPunct/>
        <w:topLinePunct w:val="0"/>
        <w:bidi w:val="0"/>
        <w:snapToGrid/>
        <w:spacing w:line="560" w:lineRule="exact"/>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keepNext w:val="0"/>
        <w:keepLines w:val="0"/>
        <w:pageBreakBefore w:val="0"/>
        <w:kinsoku/>
        <w:wordWrap/>
        <w:overflowPunct/>
        <w:topLinePunct w:val="0"/>
        <w:bidi w:val="0"/>
        <w:snapToGrid/>
        <w:spacing w:line="560" w:lineRule="exact"/>
        <w:ind w:firstLine="641"/>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keepNext w:val="0"/>
        <w:keepLines w:val="0"/>
        <w:pageBreakBefore w:val="0"/>
        <w:kinsoku/>
        <w:wordWrap/>
        <w:overflowPunct/>
        <w:topLinePunct w:val="0"/>
        <w:bidi w:val="0"/>
        <w:snapToGrid/>
        <w:spacing w:line="560" w:lineRule="exact"/>
        <w:ind w:firstLine="641"/>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1、项目背景</w:t>
      </w:r>
    </w:p>
    <w:p>
      <w:pPr>
        <w:keepNext w:val="0"/>
        <w:keepLines w:val="0"/>
        <w:pageBreakBefore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为贯彻落实《中华人民共和国食品安全法》、《中华人民共和国农产品质量安全法》及</w:t>
      </w:r>
      <w:r>
        <w:rPr>
          <w:rFonts w:hint="eastAsia" w:eastAsia="仿宋_GB2312" w:cs="Times New Roman"/>
          <w:sz w:val="32"/>
          <w:szCs w:val="32"/>
          <w:lang w:val="en-US" w:eastAsia="zh-CN"/>
        </w:rPr>
        <w:t>《生猪屠宰管理条例》</w:t>
      </w:r>
      <w:r>
        <w:rPr>
          <w:rFonts w:hint="default" w:ascii="Times New Roman" w:hAnsi="Times New Roman" w:eastAsia="仿宋_GB2312" w:cs="Times New Roman"/>
          <w:sz w:val="32"/>
          <w:szCs w:val="32"/>
          <w:lang w:val="en-US" w:eastAsia="zh-CN"/>
        </w:rPr>
        <w:t>，根据《农业农村部办公厅关于印发&lt;202</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年兽药质量监督抽检和风险</w:t>
      </w:r>
      <w:r>
        <w:rPr>
          <w:rFonts w:hint="eastAsia" w:eastAsia="仿宋_GB2312" w:cs="Times New Roman"/>
          <w:sz w:val="32"/>
          <w:szCs w:val="32"/>
          <w:lang w:val="en-US" w:eastAsia="zh-CN"/>
        </w:rPr>
        <w:t>监</w:t>
      </w:r>
      <w:r>
        <w:rPr>
          <w:rFonts w:hint="default" w:ascii="Times New Roman" w:hAnsi="Times New Roman" w:eastAsia="仿宋_GB2312" w:cs="Times New Roman"/>
          <w:sz w:val="32"/>
          <w:szCs w:val="32"/>
          <w:lang w:val="en-US" w:eastAsia="zh-CN"/>
        </w:rPr>
        <w:t>测</w:t>
      </w:r>
      <w:r>
        <w:rPr>
          <w:rFonts w:hint="eastAsia" w:eastAsia="仿宋_GB2312" w:cs="Times New Roman"/>
          <w:sz w:val="32"/>
          <w:szCs w:val="32"/>
          <w:lang w:val="en-US" w:eastAsia="zh-CN"/>
        </w:rPr>
        <w:t>等3个</w:t>
      </w:r>
      <w:r>
        <w:rPr>
          <w:rFonts w:hint="default" w:ascii="Times New Roman" w:hAnsi="Times New Roman" w:eastAsia="仿宋_GB2312" w:cs="Times New Roman"/>
          <w:sz w:val="32"/>
          <w:szCs w:val="32"/>
          <w:lang w:val="en-US" w:eastAsia="zh-CN"/>
        </w:rPr>
        <w:t>计划&gt;的通知》（农牧</w:t>
      </w:r>
      <w:r>
        <w:rPr>
          <w:rFonts w:hint="eastAsia" w:eastAsia="仿宋_GB2312" w:cs="Times New Roman"/>
          <w:sz w:val="32"/>
          <w:szCs w:val="32"/>
          <w:lang w:val="en-US" w:eastAsia="zh-CN"/>
        </w:rPr>
        <w:t>发</w:t>
      </w:r>
      <w:r>
        <w:rPr>
          <w:rFonts w:hint="default" w:ascii="Times New Roman" w:hAnsi="Times New Roman" w:eastAsia="仿宋_GB2312" w:cs="Times New Roman"/>
          <w:sz w:val="32"/>
          <w:szCs w:val="32"/>
          <w:lang w:val="en-US" w:eastAsia="zh-CN"/>
        </w:rPr>
        <w:t>〔202</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〕1</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lang w:val="en-US" w:eastAsia="zh-CN"/>
        </w:rPr>
        <w:t>号）、《农业农村部办公厅关于印发&lt;202</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年饲料质量安全监管工作方案&gt;的通知》（农办牧〔202</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〕6号）</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《农业农村部办公厅关于印发202</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年生猪等畜禽屠宰质量安全风险监测计划的通知》（农办牧〔202</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lang w:val="en-US" w:eastAsia="zh-CN"/>
        </w:rPr>
        <w:t>号）要求，结合全区食用畜产品生产布局情况、畜产品质量安全例行检测发现问题情况，开展202</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年</w:t>
      </w:r>
      <w:r>
        <w:rPr>
          <w:rFonts w:hint="eastAsia" w:eastAsia="仿宋_GB2312" w:cs="Times New Roman"/>
          <w:sz w:val="32"/>
          <w:szCs w:val="32"/>
          <w:lang w:val="en-US" w:eastAsia="zh-CN"/>
        </w:rPr>
        <w:t>兽药、饲料、</w:t>
      </w:r>
      <w:r>
        <w:rPr>
          <w:rFonts w:hint="default" w:ascii="Times New Roman" w:hAnsi="Times New Roman" w:eastAsia="仿宋_GB2312" w:cs="Times New Roman"/>
          <w:sz w:val="32"/>
          <w:szCs w:val="32"/>
          <w:lang w:val="en-US" w:eastAsia="zh-CN"/>
        </w:rPr>
        <w:t>畜产品质量安全监测工作，为全区畜产品质量安全监管提供技术依据，保证我区畜产品质量安全，强化屠宰环节风险物质监测，提升畜禽产品质量，保障人民群众身体健康。</w:t>
      </w:r>
    </w:p>
    <w:p>
      <w:pPr>
        <w:pStyle w:val="19"/>
        <w:keepNext w:val="0"/>
        <w:keepLines w:val="0"/>
        <w:pageBreakBefore w:val="0"/>
        <w:numPr>
          <w:ilvl w:val="0"/>
          <w:numId w:val="1"/>
        </w:numPr>
        <w:kinsoku/>
        <w:wordWrap/>
        <w:overflowPunct/>
        <w:topLinePunct w:val="0"/>
        <w:bidi w:val="0"/>
        <w:snapToGrid/>
        <w:spacing w:before="0" w:after="0" w:line="560" w:lineRule="exact"/>
        <w:ind w:firstLine="642" w:firstLineChars="200"/>
        <w:jc w:val="both"/>
        <w:textAlignment w:val="auto"/>
        <w:rPr>
          <w:rFonts w:hint="default" w:ascii="Times New Roman" w:hAnsi="Times New Roman" w:eastAsia="仿宋_GB2312" w:cs="Times New Roman"/>
          <w:kern w:val="2"/>
        </w:rPr>
      </w:pPr>
      <w:r>
        <w:rPr>
          <w:rFonts w:hint="default" w:ascii="Times New Roman" w:hAnsi="Times New Roman" w:eastAsia="仿宋_GB2312" w:cs="Times New Roman"/>
          <w:kern w:val="2"/>
        </w:rPr>
        <w:t>项目主要内容</w:t>
      </w:r>
    </w:p>
    <w:p>
      <w:pPr>
        <w:keepNext w:val="0"/>
        <w:keepLines w:val="0"/>
        <w:pageBreakBefore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完成对全疆兽药质量监督抽检和风险监测工作、核实兽药二维码追溯情况、兽用生物制品批签发工作、兽药生产企业GMP运行情况检查等；完成畜产品</w:t>
      </w:r>
      <w:r>
        <w:rPr>
          <w:rFonts w:hint="default" w:ascii="Times New Roman" w:hAnsi="Times New Roman" w:eastAsia="仿宋_GB2312" w:cs="Times New Roman"/>
          <w:color w:val="000000"/>
          <w:sz w:val="32"/>
          <w:szCs w:val="32"/>
          <w:lang w:eastAsia="zh-CN"/>
        </w:rPr>
        <w:t>质量安全</w:t>
      </w:r>
      <w:r>
        <w:rPr>
          <w:rFonts w:hint="default" w:ascii="Times New Roman" w:hAnsi="Times New Roman" w:eastAsia="仿宋_GB2312" w:cs="Times New Roman"/>
          <w:color w:val="000000"/>
          <w:sz w:val="32"/>
          <w:szCs w:val="32"/>
          <w:lang w:val="en-US" w:eastAsia="zh-CN"/>
        </w:rPr>
        <w:t>风险</w:t>
      </w:r>
      <w:r>
        <w:rPr>
          <w:rFonts w:hint="default" w:ascii="Times New Roman" w:hAnsi="Times New Roman" w:eastAsia="仿宋_GB2312" w:cs="Times New Roman"/>
          <w:color w:val="000000"/>
          <w:sz w:val="32"/>
          <w:szCs w:val="32"/>
          <w:lang w:eastAsia="zh-CN"/>
        </w:rPr>
        <w:t>监测</w:t>
      </w:r>
      <w:r>
        <w:rPr>
          <w:rFonts w:hint="default" w:ascii="Times New Roman" w:hAnsi="Times New Roman" w:eastAsia="仿宋_GB2312" w:cs="Times New Roman"/>
          <w:color w:val="000000"/>
          <w:sz w:val="32"/>
          <w:szCs w:val="32"/>
          <w:lang w:val="en-US" w:eastAsia="zh-CN"/>
        </w:rPr>
        <w:t>、畜禽及畜禽产品兽药</w:t>
      </w:r>
      <w:r>
        <w:rPr>
          <w:rFonts w:hint="default" w:ascii="Times New Roman" w:hAnsi="Times New Roman" w:eastAsia="仿宋_GB2312" w:cs="Times New Roman"/>
          <w:color w:val="000000"/>
          <w:sz w:val="32"/>
          <w:szCs w:val="32"/>
          <w:lang w:eastAsia="zh-CN"/>
        </w:rPr>
        <w:t>残留监控</w:t>
      </w:r>
      <w:r>
        <w:rPr>
          <w:rFonts w:hint="default" w:ascii="Times New Roman" w:hAnsi="Times New Roman" w:eastAsia="仿宋_GB2312" w:cs="Times New Roman"/>
          <w:color w:val="000000"/>
          <w:sz w:val="32"/>
          <w:szCs w:val="32"/>
          <w:lang w:val="en-US" w:eastAsia="zh-CN"/>
        </w:rPr>
        <w:t>工作；完成对</w:t>
      </w:r>
      <w:r>
        <w:rPr>
          <w:rFonts w:hint="default" w:ascii="Times New Roman" w:hAnsi="Times New Roman" w:eastAsia="仿宋_GB2312" w:cs="Times New Roman"/>
          <w:sz w:val="32"/>
          <w:szCs w:val="32"/>
          <w:lang w:val="en-US" w:eastAsia="zh-CN"/>
        </w:rPr>
        <w:t>全疆饲料质量安全监测工作，协助饲料主管部门对饲料生产企业现场审查工作等。</w:t>
      </w:r>
    </w:p>
    <w:p>
      <w:pPr>
        <w:keepNext w:val="0"/>
        <w:keepLines w:val="0"/>
        <w:pageBreakBefore w:val="0"/>
        <w:kinsoku/>
        <w:wordWrap/>
        <w:overflowPunct/>
        <w:topLinePunct w:val="0"/>
        <w:bidi w:val="0"/>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keepNext w:val="0"/>
        <w:keepLines w:val="0"/>
        <w:pageBreakBefore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202</w:t>
      </w:r>
      <w:r>
        <w:rPr>
          <w:rFonts w:hint="eastAsia"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rPr>
        <w:t>年自治区畜牧业生产发展资金（兽药饲料检验项目、畜产品质量安全监测）财政预算资金325万元，财政</w:t>
      </w:r>
      <w:r>
        <w:rPr>
          <w:rFonts w:hint="default" w:ascii="Times New Roman" w:hAnsi="Times New Roman" w:eastAsia="仿宋_GB2312" w:cs="Times New Roman"/>
          <w:sz w:val="32"/>
          <w:szCs w:val="32"/>
        </w:rPr>
        <w:t>资金到位325万元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000000"/>
          <w:sz w:val="32"/>
          <w:szCs w:val="32"/>
        </w:rPr>
        <w:t>项目实际支出</w:t>
      </w:r>
      <w:r>
        <w:rPr>
          <w:rFonts w:hint="default" w:ascii="Times New Roman" w:hAnsi="Times New Roman" w:eastAsia="仿宋_GB2312" w:cs="Times New Roman"/>
          <w:color w:val="000000"/>
          <w:sz w:val="32"/>
          <w:szCs w:val="32"/>
          <w:lang w:val="en-US" w:eastAsia="zh-CN"/>
        </w:rPr>
        <w:t>325</w:t>
      </w:r>
      <w:r>
        <w:rPr>
          <w:rFonts w:hint="default" w:ascii="Times New Roman" w:hAnsi="Times New Roman" w:eastAsia="仿宋_GB2312" w:cs="Times New Roman"/>
          <w:color w:val="000000"/>
          <w:sz w:val="32"/>
          <w:szCs w:val="32"/>
        </w:rPr>
        <w:t>万元，支出率为100%。</w:t>
      </w:r>
    </w:p>
    <w:p>
      <w:pPr>
        <w:keepNext w:val="0"/>
        <w:keepLines w:val="0"/>
        <w:pageBreakBefore w:val="0"/>
        <w:kinsoku/>
        <w:wordWrap/>
        <w:overflowPunct/>
        <w:topLinePunct w:val="0"/>
        <w:bidi w:val="0"/>
        <w:snapToGrid/>
        <w:spacing w:line="560" w:lineRule="exact"/>
        <w:ind w:firstLine="642"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3、资金投入和使用情况</w:t>
      </w:r>
    </w:p>
    <w:p>
      <w:pPr>
        <w:keepNext w:val="0"/>
        <w:keepLines w:val="0"/>
        <w:pageBreakBefore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32"/>
          <w:szCs w:val="32"/>
        </w:rPr>
        <w:t>（1）资金安排</w:t>
      </w:r>
    </w:p>
    <w:p>
      <w:pPr>
        <w:keepNext w:val="0"/>
        <w:keepLines w:val="0"/>
        <w:pageBreakBefore w:val="0"/>
        <w:kinsoku/>
        <w:wordWrap/>
        <w:overflowPunct/>
        <w:topLinePunct w:val="0"/>
        <w:bidi w:val="0"/>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项目总投资</w:t>
      </w:r>
      <w:r>
        <w:rPr>
          <w:rFonts w:hint="default" w:ascii="Times New Roman" w:hAnsi="Times New Roman" w:eastAsia="仿宋_GB2312" w:cs="Times New Roman"/>
          <w:sz w:val="32"/>
          <w:szCs w:val="32"/>
          <w:lang w:val="en-US" w:eastAsia="zh-CN"/>
        </w:rPr>
        <w:t>325</w:t>
      </w:r>
      <w:r>
        <w:rPr>
          <w:rFonts w:hint="default" w:ascii="Times New Roman" w:hAnsi="Times New Roman" w:eastAsia="仿宋_GB2312" w:cs="Times New Roman"/>
          <w:sz w:val="32"/>
          <w:szCs w:val="32"/>
        </w:rPr>
        <w:t>万元，按照单位财务制度等相关规定，资金支出符合</w:t>
      </w:r>
      <w:r>
        <w:rPr>
          <w:rFonts w:hint="default" w:ascii="Times New Roman" w:hAnsi="Times New Roman" w:eastAsia="仿宋_GB2312" w:cs="Times New Roman"/>
          <w:sz w:val="32"/>
          <w:szCs w:val="32"/>
          <w:lang w:val="en-US" w:eastAsia="zh-CN"/>
        </w:rPr>
        <w:t>自治区畜牧业生产发展资金（兽药饲料检验项目、畜产品质量安全监测）</w:t>
      </w:r>
      <w:r>
        <w:rPr>
          <w:rFonts w:hint="default" w:ascii="Times New Roman" w:hAnsi="Times New Roman" w:eastAsia="仿宋_GB2312" w:cs="Times New Roman"/>
          <w:sz w:val="32"/>
          <w:szCs w:val="32"/>
        </w:rPr>
        <w:t>专项资金费用范围，做到了专款专用。在项目资金拨付和使用过程中，为确保项目资金的安全性，提高项目资金使用效率，严格遵循</w:t>
      </w:r>
      <w:r>
        <w:rPr>
          <w:rFonts w:hint="default" w:ascii="Times New Roman" w:hAnsi="Times New Roman" w:eastAsia="仿宋_GB2312" w:cs="Times New Roman"/>
          <w:sz w:val="32"/>
          <w:szCs w:val="32"/>
          <w:lang w:eastAsia="zh-CN"/>
        </w:rPr>
        <w:t>项目</w:t>
      </w:r>
      <w:r>
        <w:rPr>
          <w:rFonts w:hint="default" w:ascii="Times New Roman" w:hAnsi="Times New Roman" w:eastAsia="仿宋_GB2312" w:cs="Times New Roman"/>
          <w:sz w:val="32"/>
          <w:szCs w:val="32"/>
        </w:rPr>
        <w:t>资金的拨付程序，认真审核项目实施各阶段的相关材料和手续，根据项目实施进展情况拨付资金。</w:t>
      </w:r>
    </w:p>
    <w:p>
      <w:pPr>
        <w:keepNext w:val="0"/>
        <w:keepLines w:val="0"/>
        <w:pageBreakBefore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（2）预算资金来源及使用情况</w:t>
      </w:r>
      <w:bookmarkStart w:id="0" w:name="page10"/>
      <w:bookmarkEnd w:id="0"/>
    </w:p>
    <w:p>
      <w:pPr>
        <w:pStyle w:val="19"/>
        <w:keepNext w:val="0"/>
        <w:keepLines w:val="0"/>
        <w:pageBreakBefore w:val="0"/>
        <w:kinsoku/>
        <w:wordWrap/>
        <w:overflowPunct/>
        <w:topLinePunct w:val="0"/>
        <w:bidi w:val="0"/>
        <w:snapToGrid/>
        <w:spacing w:before="0" w:after="0" w:line="560" w:lineRule="exact"/>
        <w:ind w:firstLine="640" w:firstLineChars="200"/>
        <w:jc w:val="both"/>
        <w:textAlignment w:val="auto"/>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项目预算资金来源于自治区畜牧业生产发展资金</w:t>
      </w:r>
      <w:r>
        <w:rPr>
          <w:rFonts w:hint="eastAsia" w:ascii="Times New Roman" w:hAnsi="Times New Roman" w:eastAsia="仿宋_GB2312" w:cs="Times New Roman"/>
          <w:b w:val="0"/>
          <w:bCs w:val="0"/>
          <w:kern w:val="2"/>
          <w:lang w:eastAsia="zh-CN"/>
        </w:rPr>
        <w:t>，</w:t>
      </w:r>
      <w:r>
        <w:rPr>
          <w:rFonts w:hint="default" w:ascii="Times New Roman" w:hAnsi="Times New Roman" w:eastAsia="仿宋_GB2312" w:cs="Times New Roman"/>
          <w:b w:val="0"/>
          <w:bCs w:val="0"/>
          <w:kern w:val="2"/>
        </w:rPr>
        <w:t>项目资金到位</w:t>
      </w:r>
      <w:r>
        <w:rPr>
          <w:rFonts w:hint="default" w:ascii="Times New Roman" w:hAnsi="Times New Roman" w:eastAsia="仿宋_GB2312" w:cs="Times New Roman"/>
          <w:b w:val="0"/>
          <w:bCs w:val="0"/>
          <w:kern w:val="2"/>
          <w:lang w:val="en-US" w:eastAsia="zh-CN"/>
        </w:rPr>
        <w:t>325</w:t>
      </w:r>
      <w:r>
        <w:rPr>
          <w:rFonts w:hint="default" w:ascii="Times New Roman" w:hAnsi="Times New Roman" w:eastAsia="仿宋_GB2312" w:cs="Times New Roman"/>
          <w:b w:val="0"/>
          <w:bCs w:val="0"/>
          <w:kern w:val="2"/>
        </w:rPr>
        <w:t>万元，全年执行</w:t>
      </w:r>
      <w:r>
        <w:rPr>
          <w:rFonts w:hint="default" w:ascii="Times New Roman" w:hAnsi="Times New Roman" w:eastAsia="仿宋_GB2312" w:cs="Times New Roman"/>
          <w:b w:val="0"/>
          <w:bCs w:val="0"/>
          <w:kern w:val="2"/>
          <w:lang w:val="en-US" w:eastAsia="zh-CN"/>
        </w:rPr>
        <w:t>325</w:t>
      </w:r>
      <w:r>
        <w:rPr>
          <w:rFonts w:hint="default" w:ascii="Times New Roman" w:hAnsi="Times New Roman" w:eastAsia="仿宋_GB2312" w:cs="Times New Roman"/>
          <w:b w:val="0"/>
          <w:bCs w:val="0"/>
          <w:kern w:val="2"/>
        </w:rPr>
        <w:t>万元，预算执行率为</w:t>
      </w:r>
      <w:r>
        <w:rPr>
          <w:rFonts w:hint="default" w:ascii="Times New Roman" w:hAnsi="Times New Roman" w:eastAsia="仿宋_GB2312" w:cs="Times New Roman"/>
          <w:b w:val="0"/>
          <w:bCs w:val="0"/>
          <w:kern w:val="2"/>
          <w:lang w:val="en-US" w:eastAsia="zh-CN"/>
        </w:rPr>
        <w:t>100</w:t>
      </w:r>
      <w:r>
        <w:rPr>
          <w:rFonts w:hint="default" w:ascii="Times New Roman" w:hAnsi="Times New Roman" w:eastAsia="仿宋_GB2312" w:cs="Times New Roman"/>
          <w:b w:val="0"/>
          <w:bCs w:val="0"/>
          <w:kern w:val="2"/>
        </w:rPr>
        <w:t>%</w:t>
      </w:r>
      <w:r>
        <w:rPr>
          <w:rFonts w:hint="eastAsia" w:ascii="Times New Roman" w:hAnsi="Times New Roman" w:eastAsia="仿宋_GB2312" w:cs="Times New Roman"/>
          <w:b w:val="0"/>
          <w:bCs w:val="0"/>
          <w:kern w:val="2"/>
          <w:lang w:eastAsia="zh-CN"/>
        </w:rPr>
        <w:t>，</w:t>
      </w:r>
      <w:r>
        <w:rPr>
          <w:rFonts w:hint="default" w:ascii="Times New Roman" w:hAnsi="Times New Roman" w:eastAsia="仿宋_GB2312" w:cs="Times New Roman"/>
          <w:b w:val="0"/>
          <w:bCs w:val="0"/>
          <w:kern w:val="2"/>
        </w:rPr>
        <w:t>主要用于支付项目实施进程中的各项费用。</w:t>
      </w:r>
    </w:p>
    <w:p>
      <w:pPr>
        <w:pStyle w:val="19"/>
        <w:keepNext w:val="0"/>
        <w:keepLines w:val="0"/>
        <w:pageBreakBefore w:val="0"/>
        <w:kinsoku/>
        <w:wordWrap/>
        <w:overflowPunct/>
        <w:topLinePunct w:val="0"/>
        <w:bidi w:val="0"/>
        <w:snapToGrid/>
        <w:spacing w:before="0" w:after="0" w:line="560" w:lineRule="exact"/>
        <w:ind w:firstLine="640" w:firstLineChars="200"/>
        <w:jc w:val="both"/>
        <w:textAlignment w:val="auto"/>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202</w:t>
      </w:r>
      <w:r>
        <w:rPr>
          <w:rFonts w:hint="default" w:ascii="Times New Roman" w:hAnsi="Times New Roman" w:eastAsia="仿宋_GB2312" w:cs="Times New Roman"/>
          <w:b w:val="0"/>
          <w:bCs w:val="0"/>
          <w:kern w:val="2"/>
          <w:lang w:eastAsia="zh-CN"/>
        </w:rPr>
        <w:t>4</w:t>
      </w:r>
      <w:r>
        <w:rPr>
          <w:rFonts w:hint="default" w:ascii="Times New Roman" w:hAnsi="Times New Roman" w:eastAsia="仿宋_GB2312" w:cs="Times New Roman"/>
          <w:b w:val="0"/>
          <w:bCs w:val="0"/>
          <w:kern w:val="2"/>
        </w:rPr>
        <w:t>年本项目申请资金3</w:t>
      </w:r>
      <w:r>
        <w:rPr>
          <w:rFonts w:hint="default" w:ascii="Times New Roman" w:hAnsi="Times New Roman" w:eastAsia="仿宋_GB2312" w:cs="Times New Roman"/>
          <w:b w:val="0"/>
          <w:bCs w:val="0"/>
          <w:kern w:val="2"/>
          <w:lang w:val="en-US" w:eastAsia="zh-CN"/>
        </w:rPr>
        <w:t>2</w:t>
      </w:r>
      <w:r>
        <w:rPr>
          <w:rFonts w:hint="default" w:ascii="Times New Roman" w:hAnsi="Times New Roman" w:eastAsia="仿宋_GB2312" w:cs="Times New Roman"/>
          <w:b w:val="0"/>
          <w:bCs w:val="0"/>
          <w:kern w:val="2"/>
        </w:rPr>
        <w:t>5万元，具体资金分配明细如下：</w:t>
      </w:r>
    </w:p>
    <w:p>
      <w:pPr>
        <w:pStyle w:val="19"/>
        <w:keepNext w:val="0"/>
        <w:keepLines w:val="0"/>
        <w:pageBreakBefore w:val="0"/>
        <w:kinsoku/>
        <w:wordWrap/>
        <w:overflowPunct/>
        <w:topLinePunct w:val="0"/>
        <w:bidi w:val="0"/>
        <w:snapToGrid/>
        <w:spacing w:before="0" w:after="0" w:line="560" w:lineRule="exact"/>
        <w:ind w:firstLine="640" w:firstLineChars="200"/>
        <w:jc w:val="both"/>
        <w:textAlignment w:val="auto"/>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lang w:eastAsia="zh-CN"/>
        </w:rPr>
        <w:t>（一）</w:t>
      </w:r>
      <w:r>
        <w:rPr>
          <w:rFonts w:hint="default" w:ascii="Times New Roman" w:hAnsi="Times New Roman" w:eastAsia="仿宋_GB2312" w:cs="Times New Roman"/>
          <w:b w:val="0"/>
          <w:bCs w:val="0"/>
          <w:kern w:val="2"/>
        </w:rPr>
        <w:t>畜产品监测1000批次，共计</w:t>
      </w:r>
      <w:r>
        <w:rPr>
          <w:rFonts w:hint="eastAsia" w:ascii="Times New Roman" w:hAnsi="Times New Roman" w:eastAsia="仿宋_GB2312" w:cs="Times New Roman"/>
          <w:b w:val="0"/>
          <w:bCs w:val="0"/>
          <w:color w:val="000000" w:themeColor="text1"/>
          <w:kern w:val="0"/>
          <w:sz w:val="32"/>
          <w:szCs w:val="32"/>
          <w:shd w:val="clear" w:color="auto" w:fill="auto"/>
          <w:lang w:val="en-US" w:eastAsia="zh-CN"/>
          <w14:textFill>
            <w14:solidFill>
              <w14:schemeClr w14:val="tx1"/>
            </w14:solidFill>
          </w14:textFill>
        </w:rPr>
        <w:t>106.69</w:t>
      </w:r>
      <w:r>
        <w:rPr>
          <w:rFonts w:hint="default" w:ascii="Times New Roman" w:hAnsi="Times New Roman" w:eastAsia="仿宋_GB2312" w:cs="Times New Roman"/>
          <w:b w:val="0"/>
          <w:bCs w:val="0"/>
          <w:kern w:val="2"/>
        </w:rPr>
        <w:t>万元。</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napToGrid/>
        <w:spacing w:line="560" w:lineRule="exact"/>
        <w:ind w:firstLine="640" w:firstLineChars="200"/>
        <w:textAlignment w:val="auto"/>
        <w:rPr>
          <w:rFonts w:hint="default" w:ascii="Times New Roman" w:hAnsi="Times New Roman" w:eastAsia="仿宋_GB2312" w:cs="Times New Roman"/>
          <w:color w:val="000000" w:themeColor="text1"/>
          <w:kern w:val="0"/>
          <w:sz w:val="32"/>
          <w:szCs w:val="32"/>
          <w:shd w:val="clear" w:color="auto" w:fill="auto"/>
          <w:lang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color="auto" w:fill="auto"/>
          <w14:textFill>
            <w14:solidFill>
              <w14:schemeClr w14:val="tx1"/>
            </w14:solidFill>
          </w14:textFill>
        </w:rPr>
        <w:t xml:space="preserve">1、抽样费 </w:t>
      </w:r>
      <w:r>
        <w:rPr>
          <w:rFonts w:hint="default" w:ascii="Times New Roman" w:hAnsi="Times New Roman" w:eastAsia="仿宋_GB2312" w:cs="Times New Roman"/>
          <w:color w:val="000000" w:themeColor="text1"/>
          <w:kern w:val="0"/>
          <w:sz w:val="32"/>
          <w:szCs w:val="32"/>
          <w:shd w:val="clear" w:color="auto" w:fill="auto"/>
          <w:lang w:val="en-US" w:eastAsia="zh-CN"/>
          <w14:textFill>
            <w14:solidFill>
              <w14:schemeClr w14:val="tx1"/>
            </w14:solidFill>
          </w14:textFill>
        </w:rPr>
        <w:t>28</w:t>
      </w:r>
      <w:r>
        <w:rPr>
          <w:rFonts w:hint="default" w:ascii="Times New Roman" w:hAnsi="Times New Roman" w:eastAsia="仿宋_GB2312" w:cs="Times New Roman"/>
          <w:color w:val="000000" w:themeColor="text1"/>
          <w:kern w:val="0"/>
          <w:sz w:val="32"/>
          <w:szCs w:val="32"/>
          <w:shd w:val="clear" w:color="auto" w:fill="auto"/>
          <w14:textFill>
            <w14:solidFill>
              <w14:schemeClr w14:val="tx1"/>
            </w14:solidFill>
          </w14:textFill>
        </w:rPr>
        <w:t>0元/批×1000批</w:t>
      </w:r>
      <w:r>
        <w:rPr>
          <w:rFonts w:hint="default" w:ascii="Times New Roman" w:hAnsi="Times New Roman" w:eastAsia="仿宋_GB2312" w:cs="Times New Roman"/>
          <w:color w:val="000000" w:themeColor="text1"/>
          <w:kern w:val="0"/>
          <w:sz w:val="32"/>
          <w:szCs w:val="32"/>
          <w:shd w:val="clear" w:color="auto" w:fill="auto"/>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shd w:val="clear" w:color="auto" w:fill="auto"/>
          <w14:textFill>
            <w14:solidFill>
              <w14:schemeClr w14:val="tx1"/>
            </w14:solidFill>
          </w14:textFill>
        </w:rPr>
        <w:t>样品费170元/批次、车辆及交通费70元/批次、抽样费</w:t>
      </w:r>
      <w:r>
        <w:rPr>
          <w:rFonts w:hint="default" w:ascii="Times New Roman" w:hAnsi="Times New Roman" w:eastAsia="仿宋_GB2312" w:cs="Times New Roman"/>
          <w:color w:val="000000" w:themeColor="text1"/>
          <w:kern w:val="0"/>
          <w:sz w:val="32"/>
          <w:szCs w:val="32"/>
          <w:shd w:val="clear" w:color="auto" w:fill="auto"/>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32"/>
          <w:szCs w:val="32"/>
          <w:shd w:val="clear" w:color="auto" w:fill="auto"/>
          <w14:textFill>
            <w14:solidFill>
              <w14:schemeClr w14:val="tx1"/>
            </w14:solidFill>
          </w14:textFill>
        </w:rPr>
        <w:t>0元/批次</w:t>
      </w:r>
      <w:r>
        <w:rPr>
          <w:rFonts w:hint="default" w:ascii="Times New Roman" w:hAnsi="Times New Roman" w:eastAsia="仿宋_GB2312" w:cs="Times New Roman"/>
          <w:color w:val="000000" w:themeColor="text1"/>
          <w:kern w:val="0"/>
          <w:sz w:val="32"/>
          <w:szCs w:val="32"/>
          <w:shd w:val="clear" w:color="auto" w:fill="auto"/>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shd w:val="clear" w:color="auto" w:fill="auto"/>
          <w14:textFill>
            <w14:solidFill>
              <w14:schemeClr w14:val="tx1"/>
            </w14:solidFill>
          </w14:textFill>
        </w:rPr>
        <w:t>，合计</w:t>
      </w:r>
      <w:r>
        <w:rPr>
          <w:rFonts w:hint="default" w:ascii="Times New Roman" w:hAnsi="Times New Roman" w:eastAsia="仿宋_GB2312" w:cs="Times New Roman"/>
          <w:color w:val="000000" w:themeColor="text1"/>
          <w:kern w:val="0"/>
          <w:sz w:val="32"/>
          <w:szCs w:val="32"/>
          <w:shd w:val="clear" w:color="auto" w:fill="auto"/>
          <w:lang w:val="en-US" w:eastAsia="zh-CN"/>
          <w14:textFill>
            <w14:solidFill>
              <w14:schemeClr w14:val="tx1"/>
            </w14:solidFill>
          </w14:textFill>
        </w:rPr>
        <w:t>28</w:t>
      </w:r>
      <w:r>
        <w:rPr>
          <w:rFonts w:hint="default" w:ascii="Times New Roman" w:hAnsi="Times New Roman" w:eastAsia="仿宋_GB2312" w:cs="Times New Roman"/>
          <w:color w:val="000000" w:themeColor="text1"/>
          <w:kern w:val="0"/>
          <w:sz w:val="32"/>
          <w:szCs w:val="32"/>
          <w:shd w:val="clear" w:color="auto" w:fill="auto"/>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shd w:val="clear" w:color="auto" w:fill="auto"/>
          <w:lang w:eastAsia="zh-CN"/>
          <w14:textFill>
            <w14:solidFill>
              <w14:schemeClr w14:val="tx1"/>
            </w14:solidFill>
          </w14:textFill>
        </w:rPr>
        <w:t>；</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napToGrid/>
        <w:spacing w:line="560" w:lineRule="exact"/>
        <w:ind w:firstLine="640" w:firstLineChars="200"/>
        <w:textAlignment w:val="auto"/>
        <w:rPr>
          <w:rFonts w:hint="default" w:ascii="Times New Roman" w:hAnsi="Times New Roman" w:eastAsia="仿宋_GB2312" w:cs="Times New Roman"/>
          <w:color w:val="000000" w:themeColor="text1"/>
          <w:kern w:val="0"/>
          <w:sz w:val="32"/>
          <w:szCs w:val="32"/>
          <w:shd w:val="clear" w:color="auto" w:fill="auto"/>
          <w:lang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color="auto" w:fill="auto"/>
          <w14:textFill>
            <w14:solidFill>
              <w14:schemeClr w14:val="tx1"/>
            </w14:solidFill>
          </w14:textFill>
        </w:rPr>
        <w:t>2、消耗试剂（基准试剂/标准对照</w:t>
      </w:r>
      <w:r>
        <w:rPr>
          <w:rFonts w:hint="default" w:ascii="Times New Roman" w:hAnsi="Times New Roman" w:eastAsia="仿宋_GB2312" w:cs="Times New Roman"/>
          <w:color w:val="000000" w:themeColor="text1"/>
          <w:kern w:val="0"/>
          <w:sz w:val="32"/>
          <w:szCs w:val="32"/>
          <w:shd w:val="clear" w:color="auto" w:fill="auto"/>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shd w:val="clear" w:color="auto" w:fill="auto"/>
          <w14:textFill>
            <w14:solidFill>
              <w14:schemeClr w14:val="tx1"/>
            </w14:solidFill>
          </w14:textFill>
        </w:rPr>
        <w:t>甲醇、乙氰、测试盒、分析小柱等）</w:t>
      </w:r>
      <w:r>
        <w:rPr>
          <w:rFonts w:hint="default" w:ascii="Times New Roman" w:hAnsi="Times New Roman" w:eastAsia="仿宋_GB2312" w:cs="Times New Roman"/>
          <w:color w:val="000000" w:themeColor="text1"/>
          <w:kern w:val="0"/>
          <w:sz w:val="32"/>
          <w:szCs w:val="32"/>
          <w:shd w:val="clear" w:color="auto" w:fill="auto"/>
          <w:lang w:val="en-US" w:eastAsia="zh-CN"/>
          <w14:textFill>
            <w14:solidFill>
              <w14:schemeClr w14:val="tx1"/>
            </w14:solidFill>
          </w14:textFill>
        </w:rPr>
        <w:t>300</w:t>
      </w:r>
      <w:r>
        <w:rPr>
          <w:rFonts w:hint="default" w:ascii="Times New Roman" w:hAnsi="Times New Roman" w:eastAsia="仿宋_GB2312" w:cs="Times New Roman"/>
          <w:color w:val="000000" w:themeColor="text1"/>
          <w:kern w:val="0"/>
          <w:sz w:val="32"/>
          <w:szCs w:val="32"/>
          <w:shd w:val="clear" w:color="auto" w:fill="auto"/>
          <w14:textFill>
            <w14:solidFill>
              <w14:schemeClr w14:val="tx1"/>
            </w14:solidFill>
          </w14:textFill>
        </w:rPr>
        <w:t>元/批×1000批</w:t>
      </w:r>
      <w:r>
        <w:rPr>
          <w:rFonts w:hint="default" w:ascii="Times New Roman" w:hAnsi="Times New Roman" w:eastAsia="仿宋_GB2312" w:cs="Times New Roman"/>
          <w:color w:val="000000" w:themeColor="text1"/>
          <w:kern w:val="0"/>
          <w:sz w:val="32"/>
          <w:szCs w:val="32"/>
          <w:shd w:val="clear" w:color="auto" w:fill="auto"/>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shd w:val="clear" w:color="auto" w:fill="auto"/>
          <w:lang w:val="en-US" w:eastAsia="zh-CN"/>
          <w14:textFill>
            <w14:solidFill>
              <w14:schemeClr w14:val="tx1"/>
            </w14:solidFill>
          </w14:textFill>
        </w:rPr>
        <w:t>合</w:t>
      </w:r>
      <w:r>
        <w:rPr>
          <w:rFonts w:hint="default" w:ascii="Times New Roman" w:hAnsi="Times New Roman" w:eastAsia="仿宋_GB2312" w:cs="Times New Roman"/>
          <w:color w:val="000000" w:themeColor="text1"/>
          <w:kern w:val="0"/>
          <w:sz w:val="32"/>
          <w:szCs w:val="32"/>
          <w:shd w:val="clear" w:color="auto" w:fill="auto"/>
          <w14:textFill>
            <w14:solidFill>
              <w14:schemeClr w14:val="tx1"/>
            </w14:solidFill>
          </w14:textFill>
        </w:rPr>
        <w:t>计</w:t>
      </w:r>
      <w:r>
        <w:rPr>
          <w:rFonts w:hint="default" w:ascii="Times New Roman" w:hAnsi="Times New Roman" w:eastAsia="仿宋_GB2312" w:cs="Times New Roman"/>
          <w:color w:val="000000" w:themeColor="text1"/>
          <w:kern w:val="0"/>
          <w:sz w:val="32"/>
          <w:szCs w:val="32"/>
          <w:shd w:val="clear" w:color="auto" w:fill="auto"/>
          <w:lang w:val="en-US" w:eastAsia="zh-CN"/>
          <w14:textFill>
            <w14:solidFill>
              <w14:schemeClr w14:val="tx1"/>
            </w14:solidFill>
          </w14:textFill>
        </w:rPr>
        <w:t>30</w:t>
      </w:r>
      <w:r>
        <w:rPr>
          <w:rFonts w:hint="default" w:ascii="Times New Roman" w:hAnsi="Times New Roman" w:eastAsia="仿宋_GB2312" w:cs="Times New Roman"/>
          <w:color w:val="000000" w:themeColor="text1"/>
          <w:kern w:val="0"/>
          <w:sz w:val="32"/>
          <w:szCs w:val="32"/>
          <w:shd w:val="clear" w:color="auto" w:fill="auto"/>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shd w:val="clear" w:color="auto" w:fill="auto"/>
          <w:lang w:eastAsia="zh-CN"/>
          <w14:textFill>
            <w14:solidFill>
              <w14:schemeClr w14:val="tx1"/>
            </w14:solidFill>
          </w14:textFill>
        </w:rPr>
        <w:t>；</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napToGrid/>
        <w:spacing w:line="560" w:lineRule="exact"/>
        <w:ind w:firstLine="640" w:firstLineChars="200"/>
        <w:textAlignment w:val="auto"/>
        <w:rPr>
          <w:rFonts w:hint="default" w:ascii="Times New Roman" w:hAnsi="Times New Roman" w:eastAsia="仿宋_GB2312" w:cs="Times New Roman"/>
          <w:color w:val="000000" w:themeColor="text1"/>
          <w:kern w:val="0"/>
          <w:sz w:val="32"/>
          <w:szCs w:val="32"/>
          <w:shd w:val="clear" w:color="auto" w:fill="auto"/>
          <w:lang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color="auto" w:fill="auto"/>
          <w14:textFill>
            <w14:solidFill>
              <w14:schemeClr w14:val="tx1"/>
            </w14:solidFill>
          </w14:textFill>
        </w:rPr>
        <w:t>3、设备消耗</w:t>
      </w:r>
      <w:r>
        <w:rPr>
          <w:rFonts w:hint="default" w:ascii="Times New Roman" w:hAnsi="Times New Roman" w:eastAsia="仿宋_GB2312" w:cs="Times New Roman"/>
          <w:color w:val="000000" w:themeColor="text1"/>
          <w:kern w:val="0"/>
          <w:sz w:val="32"/>
          <w:szCs w:val="32"/>
          <w:shd w:val="clear" w:color="auto" w:fill="auto"/>
          <w:lang w:eastAsia="zh-CN"/>
          <w14:textFill>
            <w14:solidFill>
              <w14:schemeClr w14:val="tx1"/>
            </w14:solidFill>
          </w14:textFill>
        </w:rPr>
        <w:t>及</w:t>
      </w:r>
      <w:r>
        <w:rPr>
          <w:rFonts w:hint="default" w:ascii="Times New Roman" w:hAnsi="Times New Roman" w:eastAsia="仿宋_GB2312" w:cs="Times New Roman"/>
          <w:color w:val="000000" w:themeColor="text1"/>
          <w:kern w:val="0"/>
          <w:sz w:val="32"/>
          <w:szCs w:val="32"/>
          <w:shd w:val="clear" w:color="auto" w:fill="auto"/>
          <w14:textFill>
            <w14:solidFill>
              <w14:schemeClr w14:val="tx1"/>
            </w14:solidFill>
          </w14:textFill>
        </w:rPr>
        <w:t>实验用易耗品（记录、报告用纸、墨盒、移液器、过滤器等）</w:t>
      </w:r>
      <w:r>
        <w:rPr>
          <w:rFonts w:hint="default" w:ascii="Times New Roman" w:hAnsi="Times New Roman" w:eastAsia="仿宋_GB2312" w:cs="Times New Roman"/>
          <w:color w:val="000000" w:themeColor="text1"/>
          <w:kern w:val="0"/>
          <w:sz w:val="32"/>
          <w:szCs w:val="32"/>
          <w:shd w:val="clear" w:color="auto" w:fill="auto"/>
          <w:lang w:val="en-US" w:eastAsia="zh-CN"/>
          <w14:textFill>
            <w14:solidFill>
              <w14:schemeClr w14:val="tx1"/>
            </w14:solidFill>
          </w14:textFill>
        </w:rPr>
        <w:t>2</w:t>
      </w:r>
      <w:r>
        <w:rPr>
          <w:rFonts w:hint="eastAsia" w:eastAsia="仿宋_GB2312" w:cs="Times New Roman"/>
          <w:color w:val="000000" w:themeColor="text1"/>
          <w:kern w:val="0"/>
          <w:sz w:val="32"/>
          <w:szCs w:val="32"/>
          <w:shd w:val="clear" w:color="auto" w:fill="auto"/>
          <w:lang w:val="en-US" w:eastAsia="zh-CN"/>
          <w14:textFill>
            <w14:solidFill>
              <w14:schemeClr w14:val="tx1"/>
            </w14:solidFill>
          </w14:textFill>
        </w:rPr>
        <w:t>0</w:t>
      </w:r>
      <w:r>
        <w:rPr>
          <w:rFonts w:hint="default" w:ascii="Times New Roman" w:hAnsi="Times New Roman" w:eastAsia="仿宋_GB2312" w:cs="Times New Roman"/>
          <w:color w:val="000000" w:themeColor="text1"/>
          <w:kern w:val="0"/>
          <w:sz w:val="32"/>
          <w:szCs w:val="32"/>
          <w:shd w:val="clear" w:color="auto" w:fill="auto"/>
          <w14:textFill>
            <w14:solidFill>
              <w14:schemeClr w14:val="tx1"/>
            </w14:solidFill>
          </w14:textFill>
        </w:rPr>
        <w:t>0元/批×1000批次，合计</w:t>
      </w:r>
      <w:r>
        <w:rPr>
          <w:rFonts w:hint="default" w:ascii="Times New Roman" w:hAnsi="Times New Roman" w:eastAsia="仿宋_GB2312" w:cs="Times New Roman"/>
          <w:color w:val="000000" w:themeColor="text1"/>
          <w:kern w:val="0"/>
          <w:sz w:val="32"/>
          <w:szCs w:val="32"/>
          <w:shd w:val="clear" w:color="auto" w:fill="auto"/>
          <w:lang w:val="en-US" w:eastAsia="zh-CN"/>
          <w14:textFill>
            <w14:solidFill>
              <w14:schemeClr w14:val="tx1"/>
            </w14:solidFill>
          </w14:textFill>
        </w:rPr>
        <w:t>2</w:t>
      </w:r>
      <w:r>
        <w:rPr>
          <w:rFonts w:hint="eastAsia" w:eastAsia="仿宋_GB2312" w:cs="Times New Roman"/>
          <w:color w:val="000000" w:themeColor="text1"/>
          <w:kern w:val="0"/>
          <w:sz w:val="32"/>
          <w:szCs w:val="32"/>
          <w:shd w:val="clear" w:color="auto" w:fill="auto"/>
          <w:lang w:val="en-US" w:eastAsia="zh-CN"/>
          <w14:textFill>
            <w14:solidFill>
              <w14:schemeClr w14:val="tx1"/>
            </w14:solidFill>
          </w14:textFill>
        </w:rPr>
        <w:t>0</w:t>
      </w:r>
      <w:r>
        <w:rPr>
          <w:rFonts w:hint="default" w:ascii="Times New Roman" w:hAnsi="Times New Roman" w:eastAsia="仿宋_GB2312" w:cs="Times New Roman"/>
          <w:color w:val="000000" w:themeColor="text1"/>
          <w:kern w:val="0"/>
          <w:sz w:val="32"/>
          <w:szCs w:val="32"/>
          <w:shd w:val="clear" w:color="auto" w:fill="auto"/>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shd w:val="clear" w:color="auto" w:fill="auto"/>
          <w:lang w:eastAsia="zh-CN"/>
          <w14:textFill>
            <w14:solidFill>
              <w14:schemeClr w14:val="tx1"/>
            </w14:solidFill>
          </w14:textFill>
        </w:rPr>
        <w:t>；</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napToGrid/>
        <w:spacing w:line="560" w:lineRule="exact"/>
        <w:ind w:firstLine="640" w:firstLineChars="200"/>
        <w:textAlignment w:val="auto"/>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、购置</w:t>
      </w:r>
      <w:r>
        <w:rPr>
          <w:rFonts w:hint="eastAsia"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实验室</w:t>
      </w:r>
      <w:r>
        <w:rPr>
          <w:rFonts w:hint="eastAsia" w:ascii="仿宋" w:hAnsi="仿宋" w:eastAsia="仿宋" w:cs="仿宋"/>
          <w:color w:val="000000" w:themeColor="text1"/>
          <w:kern w:val="0"/>
          <w:sz w:val="32"/>
          <w:szCs w:val="32"/>
          <w:u w:val="none"/>
          <w:shd w:val="clear" w:color="auto" w:fill="auto"/>
          <w:lang w:val="en-US" w:eastAsia="zh-CN"/>
          <w14:textFill>
            <w14:solidFill>
              <w14:schemeClr w14:val="tx1"/>
            </w14:solidFill>
          </w14:textFill>
        </w:rPr>
        <w:t>辅助设备</w:t>
      </w:r>
      <w:r>
        <w:rPr>
          <w:rFonts w:hint="eastAsia"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1.89</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万（</w:t>
      </w:r>
      <w:r>
        <w:rPr>
          <w:rFonts w:hint="eastAsia"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A4彩色激光打印机2台8500元、A3/A4打印机1台5800元、扫描仪1台3600元、碎纸机1台1000元</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napToGrid/>
        <w:spacing w:line="560" w:lineRule="exact"/>
        <w:ind w:firstLine="640" w:firstLineChars="200"/>
        <w:textAlignment w:val="auto"/>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5</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、实验室维修</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改造等</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12</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u w:val="none"/>
          <w:shd w:val="clear" w:color="auto" w:fill="auto"/>
          <w:lang w:eastAsia="zh-CN"/>
          <w14:textFill>
            <w14:solidFill>
              <w14:schemeClr w14:val="tx1"/>
            </w14:solidFill>
          </w14:textFill>
        </w:rPr>
      </w:pPr>
      <w:r>
        <w:rPr>
          <w:rFonts w:hint="default" w:ascii="Times New Roman" w:hAnsi="Times New Roman" w:eastAsia="仿宋_GB2312" w:cs="Times New Roman"/>
          <w:color w:val="000000" w:themeColor="text1"/>
          <w:sz w:val="32"/>
          <w:szCs w:val="32"/>
          <w:u w:val="none"/>
          <w:shd w:val="clear" w:color="auto" w:fill="auto"/>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u w:val="none"/>
          <w:shd w:val="clear" w:color="auto" w:fill="auto"/>
          <w14:textFill>
            <w14:solidFill>
              <w14:schemeClr w14:val="tx1"/>
            </w14:solidFill>
          </w14:textFill>
        </w:rPr>
        <w:t>实验室废液</w:t>
      </w:r>
      <w:r>
        <w:rPr>
          <w:rFonts w:hint="default" w:ascii="Times New Roman" w:hAnsi="Times New Roman" w:eastAsia="仿宋_GB2312" w:cs="Times New Roman"/>
          <w:color w:val="000000" w:themeColor="text1"/>
          <w:sz w:val="32"/>
          <w:szCs w:val="32"/>
          <w:u w:val="none"/>
          <w:shd w:val="clear" w:color="auto" w:fill="auto"/>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u w:val="none"/>
          <w:shd w:val="clear" w:color="auto" w:fill="auto"/>
          <w14:textFill>
            <w14:solidFill>
              <w14:schemeClr w14:val="tx1"/>
            </w14:solidFill>
          </w14:textFill>
        </w:rPr>
        <w:t>废气装置维护</w:t>
      </w:r>
      <w:r>
        <w:rPr>
          <w:rFonts w:hint="default" w:ascii="Times New Roman" w:hAnsi="Times New Roman" w:eastAsia="仿宋_GB2312" w:cs="Times New Roman"/>
          <w:color w:val="000000" w:themeColor="text1"/>
          <w:sz w:val="32"/>
          <w:szCs w:val="32"/>
          <w:u w:val="none"/>
          <w:shd w:val="clear" w:color="auto" w:fill="auto"/>
          <w:lang w:eastAsia="zh-CN"/>
          <w14:textFill>
            <w14:solidFill>
              <w14:schemeClr w14:val="tx1"/>
            </w14:solidFill>
          </w14:textFill>
        </w:rPr>
        <w:t>保养</w:t>
      </w:r>
      <w:r>
        <w:rPr>
          <w:rFonts w:hint="default" w:ascii="Times New Roman" w:hAnsi="Times New Roman" w:eastAsia="仿宋_GB2312" w:cs="Times New Roman"/>
          <w:color w:val="000000" w:themeColor="text1"/>
          <w:sz w:val="32"/>
          <w:szCs w:val="32"/>
          <w:u w:val="none"/>
          <w:shd w:val="clear" w:color="auto" w:fill="auto"/>
          <w14:textFill>
            <w14:solidFill>
              <w14:schemeClr w14:val="tx1"/>
            </w14:solidFill>
          </w14:textFill>
        </w:rPr>
        <w:t>14.8万</w:t>
      </w:r>
      <w:r>
        <w:rPr>
          <w:rFonts w:hint="default" w:ascii="Times New Roman" w:hAnsi="Times New Roman" w:eastAsia="仿宋_GB2312" w:cs="Times New Roman"/>
          <w:color w:val="000000" w:themeColor="text1"/>
          <w:sz w:val="32"/>
          <w:szCs w:val="32"/>
          <w:u w:val="none"/>
          <w:shd w:val="clear" w:color="auto" w:fill="auto"/>
          <w:lang w:eastAsia="zh-CN"/>
          <w14:textFill>
            <w14:solidFill>
              <w14:schemeClr w14:val="tx1"/>
            </w14:solidFill>
          </w14:textFill>
        </w:rPr>
        <w:t>。</w:t>
      </w:r>
    </w:p>
    <w:p>
      <w:pPr>
        <w:pStyle w:val="19"/>
        <w:keepNext w:val="0"/>
        <w:keepLines w:val="0"/>
        <w:pageBreakBefore w:val="0"/>
        <w:kinsoku/>
        <w:wordWrap/>
        <w:overflowPunct/>
        <w:topLinePunct w:val="0"/>
        <w:bidi w:val="0"/>
        <w:snapToGrid/>
        <w:spacing w:before="0" w:after="0" w:line="560" w:lineRule="exact"/>
        <w:ind w:firstLine="640" w:firstLineChars="200"/>
        <w:jc w:val="both"/>
        <w:textAlignment w:val="auto"/>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lang w:eastAsia="zh-CN"/>
        </w:rPr>
        <w:t>（</w:t>
      </w:r>
      <w:r>
        <w:rPr>
          <w:rFonts w:hint="default" w:ascii="Times New Roman" w:hAnsi="Times New Roman" w:eastAsia="仿宋_GB2312" w:cs="Times New Roman"/>
          <w:b w:val="0"/>
          <w:bCs w:val="0"/>
          <w:kern w:val="2"/>
        </w:rPr>
        <w:t>二</w:t>
      </w:r>
      <w:r>
        <w:rPr>
          <w:rFonts w:hint="default" w:ascii="Times New Roman" w:hAnsi="Times New Roman" w:eastAsia="仿宋_GB2312" w:cs="Times New Roman"/>
          <w:b w:val="0"/>
          <w:bCs w:val="0"/>
          <w:kern w:val="2"/>
          <w:lang w:eastAsia="zh-CN"/>
        </w:rPr>
        <w:t>）</w:t>
      </w:r>
      <w:r>
        <w:rPr>
          <w:rFonts w:hint="default" w:ascii="Times New Roman" w:hAnsi="Times New Roman" w:eastAsia="仿宋_GB2312" w:cs="Times New Roman"/>
          <w:b w:val="0"/>
          <w:bCs w:val="0"/>
          <w:kern w:val="2"/>
        </w:rPr>
        <w:t>兽药监督</w:t>
      </w:r>
      <w:r>
        <w:rPr>
          <w:rFonts w:hint="default" w:ascii="Times New Roman" w:hAnsi="Times New Roman" w:eastAsia="仿宋_GB2312" w:cs="Times New Roman"/>
          <w:b w:val="0"/>
          <w:bCs w:val="0"/>
          <w:kern w:val="2"/>
          <w:lang w:val="en-US" w:eastAsia="zh-CN"/>
        </w:rPr>
        <w:t>抽检6</w:t>
      </w:r>
      <w:r>
        <w:rPr>
          <w:rFonts w:hint="default" w:ascii="Times New Roman" w:hAnsi="Times New Roman" w:eastAsia="仿宋_GB2312" w:cs="Times New Roman"/>
          <w:b w:val="0"/>
          <w:bCs w:val="0"/>
          <w:kern w:val="2"/>
        </w:rPr>
        <w:t>00批、风险监测</w:t>
      </w:r>
      <w:r>
        <w:rPr>
          <w:rFonts w:hint="default" w:ascii="Times New Roman" w:hAnsi="Times New Roman" w:eastAsia="仿宋_GB2312" w:cs="Times New Roman"/>
          <w:b w:val="0"/>
          <w:bCs w:val="0"/>
          <w:kern w:val="2"/>
          <w:lang w:val="en-US" w:eastAsia="zh-CN"/>
        </w:rPr>
        <w:t>2</w:t>
      </w:r>
      <w:r>
        <w:rPr>
          <w:rFonts w:hint="default" w:ascii="Times New Roman" w:hAnsi="Times New Roman" w:eastAsia="仿宋_GB2312" w:cs="Times New Roman"/>
          <w:b w:val="0"/>
          <w:bCs w:val="0"/>
          <w:kern w:val="2"/>
        </w:rPr>
        <w:t>00批及兽药残留监</w:t>
      </w:r>
      <w:r>
        <w:rPr>
          <w:rFonts w:hint="default" w:ascii="Times New Roman" w:hAnsi="Times New Roman" w:eastAsia="仿宋_GB2312" w:cs="Times New Roman"/>
          <w:b w:val="0"/>
          <w:bCs w:val="0"/>
          <w:kern w:val="2"/>
          <w:lang w:val="en-US" w:eastAsia="zh-CN"/>
        </w:rPr>
        <w:t>测4</w:t>
      </w:r>
      <w:r>
        <w:rPr>
          <w:rFonts w:hint="default" w:ascii="Times New Roman" w:hAnsi="Times New Roman" w:eastAsia="仿宋_GB2312" w:cs="Times New Roman"/>
          <w:b w:val="0"/>
          <w:bCs w:val="0"/>
          <w:kern w:val="2"/>
        </w:rPr>
        <w:t>00批</w:t>
      </w:r>
      <w:r>
        <w:rPr>
          <w:rFonts w:hint="default" w:ascii="Times New Roman" w:hAnsi="Times New Roman" w:eastAsia="仿宋_GB2312" w:cs="Times New Roman"/>
          <w:b w:val="0"/>
          <w:bCs w:val="0"/>
          <w:kern w:val="2"/>
          <w:lang w:eastAsia="zh-CN"/>
        </w:rPr>
        <w:t>，</w:t>
      </w:r>
      <w:r>
        <w:rPr>
          <w:rFonts w:hint="default" w:ascii="Times New Roman" w:hAnsi="Times New Roman" w:eastAsia="仿宋_GB2312" w:cs="Times New Roman"/>
          <w:b w:val="0"/>
          <w:bCs w:val="0"/>
          <w:kern w:val="2"/>
        </w:rPr>
        <w:t>共计</w:t>
      </w:r>
      <w:r>
        <w:rPr>
          <w:rFonts w:hint="default" w:ascii="Times New Roman" w:hAnsi="Times New Roman" w:eastAsia="仿宋_GB2312" w:cs="Times New Roman"/>
          <w:b w:val="0"/>
          <w:bCs w:val="0"/>
          <w:kern w:val="2"/>
          <w:lang w:val="en-US" w:eastAsia="zh-CN"/>
        </w:rPr>
        <w:t>9</w:t>
      </w:r>
      <w:r>
        <w:rPr>
          <w:rFonts w:hint="eastAsia" w:ascii="Times New Roman" w:hAnsi="Times New Roman" w:eastAsia="仿宋_GB2312" w:cs="Times New Roman"/>
          <w:b w:val="0"/>
          <w:bCs w:val="0"/>
          <w:kern w:val="2"/>
          <w:lang w:val="en-US" w:eastAsia="zh-CN"/>
        </w:rPr>
        <w:t>6.3</w:t>
      </w:r>
      <w:r>
        <w:rPr>
          <w:rFonts w:hint="default" w:ascii="Times New Roman" w:hAnsi="Times New Roman" w:eastAsia="仿宋_GB2312" w:cs="Times New Roman"/>
          <w:b w:val="0"/>
          <w:bCs w:val="0"/>
          <w:kern w:val="2"/>
        </w:rPr>
        <w:t>万元</w:t>
      </w:r>
      <w:r>
        <w:rPr>
          <w:rFonts w:hint="default" w:ascii="Times New Roman" w:hAnsi="Times New Roman" w:eastAsia="仿宋_GB2312" w:cs="Times New Roman"/>
          <w:b w:val="0"/>
          <w:bCs w:val="0"/>
          <w:kern w:val="2"/>
          <w:lang w:eastAsia="zh-CN"/>
        </w:rPr>
        <w:t>。</w:t>
      </w:r>
      <w:r>
        <w:rPr>
          <w:rFonts w:hint="default" w:ascii="Times New Roman" w:hAnsi="Times New Roman" w:eastAsia="仿宋_GB2312" w:cs="Times New Roman"/>
          <w:b w:val="0"/>
          <w:bCs w:val="0"/>
          <w:kern w:val="2"/>
        </w:rPr>
        <w:tab/>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napToGrid/>
        <w:spacing w:line="560" w:lineRule="exact"/>
        <w:ind w:firstLine="640" w:firstLineChars="200"/>
        <w:textAlignment w:val="auto"/>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1、抽样费280元/批×</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120</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0批次（样品费170元/批次、车辆及交通费70元/批次、抽样40元/批次），合计</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33.6</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napToGrid/>
        <w:spacing w:line="560" w:lineRule="exact"/>
        <w:ind w:firstLine="640" w:firstLineChars="200"/>
        <w:textAlignment w:val="auto"/>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2、消耗试剂（基准试剂/标准对照品</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甲醇、乙醇、高氯酸、分析小柱等）2</w:t>
      </w:r>
      <w:r>
        <w:rPr>
          <w:rFonts w:hint="eastAsia" w:eastAsia="仿宋_GB2312" w:cs="Times New Roman"/>
          <w:color w:val="000000" w:themeColor="text1"/>
          <w:kern w:val="0"/>
          <w:sz w:val="32"/>
          <w:szCs w:val="32"/>
          <w:u w:val="none"/>
          <w:shd w:val="clear" w:color="auto" w:fill="auto"/>
          <w:lang w:val="en-US" w:eastAsia="zh-CN"/>
          <w14:textFill>
            <w14:solidFill>
              <w14:schemeClr w14:val="tx1"/>
            </w14:solidFill>
          </w14:textFill>
        </w:rPr>
        <w:t>1</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5</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元/批×</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12</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00批，合计</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27</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napToGrid/>
        <w:spacing w:line="560" w:lineRule="exact"/>
        <w:ind w:firstLine="640" w:firstLineChars="200"/>
        <w:textAlignment w:val="auto"/>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3、设备消耗</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及</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实验用易耗品（记录、报告用纸、墨盒、移液器、过滤器等）</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210</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元/批×</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12</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00批次，合计</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25.</w:t>
      </w:r>
      <w:r>
        <w:rPr>
          <w:rFonts w:hint="eastAsia" w:eastAsia="仿宋_GB2312" w:cs="Times New Roman"/>
          <w:color w:val="000000" w:themeColor="text1"/>
          <w:kern w:val="0"/>
          <w:sz w:val="32"/>
          <w:szCs w:val="32"/>
          <w:u w:val="none"/>
          <w:shd w:val="clear" w:color="auto" w:fill="auto"/>
          <w:lang w:val="en-US" w:eastAsia="zh-CN"/>
          <w14:textFill>
            <w14:solidFill>
              <w14:schemeClr w14:val="tx1"/>
            </w14:solidFill>
          </w14:textFill>
        </w:rPr>
        <w:t>8</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firstLineChars="200"/>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、购置</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12位旋转式圆形水浴氮吹仪0.9万元</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firstLineChars="200"/>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5、购置酸度计1.2万元；</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firstLineChars="200"/>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6、购置振荡器0.8万元；</w:t>
      </w:r>
    </w:p>
    <w:p>
      <w:pPr>
        <w:pStyle w:val="2"/>
        <w:ind w:firstLine="640" w:firstLineChars="200"/>
        <w:rPr>
          <w:rFonts w:hint="default" w:ascii="Times New Roman" w:hAnsi="Times New Roman" w:eastAsia="仿宋_GB2312" w:cs="Times New Roman"/>
          <w:lang w:val="en-US" w:eastAsia="zh-CN"/>
        </w:rPr>
      </w:pP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7、购置实验室辅助设备4万元（立式空调3匹1.6万、医用双开门冷藏冰箱(≥900L）2.4万）</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firstLineChars="200"/>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8、</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实验室制水机维护保养</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6</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万</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元</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w:t>
      </w:r>
    </w:p>
    <w:p>
      <w:pPr>
        <w:pStyle w:val="19"/>
        <w:keepNext w:val="0"/>
        <w:keepLines w:val="0"/>
        <w:pageBreakBefore w:val="0"/>
        <w:kinsoku/>
        <w:wordWrap/>
        <w:overflowPunct/>
        <w:topLinePunct w:val="0"/>
        <w:bidi w:val="0"/>
        <w:snapToGrid/>
        <w:spacing w:before="0" w:after="0" w:line="560" w:lineRule="exact"/>
        <w:ind w:firstLine="640" w:firstLineChars="200"/>
        <w:jc w:val="both"/>
        <w:textAlignment w:val="auto"/>
        <w:rPr>
          <w:rFonts w:hint="default" w:ascii="Times New Roman" w:hAnsi="Times New Roman" w:eastAsia="仿宋_GB2312" w:cs="Times New Roman"/>
          <w:b w:val="0"/>
          <w:bCs w:val="0"/>
          <w:kern w:val="2"/>
          <w:lang w:val="en-US" w:eastAsia="zh-CN"/>
        </w:rPr>
      </w:pPr>
      <w:r>
        <w:rPr>
          <w:rFonts w:hint="default" w:ascii="Times New Roman" w:hAnsi="Times New Roman" w:eastAsia="仿宋_GB2312" w:cs="Times New Roman"/>
          <w:b w:val="0"/>
          <w:bCs w:val="0"/>
          <w:kern w:val="2"/>
        </w:rPr>
        <w:t>（三）动物源细菌耐药性</w:t>
      </w:r>
      <w:r>
        <w:rPr>
          <w:rFonts w:hint="default" w:ascii="Times New Roman" w:hAnsi="Times New Roman" w:eastAsia="仿宋_GB2312" w:cs="Times New Roman"/>
          <w:b w:val="0"/>
          <w:bCs w:val="0"/>
          <w:kern w:val="2"/>
          <w:lang w:val="en-US" w:eastAsia="zh-CN"/>
        </w:rPr>
        <w:t>2</w:t>
      </w:r>
      <w:r>
        <w:rPr>
          <w:rFonts w:hint="default" w:ascii="Times New Roman" w:hAnsi="Times New Roman" w:eastAsia="仿宋_GB2312" w:cs="Times New Roman"/>
          <w:b w:val="0"/>
          <w:bCs w:val="0"/>
          <w:kern w:val="2"/>
        </w:rPr>
        <w:t>00批，共计</w:t>
      </w:r>
      <w:r>
        <w:rPr>
          <w:rFonts w:hint="eastAsia" w:ascii="Times New Roman" w:hAnsi="Times New Roman" w:eastAsia="仿宋_GB2312" w:cs="Times New Roman"/>
          <w:b w:val="0"/>
          <w:bCs w:val="0"/>
          <w:kern w:val="2"/>
          <w:lang w:val="en-US" w:eastAsia="zh-CN"/>
        </w:rPr>
        <w:t>61.7</w:t>
      </w:r>
      <w:r>
        <w:rPr>
          <w:rFonts w:hint="default" w:ascii="Times New Roman" w:hAnsi="Times New Roman" w:eastAsia="仿宋_GB2312" w:cs="Times New Roman"/>
          <w:b w:val="0"/>
          <w:bCs w:val="0"/>
          <w:kern w:val="2"/>
        </w:rPr>
        <w:t>万</w:t>
      </w:r>
      <w:r>
        <w:rPr>
          <w:rFonts w:hint="default" w:ascii="Times New Roman" w:hAnsi="Times New Roman" w:eastAsia="仿宋_GB2312" w:cs="Times New Roman"/>
          <w:b w:val="0"/>
          <w:bCs w:val="0"/>
          <w:kern w:val="2"/>
          <w:lang w:eastAsia="zh-CN"/>
        </w:rPr>
        <w:t>元。</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firstLineChars="200"/>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1、抽样费120元/批×</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2</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00批次（车辆及交通费70元/批次、抽样50元/批次）</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合计</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2.4</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firstLineChars="200"/>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2、实验用易耗品（培养基、接种环、鉴定卡、保存管、血平板）800元/批×</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2</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00批，合计</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16</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firstLineChars="200"/>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3、设备消耗</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及</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实验用易耗品（记录、报告用纸、墨盒等）</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8</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0元/批×</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2</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00批次，合计</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1.6</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firstLineChars="200"/>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、购置</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智能微粒检测仪8.8</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w:t>
      </w:r>
    </w:p>
    <w:p>
      <w:pPr>
        <w:pStyle w:val="2"/>
        <w:ind w:firstLine="640" w:firstLineChars="200"/>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5、购置水分测定仪14.5万元；</w:t>
      </w:r>
    </w:p>
    <w:p>
      <w:pPr>
        <w:ind w:firstLine="640" w:firstLineChars="200"/>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6、购置高通量浓缩仪9.5万元；</w:t>
      </w:r>
    </w:p>
    <w:p>
      <w:pPr>
        <w:ind w:firstLine="640" w:firstLineChars="200"/>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7、购置十万分之一电子天平8万元；</w:t>
      </w:r>
    </w:p>
    <w:p>
      <w:pPr>
        <w:pStyle w:val="2"/>
        <w:ind w:firstLine="640" w:firstLineChars="200"/>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8、购置百分之一粗天平三台0.9万元。</w:t>
      </w:r>
    </w:p>
    <w:p>
      <w:pPr>
        <w:pStyle w:val="19"/>
        <w:keepNext w:val="0"/>
        <w:keepLines w:val="0"/>
        <w:pageBreakBefore w:val="0"/>
        <w:kinsoku/>
        <w:wordWrap/>
        <w:overflowPunct/>
        <w:topLinePunct w:val="0"/>
        <w:bidi w:val="0"/>
        <w:snapToGrid/>
        <w:spacing w:before="0" w:after="0" w:line="560" w:lineRule="exact"/>
        <w:ind w:firstLine="640" w:firstLineChars="200"/>
        <w:jc w:val="both"/>
        <w:textAlignment w:val="auto"/>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（四）饲料/饲料添加剂质</w:t>
      </w:r>
      <w:r>
        <w:rPr>
          <w:rFonts w:hint="eastAsia" w:ascii="Times New Roman" w:hAnsi="Times New Roman" w:eastAsia="仿宋_GB2312" w:cs="Times New Roman"/>
          <w:b w:val="0"/>
          <w:bCs w:val="0"/>
          <w:kern w:val="2"/>
          <w:lang w:eastAsia="zh-CN"/>
        </w:rPr>
        <w:t>量</w:t>
      </w:r>
      <w:r>
        <w:rPr>
          <w:rFonts w:hint="default" w:ascii="Times New Roman" w:hAnsi="Times New Roman" w:eastAsia="仿宋_GB2312" w:cs="Times New Roman"/>
          <w:b w:val="0"/>
          <w:bCs w:val="0"/>
          <w:kern w:val="2"/>
        </w:rPr>
        <w:t>安全监督检验</w:t>
      </w:r>
      <w:r>
        <w:rPr>
          <w:rFonts w:hint="default" w:ascii="Times New Roman" w:hAnsi="Times New Roman" w:eastAsia="仿宋_GB2312" w:cs="Times New Roman"/>
          <w:b w:val="0"/>
          <w:bCs w:val="0"/>
          <w:kern w:val="2"/>
          <w:lang w:val="en-US" w:eastAsia="zh-CN"/>
        </w:rPr>
        <w:t>4</w:t>
      </w:r>
      <w:r>
        <w:rPr>
          <w:rFonts w:hint="default" w:ascii="Times New Roman" w:hAnsi="Times New Roman" w:eastAsia="仿宋_GB2312" w:cs="Times New Roman"/>
          <w:b w:val="0"/>
          <w:bCs w:val="0"/>
          <w:kern w:val="2"/>
        </w:rPr>
        <w:t>00批次，共计</w:t>
      </w:r>
      <w:r>
        <w:rPr>
          <w:rFonts w:hint="eastAsia" w:ascii="Times New Roman" w:hAnsi="Times New Roman" w:eastAsia="仿宋_GB2312" w:cs="Times New Roman"/>
          <w:b w:val="0"/>
          <w:bCs w:val="0"/>
          <w:kern w:val="2"/>
          <w:lang w:val="en-US" w:eastAsia="zh-CN"/>
        </w:rPr>
        <w:t>30.4</w:t>
      </w:r>
      <w:r>
        <w:rPr>
          <w:rFonts w:hint="default" w:ascii="Times New Roman" w:hAnsi="Times New Roman" w:eastAsia="仿宋_GB2312" w:cs="Times New Roman"/>
          <w:b w:val="0"/>
          <w:bCs w:val="0"/>
          <w:kern w:val="2"/>
        </w:rPr>
        <w:t>万元</w:t>
      </w:r>
      <w:r>
        <w:rPr>
          <w:rFonts w:hint="default" w:ascii="Times New Roman" w:hAnsi="Times New Roman" w:eastAsia="仿宋_GB2312" w:cs="Times New Roman"/>
          <w:b w:val="0"/>
          <w:bCs w:val="0"/>
          <w:kern w:val="2"/>
          <w:lang w:eastAsia="zh-CN"/>
        </w:rPr>
        <w:t>。</w:t>
      </w:r>
      <w:r>
        <w:rPr>
          <w:rFonts w:hint="default" w:ascii="Times New Roman" w:hAnsi="Times New Roman" w:eastAsia="仿宋_GB2312" w:cs="Times New Roman"/>
          <w:b w:val="0"/>
          <w:bCs w:val="0"/>
          <w:kern w:val="2"/>
        </w:rPr>
        <w:tab/>
      </w:r>
      <w:r>
        <w:rPr>
          <w:rFonts w:hint="default" w:ascii="Times New Roman" w:hAnsi="Times New Roman" w:eastAsia="仿宋_GB2312" w:cs="Times New Roman"/>
          <w:b w:val="0"/>
          <w:bCs w:val="0"/>
          <w:kern w:val="2"/>
        </w:rPr>
        <w:tab/>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firstLineChars="200"/>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1、抽样费100元/批×</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00批次（车辆及交通费70元/批次、抽样30元/批次），合计</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firstLineChars="200"/>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2、消耗试剂（基准试剂/标准对照品</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甲醇、乙醇、高氯酸、分析小柱等）</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200</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元/批×</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00批次，合计</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8</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firstLineChars="200"/>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3、设备消耗</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及</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实验用易耗品（记录、报告用纸、墨盒、移液器、过滤器等）1</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20</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元/批×</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00批次，合计</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4.8</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firstLineChars="200"/>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4、</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购置</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水浴振荡器1.8万元；</w:t>
      </w:r>
    </w:p>
    <w:p>
      <w:pPr>
        <w:pStyle w:val="2"/>
        <w:ind w:firstLine="640" w:firstLineChars="200"/>
        <w:rPr>
          <w:rFonts w:hint="default" w:ascii="Times New Roman" w:hAnsi="Times New Roman" w:eastAsia="仿宋_GB2312" w:cs="Times New Roman"/>
          <w:lang w:val="en-US" w:eastAsia="zh-CN"/>
        </w:rPr>
      </w:pP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5、购置多功能架振荡器0.7万元；</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firstLineChars="200"/>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6、购置办公辅助用品5个沙发1.1万元；</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firstLineChars="200"/>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7、</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实验室运转10万</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元</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320" w:firstLineChars="100"/>
        <w:rPr>
          <w:rFonts w:hint="eastAsia" w:ascii="Times New Roman" w:hAnsi="Times New Roman" w:eastAsia="仿宋_GB2312" w:cs="Times New Roman"/>
          <w:b/>
          <w:bCs/>
          <w:color w:val="000000"/>
          <w:kern w:val="0"/>
          <w:sz w:val="32"/>
          <w:szCs w:val="32"/>
          <w:shd w:val="clear" w:color="auto" w:fill="auto"/>
          <w:lang w:val="en-US" w:eastAsia="zh-CN"/>
        </w:rPr>
      </w:pPr>
      <w:r>
        <w:rPr>
          <w:rFonts w:hint="eastAsia" w:ascii="Times New Roman" w:hAnsi="Times New Roman" w:eastAsia="仿宋_GB2312" w:cs="Times New Roman"/>
          <w:b w:val="0"/>
          <w:bCs w:val="0"/>
          <w:color w:val="000000"/>
          <w:kern w:val="0"/>
          <w:sz w:val="32"/>
          <w:szCs w:val="32"/>
          <w:shd w:val="clear" w:color="auto" w:fill="auto"/>
          <w:lang w:val="en-US" w:eastAsia="zh-CN"/>
        </w:rPr>
        <w:t>（五）生鲜乳质量安全监测100批次，共计3.75万元。</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firstLineChars="200"/>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1、抽样费1</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15</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元/批×</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1</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00批次（样品费1</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5</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元/批次、车辆及交通费70元/批次、抽样30元/批次），合计</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1.15</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firstLineChars="200"/>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2、消耗试剂（基准试剂/标准对照品</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试剂盒、测试卡</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等）</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180</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元/批×</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1</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00批次，合计</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1.8</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firstLineChars="200"/>
        <w:rPr>
          <w:rFonts w:hint="default" w:ascii="Times New Roman" w:hAnsi="Times New Roman" w:eastAsia="仿宋_GB2312" w:cs="Times New Roman"/>
          <w:b/>
          <w:bCs/>
          <w:color w:val="000000"/>
          <w:kern w:val="0"/>
          <w:sz w:val="32"/>
          <w:szCs w:val="32"/>
          <w:shd w:val="clear" w:color="auto" w:fill="auto"/>
          <w:lang w:eastAsia="zh-CN"/>
        </w:rPr>
      </w:pP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3、设备消耗</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及</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实验用易耗品（记录、报告用纸、墨盒、等）</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80</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元/批×</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1</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00批次，合计</w:t>
      </w:r>
      <w:r>
        <w:rPr>
          <w:rFonts w:hint="default" w:ascii="Times New Roman" w:hAnsi="Times New Roman" w:eastAsia="仿宋_GB2312" w:cs="Times New Roman"/>
          <w:color w:val="000000" w:themeColor="text1"/>
          <w:kern w:val="0"/>
          <w:sz w:val="32"/>
          <w:szCs w:val="32"/>
          <w:u w:val="none"/>
          <w:shd w:val="clear" w:color="auto" w:fill="auto"/>
          <w:lang w:val="en-US" w:eastAsia="zh-CN"/>
          <w14:textFill>
            <w14:solidFill>
              <w14:schemeClr w14:val="tx1"/>
            </w14:solidFill>
          </w14:textFill>
        </w:rPr>
        <w:t>0.8</w:t>
      </w:r>
      <w:r>
        <w:rPr>
          <w:rFonts w:hint="default" w:ascii="Times New Roman" w:hAnsi="Times New Roman" w:eastAsia="仿宋_GB2312" w:cs="Times New Roman"/>
          <w:color w:val="000000" w:themeColor="text1"/>
          <w:kern w:val="0"/>
          <w:sz w:val="32"/>
          <w:szCs w:val="32"/>
          <w:u w:val="none"/>
          <w:shd w:val="clear" w:color="auto" w:fill="auto"/>
          <w14:textFill>
            <w14:solidFill>
              <w14:schemeClr w14:val="tx1"/>
            </w14:solidFill>
          </w14:textFill>
        </w:rPr>
        <w:t>万元</w:t>
      </w:r>
      <w:r>
        <w:rPr>
          <w:rFonts w:hint="default" w:ascii="Times New Roman" w:hAnsi="Times New Roman" w:eastAsia="仿宋_GB2312" w:cs="Times New Roman"/>
          <w:color w:val="000000" w:themeColor="text1"/>
          <w:kern w:val="0"/>
          <w:sz w:val="32"/>
          <w:szCs w:val="32"/>
          <w:u w:val="none"/>
          <w:shd w:val="clear" w:color="auto" w:fill="auto"/>
          <w:lang w:eastAsia="zh-CN"/>
          <w14:textFill>
            <w14:solidFill>
              <w14:schemeClr w14:val="tx1"/>
            </w14:solidFill>
          </w14:textFill>
        </w:rPr>
        <w:t>。</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320" w:firstLineChars="100"/>
        <w:rPr>
          <w:rFonts w:hint="eastAsia" w:ascii="仿宋_GB2312" w:hAnsi="仿宋_GB2312" w:eastAsia="仿宋_GB2312" w:cs="仿宋_GB2312"/>
          <w:b w:val="0"/>
          <w:bCs w:val="0"/>
          <w:color w:val="000000"/>
          <w:kern w:val="0"/>
          <w:sz w:val="32"/>
          <w:szCs w:val="32"/>
          <w:shd w:val="clear" w:color="auto" w:fill="auto"/>
          <w:lang w:val="en-US" w:eastAsia="zh-CN"/>
        </w:rPr>
      </w:pPr>
      <w:r>
        <w:rPr>
          <w:rFonts w:hint="eastAsia" w:ascii="仿宋_GB2312" w:hAnsi="仿宋_GB2312" w:eastAsia="仿宋_GB2312" w:cs="仿宋_GB2312"/>
          <w:b w:val="0"/>
          <w:bCs w:val="0"/>
          <w:color w:val="000000"/>
          <w:kern w:val="0"/>
          <w:sz w:val="32"/>
          <w:szCs w:val="32"/>
          <w:shd w:val="clear" w:color="auto" w:fill="auto"/>
          <w:lang w:eastAsia="zh-CN"/>
        </w:rPr>
        <w:t>（</w:t>
      </w:r>
      <w:r>
        <w:rPr>
          <w:rFonts w:hint="eastAsia" w:ascii="仿宋_GB2312" w:hAnsi="仿宋_GB2312" w:eastAsia="仿宋_GB2312" w:cs="仿宋_GB2312"/>
          <w:b w:val="0"/>
          <w:bCs w:val="0"/>
          <w:color w:val="000000"/>
          <w:kern w:val="0"/>
          <w:sz w:val="32"/>
          <w:szCs w:val="32"/>
          <w:shd w:val="clear" w:color="auto" w:fill="auto"/>
          <w:lang w:val="en-US" w:eastAsia="zh-CN"/>
        </w:rPr>
        <w:t>六</w:t>
      </w:r>
      <w:r>
        <w:rPr>
          <w:rFonts w:hint="eastAsia" w:ascii="仿宋_GB2312" w:hAnsi="仿宋_GB2312" w:eastAsia="仿宋_GB2312" w:cs="仿宋_GB2312"/>
          <w:b w:val="0"/>
          <w:bCs w:val="0"/>
          <w:color w:val="000000"/>
          <w:kern w:val="0"/>
          <w:sz w:val="32"/>
          <w:szCs w:val="32"/>
          <w:shd w:val="clear" w:color="auto" w:fill="auto"/>
          <w:lang w:eastAsia="zh-CN"/>
        </w:rPr>
        <w:t>）</w:t>
      </w:r>
      <w:r>
        <w:rPr>
          <w:rFonts w:hint="eastAsia" w:ascii="仿宋_GB2312" w:hAnsi="仿宋_GB2312" w:eastAsia="仿宋_GB2312" w:cs="仿宋_GB2312"/>
          <w:b w:val="0"/>
          <w:bCs w:val="0"/>
          <w:color w:val="000000"/>
          <w:kern w:val="0"/>
          <w:sz w:val="32"/>
          <w:szCs w:val="32"/>
          <w:shd w:val="clear" w:color="auto" w:fill="auto"/>
        </w:rPr>
        <w:t>兽药二维码现场检查、兽药GMP兽药企业的现场</w:t>
      </w:r>
      <w:r>
        <w:rPr>
          <w:rFonts w:hint="default" w:ascii="Times New Roman" w:hAnsi="Times New Roman" w:eastAsia="仿宋_GB2312" w:cs="Times New Roman"/>
          <w:b w:val="0"/>
          <w:bCs w:val="0"/>
          <w:color w:val="000000"/>
          <w:kern w:val="0"/>
          <w:sz w:val="32"/>
          <w:szCs w:val="32"/>
          <w:shd w:val="clear" w:color="auto" w:fill="auto"/>
        </w:rPr>
        <w:t>核查、兽药批准文号的报批、兽药生物制品批签发检查</w:t>
      </w:r>
      <w:r>
        <w:rPr>
          <w:rFonts w:hint="default" w:ascii="Times New Roman" w:hAnsi="Times New Roman" w:eastAsia="仿宋_GB2312" w:cs="Times New Roman"/>
          <w:b w:val="0"/>
          <w:bCs w:val="0"/>
          <w:color w:val="000000"/>
          <w:kern w:val="0"/>
          <w:sz w:val="32"/>
          <w:szCs w:val="32"/>
          <w:shd w:val="clear" w:color="auto" w:fill="auto"/>
          <w:lang w:val="en-US" w:eastAsia="zh-CN"/>
        </w:rPr>
        <w:t>5.</w:t>
      </w:r>
      <w:r>
        <w:rPr>
          <w:rFonts w:hint="eastAsia" w:ascii="Times New Roman" w:hAnsi="Times New Roman" w:eastAsia="仿宋_GB2312" w:cs="Times New Roman"/>
          <w:b w:val="0"/>
          <w:bCs w:val="0"/>
          <w:color w:val="000000"/>
          <w:kern w:val="0"/>
          <w:sz w:val="32"/>
          <w:szCs w:val="32"/>
          <w:shd w:val="clear" w:color="auto" w:fill="auto"/>
          <w:lang w:val="en-US" w:eastAsia="zh-CN"/>
        </w:rPr>
        <w:t>16</w:t>
      </w:r>
      <w:r>
        <w:rPr>
          <w:rFonts w:hint="eastAsia" w:ascii="仿宋_GB2312" w:hAnsi="仿宋_GB2312" w:eastAsia="仿宋_GB2312" w:cs="仿宋_GB2312"/>
          <w:b w:val="0"/>
          <w:bCs w:val="0"/>
          <w:color w:val="000000"/>
          <w:kern w:val="0"/>
          <w:sz w:val="32"/>
          <w:szCs w:val="32"/>
          <w:shd w:val="clear" w:color="auto" w:fill="auto"/>
        </w:rPr>
        <w:t>万</w:t>
      </w:r>
      <w:r>
        <w:rPr>
          <w:rFonts w:hint="eastAsia" w:ascii="仿宋_GB2312" w:hAnsi="仿宋_GB2312" w:eastAsia="仿宋_GB2312" w:cs="仿宋_GB2312"/>
          <w:b w:val="0"/>
          <w:bCs w:val="0"/>
          <w:color w:val="000000"/>
          <w:kern w:val="0"/>
          <w:sz w:val="32"/>
          <w:szCs w:val="32"/>
          <w:shd w:val="clear" w:color="auto" w:fill="auto"/>
          <w:lang w:val="en-US" w:eastAsia="zh-CN"/>
        </w:rPr>
        <w:t>元。</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320" w:firstLineChars="100"/>
        <w:rPr>
          <w:rFonts w:hint="default" w:ascii="Times New Roman" w:hAnsi="Times New Roman" w:eastAsia="仿宋_GB2312" w:cs="Times New Roman"/>
          <w:b w:val="0"/>
          <w:bCs w:val="0"/>
          <w:color w:val="000000"/>
          <w:kern w:val="0"/>
          <w:sz w:val="32"/>
          <w:szCs w:val="32"/>
          <w:shd w:val="clear" w:color="auto" w:fill="auto"/>
          <w:lang w:eastAsia="zh-CN"/>
        </w:rPr>
      </w:pPr>
      <w:r>
        <w:rPr>
          <w:rFonts w:hint="default" w:ascii="Times New Roman" w:hAnsi="Times New Roman" w:eastAsia="仿宋_GB2312" w:cs="Times New Roman"/>
          <w:b w:val="0"/>
          <w:bCs w:val="0"/>
          <w:color w:val="000000"/>
          <w:kern w:val="0"/>
          <w:sz w:val="32"/>
          <w:szCs w:val="32"/>
          <w:shd w:val="clear" w:color="auto" w:fill="auto"/>
        </w:rPr>
        <w:t>（</w:t>
      </w:r>
      <w:r>
        <w:rPr>
          <w:rFonts w:hint="eastAsia" w:ascii="Times New Roman" w:hAnsi="Times New Roman" w:eastAsia="仿宋_GB2312" w:cs="Times New Roman"/>
          <w:b w:val="0"/>
          <w:bCs w:val="0"/>
          <w:color w:val="000000"/>
          <w:kern w:val="0"/>
          <w:sz w:val="32"/>
          <w:szCs w:val="32"/>
          <w:shd w:val="clear" w:color="auto" w:fill="auto"/>
          <w:lang w:val="en-US" w:eastAsia="zh-CN"/>
        </w:rPr>
        <w:t>七</w:t>
      </w:r>
      <w:r>
        <w:rPr>
          <w:rFonts w:hint="default" w:ascii="Times New Roman" w:hAnsi="Times New Roman" w:eastAsia="仿宋_GB2312" w:cs="Times New Roman"/>
          <w:b w:val="0"/>
          <w:bCs w:val="0"/>
          <w:color w:val="000000"/>
          <w:kern w:val="0"/>
          <w:sz w:val="32"/>
          <w:szCs w:val="32"/>
          <w:shd w:val="clear" w:color="auto" w:fill="auto"/>
        </w:rPr>
        <w:t>）实验室管理系统软件维护费</w:t>
      </w:r>
      <w:r>
        <w:rPr>
          <w:rFonts w:hint="default" w:ascii="Times New Roman" w:hAnsi="Times New Roman" w:eastAsia="仿宋_GB2312" w:cs="Times New Roman"/>
          <w:b w:val="0"/>
          <w:bCs w:val="0"/>
          <w:color w:val="000000"/>
          <w:kern w:val="0"/>
          <w:sz w:val="32"/>
          <w:szCs w:val="32"/>
          <w:shd w:val="clear" w:color="auto" w:fill="auto"/>
          <w:lang w:eastAsia="zh-CN"/>
        </w:rPr>
        <w:t>6</w:t>
      </w:r>
      <w:r>
        <w:rPr>
          <w:rFonts w:hint="default" w:ascii="Times New Roman" w:hAnsi="Times New Roman" w:eastAsia="仿宋_GB2312" w:cs="Times New Roman"/>
          <w:b w:val="0"/>
          <w:bCs w:val="0"/>
          <w:color w:val="000000"/>
          <w:kern w:val="0"/>
          <w:sz w:val="32"/>
          <w:szCs w:val="32"/>
          <w:shd w:val="clear" w:color="auto" w:fill="auto"/>
        </w:rPr>
        <w:t>万元</w:t>
      </w:r>
      <w:r>
        <w:rPr>
          <w:rFonts w:hint="default" w:ascii="Times New Roman" w:hAnsi="Times New Roman" w:eastAsia="仿宋_GB2312" w:cs="Times New Roman"/>
          <w:b w:val="0"/>
          <w:bCs w:val="0"/>
          <w:color w:val="000000"/>
          <w:kern w:val="0"/>
          <w:sz w:val="32"/>
          <w:szCs w:val="32"/>
          <w:shd w:val="clear" w:color="auto" w:fill="auto"/>
          <w:lang w:eastAsia="zh-CN"/>
        </w:rPr>
        <w:t>。</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320" w:firstLineChars="100"/>
        <w:rPr>
          <w:rFonts w:hint="default" w:ascii="Times New Roman" w:hAnsi="Times New Roman" w:eastAsia="仿宋_GB2312" w:cs="Times New Roman"/>
          <w:b w:val="0"/>
          <w:bCs w:val="0"/>
          <w:color w:val="000000"/>
          <w:kern w:val="0"/>
          <w:sz w:val="32"/>
          <w:szCs w:val="32"/>
          <w:shd w:val="clear" w:color="auto" w:fill="auto"/>
          <w:lang w:eastAsia="zh-CN"/>
        </w:rPr>
      </w:pPr>
      <w:r>
        <w:rPr>
          <w:rFonts w:hint="default" w:ascii="Times New Roman" w:hAnsi="Times New Roman" w:eastAsia="仿宋_GB2312" w:cs="Times New Roman"/>
          <w:b w:val="0"/>
          <w:bCs w:val="0"/>
          <w:color w:val="000000"/>
          <w:kern w:val="0"/>
          <w:sz w:val="32"/>
          <w:szCs w:val="32"/>
          <w:shd w:val="clear" w:color="auto" w:fill="auto"/>
          <w:lang w:eastAsia="zh-CN"/>
        </w:rPr>
        <w:t>（</w:t>
      </w:r>
      <w:r>
        <w:rPr>
          <w:rFonts w:hint="eastAsia" w:ascii="Times New Roman" w:hAnsi="Times New Roman" w:eastAsia="仿宋_GB2312" w:cs="Times New Roman"/>
          <w:b w:val="0"/>
          <w:bCs w:val="0"/>
          <w:color w:val="000000"/>
          <w:kern w:val="0"/>
          <w:sz w:val="32"/>
          <w:szCs w:val="32"/>
          <w:shd w:val="clear" w:color="auto" w:fill="auto"/>
          <w:lang w:val="en-US" w:eastAsia="zh-CN"/>
        </w:rPr>
        <w:t>八</w:t>
      </w:r>
      <w:r>
        <w:rPr>
          <w:rFonts w:hint="default" w:ascii="Times New Roman" w:hAnsi="Times New Roman" w:eastAsia="仿宋_GB2312" w:cs="Times New Roman"/>
          <w:b w:val="0"/>
          <w:bCs w:val="0"/>
          <w:color w:val="000000"/>
          <w:kern w:val="0"/>
          <w:sz w:val="32"/>
          <w:szCs w:val="32"/>
          <w:shd w:val="clear" w:color="auto" w:fill="auto"/>
          <w:lang w:eastAsia="zh-CN"/>
        </w:rPr>
        <w:t>）</w:t>
      </w:r>
      <w:r>
        <w:rPr>
          <w:rFonts w:hint="default" w:ascii="Times New Roman" w:hAnsi="Times New Roman" w:eastAsia="仿宋_GB2312" w:cs="Times New Roman"/>
          <w:b w:val="0"/>
          <w:bCs w:val="0"/>
          <w:color w:val="000000"/>
          <w:kern w:val="0"/>
          <w:sz w:val="32"/>
          <w:szCs w:val="32"/>
          <w:shd w:val="clear" w:color="auto" w:fill="auto"/>
        </w:rPr>
        <w:t>仪器设备计量检定15万</w:t>
      </w:r>
      <w:r>
        <w:rPr>
          <w:rFonts w:hint="eastAsia" w:ascii="Times New Roman" w:hAnsi="Times New Roman" w:eastAsia="仿宋_GB2312" w:cs="Times New Roman"/>
          <w:b w:val="0"/>
          <w:bCs w:val="0"/>
          <w:color w:val="000000"/>
          <w:kern w:val="0"/>
          <w:sz w:val="32"/>
          <w:szCs w:val="32"/>
          <w:shd w:val="clear" w:color="auto" w:fill="auto"/>
          <w:lang w:val="en-US" w:eastAsia="zh-CN"/>
        </w:rPr>
        <w:t>元</w:t>
      </w:r>
      <w:r>
        <w:rPr>
          <w:rFonts w:hint="default" w:ascii="Times New Roman" w:hAnsi="Times New Roman" w:eastAsia="仿宋_GB2312" w:cs="Times New Roman"/>
          <w:b w:val="0"/>
          <w:bCs w:val="0"/>
          <w:color w:val="000000"/>
          <w:kern w:val="0"/>
          <w:sz w:val="32"/>
          <w:szCs w:val="32"/>
          <w:shd w:val="clear" w:color="auto" w:fill="auto"/>
          <w:lang w:eastAsia="zh-CN"/>
        </w:rPr>
        <w:t>。</w:t>
      </w:r>
    </w:p>
    <w:p>
      <w:pPr>
        <w:keepNext w:val="0"/>
        <w:keepLines w:val="0"/>
        <w:pageBreakBefore w:val="0"/>
        <w:kinsoku/>
        <w:wordWrap/>
        <w:overflowPunct/>
        <w:topLinePunct w:val="0"/>
        <w:bidi w:val="0"/>
        <w:snapToGrid/>
        <w:spacing w:line="560" w:lineRule="exact"/>
        <w:ind w:firstLine="642"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keepNext w:val="0"/>
        <w:keepLines w:val="0"/>
        <w:pageBreakBefore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1、总体目标</w:t>
      </w:r>
    </w:p>
    <w:p>
      <w:pPr>
        <w:keepNext w:val="0"/>
        <w:keepLines w:val="0"/>
        <w:pageBreakBefore w:val="0"/>
        <w:kinsoku/>
        <w:wordWrap/>
        <w:overflowPunct/>
        <w:topLinePunct w:val="0"/>
        <w:bidi w:val="0"/>
        <w:snapToGrid/>
        <w:spacing w:line="560" w:lineRule="exact"/>
        <w:ind w:firstLine="640" w:firstLineChars="200"/>
        <w:jc w:val="left"/>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val="en-US" w:eastAsia="zh-CN"/>
        </w:rPr>
        <w:t>根据农业农村部及主管部门下达各项工作计划，坚持问题导向，扭住重点环节和问题多发点，按照“双随机一公开”要求，对我区兽药、饲料、畜产品质量进行监测，不留死角，不留盲区，实现检测的全覆盖，为畜牧业高质量发展提供支撑作用。计划对</w:t>
      </w:r>
      <w:r>
        <w:rPr>
          <w:rFonts w:hint="default" w:ascii="Times New Roman" w:hAnsi="Times New Roman" w:eastAsia="仿宋_GB2312" w:cs="Times New Roman"/>
          <w:color w:val="000000"/>
          <w:sz w:val="32"/>
          <w:szCs w:val="32"/>
          <w:lang w:eastAsia="zh-CN"/>
        </w:rPr>
        <w:t>全疆14个地州市兽药、饲料、畜产品质量安全监测工作。涉及生产、经营、使用、养殖、屠宰等环节，协助行政主管部门承担全疆兽药、兽药生产企业GMP及现场审查工作，根据兽用生物制品企业生产需要，完成批签发工作。202</w:t>
      </w:r>
      <w:r>
        <w:rPr>
          <w:rFonts w:hint="eastAsia"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lang w:eastAsia="zh-CN"/>
        </w:rPr>
        <w:t>年计划完成兽药</w:t>
      </w:r>
      <w:r>
        <w:rPr>
          <w:rFonts w:hint="default" w:ascii="Times New Roman" w:hAnsi="Times New Roman" w:eastAsia="仿宋_GB2312" w:cs="Times New Roman"/>
          <w:color w:val="000000"/>
          <w:sz w:val="32"/>
          <w:szCs w:val="32"/>
          <w:lang w:val="en-US" w:eastAsia="zh-CN"/>
        </w:rPr>
        <w:t>监督抽检</w:t>
      </w:r>
      <w:r>
        <w:rPr>
          <w:rFonts w:hint="default" w:ascii="Times New Roman" w:hAnsi="Times New Roman" w:eastAsia="仿宋_GB2312" w:cs="Times New Roman"/>
          <w:color w:val="000000"/>
          <w:sz w:val="32"/>
          <w:szCs w:val="32"/>
          <w:lang w:eastAsia="zh-CN"/>
        </w:rPr>
        <w:t>任务</w:t>
      </w:r>
      <w:r>
        <w:rPr>
          <w:rFonts w:hint="default" w:ascii="Times New Roman" w:hAnsi="Times New Roman" w:eastAsia="仿宋_GB2312" w:cs="Times New Roman"/>
          <w:color w:val="000000"/>
          <w:sz w:val="32"/>
          <w:szCs w:val="32"/>
          <w:lang w:val="en-US" w:eastAsia="zh-CN"/>
        </w:rPr>
        <w:t>6</w:t>
      </w:r>
      <w:r>
        <w:rPr>
          <w:rFonts w:hint="default" w:ascii="Times New Roman" w:hAnsi="Times New Roman" w:eastAsia="仿宋_GB2312" w:cs="Times New Roman"/>
          <w:color w:val="000000"/>
          <w:sz w:val="32"/>
          <w:szCs w:val="32"/>
          <w:lang w:eastAsia="zh-CN"/>
        </w:rPr>
        <w:t>00批次，兽药非法添加物的筛查和风险监测</w:t>
      </w:r>
      <w:r>
        <w:rPr>
          <w:rFonts w:hint="default" w:ascii="Times New Roman" w:hAnsi="Times New Roman" w:eastAsia="仿宋_GB2312" w:cs="Times New Roman"/>
          <w:color w:val="000000"/>
          <w:sz w:val="32"/>
          <w:szCs w:val="32"/>
          <w:lang w:val="en-US" w:eastAsia="zh-CN"/>
        </w:rPr>
        <w:t>200批次；</w:t>
      </w:r>
      <w:r>
        <w:rPr>
          <w:rFonts w:hint="default" w:ascii="Times New Roman" w:hAnsi="Times New Roman" w:eastAsia="仿宋_GB2312" w:cs="Times New Roman"/>
          <w:color w:val="000000"/>
          <w:sz w:val="32"/>
          <w:szCs w:val="32"/>
          <w:lang w:eastAsia="zh-CN"/>
        </w:rPr>
        <w:t>动物源细菌耐药性监测工作200批次，饲料质量</w:t>
      </w:r>
      <w:r>
        <w:rPr>
          <w:rFonts w:hint="default" w:ascii="Times New Roman" w:hAnsi="Times New Roman" w:eastAsia="仿宋_GB2312" w:cs="Times New Roman"/>
          <w:color w:val="000000"/>
          <w:sz w:val="32"/>
          <w:szCs w:val="32"/>
          <w:lang w:val="en-US" w:eastAsia="zh-CN"/>
        </w:rPr>
        <w:t>安全</w:t>
      </w:r>
      <w:r>
        <w:rPr>
          <w:rFonts w:hint="default" w:ascii="Times New Roman" w:hAnsi="Times New Roman" w:eastAsia="仿宋_GB2312" w:cs="Times New Roman"/>
          <w:color w:val="000000"/>
          <w:sz w:val="32"/>
          <w:szCs w:val="32"/>
          <w:lang w:eastAsia="zh-CN"/>
        </w:rPr>
        <w:t>监测任务</w:t>
      </w:r>
      <w:r>
        <w:rPr>
          <w:rFonts w:hint="default" w:ascii="Times New Roman" w:hAnsi="Times New Roman" w:eastAsia="仿宋_GB2312" w:cs="Times New Roman"/>
          <w:color w:val="000000"/>
          <w:sz w:val="32"/>
          <w:szCs w:val="32"/>
          <w:lang w:val="en-US" w:eastAsia="zh-CN"/>
        </w:rPr>
        <w:t>400</w:t>
      </w:r>
      <w:r>
        <w:rPr>
          <w:rFonts w:hint="default" w:ascii="Times New Roman" w:hAnsi="Times New Roman" w:eastAsia="仿宋_GB2312" w:cs="Times New Roman"/>
          <w:color w:val="000000"/>
          <w:sz w:val="32"/>
          <w:szCs w:val="32"/>
          <w:lang w:eastAsia="zh-CN"/>
        </w:rPr>
        <w:t>批次</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eastAsia="zh-CN"/>
        </w:rPr>
        <w:t>畜产品质量安全监测1</w:t>
      </w:r>
      <w:r>
        <w:rPr>
          <w:rFonts w:hint="default" w:ascii="Times New Roman" w:hAnsi="Times New Roman" w:eastAsia="仿宋_GB2312" w:cs="Times New Roman"/>
          <w:color w:val="000000"/>
          <w:sz w:val="32"/>
          <w:szCs w:val="32"/>
          <w:lang w:val="en-US" w:eastAsia="zh-CN"/>
        </w:rPr>
        <w:t>0</w:t>
      </w:r>
      <w:r>
        <w:rPr>
          <w:rFonts w:hint="default" w:ascii="Times New Roman" w:hAnsi="Times New Roman" w:eastAsia="仿宋_GB2312" w:cs="Times New Roman"/>
          <w:color w:val="000000"/>
          <w:sz w:val="32"/>
          <w:szCs w:val="32"/>
          <w:lang w:eastAsia="zh-CN"/>
        </w:rPr>
        <w:t>00批次，</w:t>
      </w:r>
      <w:r>
        <w:rPr>
          <w:rFonts w:hint="default" w:ascii="Times New Roman" w:hAnsi="Times New Roman" w:eastAsia="仿宋_GB2312" w:cs="Times New Roman"/>
          <w:color w:val="000000"/>
          <w:sz w:val="32"/>
          <w:szCs w:val="32"/>
          <w:lang w:val="en-US" w:eastAsia="zh-CN"/>
        </w:rPr>
        <w:t>兽药</w:t>
      </w:r>
      <w:r>
        <w:rPr>
          <w:rFonts w:hint="default" w:ascii="Times New Roman" w:hAnsi="Times New Roman" w:eastAsia="仿宋_GB2312" w:cs="Times New Roman"/>
          <w:color w:val="000000"/>
          <w:sz w:val="32"/>
          <w:szCs w:val="32"/>
          <w:lang w:eastAsia="zh-CN"/>
        </w:rPr>
        <w:t>残留监控</w:t>
      </w:r>
      <w:r>
        <w:rPr>
          <w:rFonts w:hint="default"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lang w:eastAsia="zh-CN"/>
        </w:rPr>
        <w:t>00批次。</w:t>
      </w:r>
    </w:p>
    <w:p>
      <w:pPr>
        <w:keepNext w:val="0"/>
        <w:keepLines w:val="0"/>
        <w:pageBreakBefore w:val="0"/>
        <w:kinsoku/>
        <w:wordWrap/>
        <w:overflowPunct/>
        <w:topLinePunct w:val="0"/>
        <w:bidi w:val="0"/>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sz w:val="32"/>
          <w:szCs w:val="32"/>
        </w:rPr>
        <w:t>2、阶段性目标</w:t>
      </w:r>
    </w:p>
    <w:p>
      <w:pPr>
        <w:keepNext w:val="0"/>
        <w:keepLines w:val="0"/>
        <w:pageBreakBefore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（1）前期准备：</w:t>
      </w:r>
    </w:p>
    <w:p>
      <w:pPr>
        <w:keepNext w:val="0"/>
        <w:keepLines w:val="0"/>
        <w:pageBreakBefore w:val="0"/>
        <w:kinsoku/>
        <w:wordWrap/>
        <w:overflowPunct/>
        <w:topLinePunct w:val="0"/>
        <w:bidi w:val="0"/>
        <w:snapToGrid/>
        <w:spacing w:line="560" w:lineRule="exact"/>
        <w:ind w:firstLine="640" w:firstLineChars="200"/>
        <w:jc w:val="left"/>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严格按照</w:t>
      </w:r>
      <w:r>
        <w:rPr>
          <w:rFonts w:hint="default" w:ascii="Times New Roman" w:hAnsi="Times New Roman" w:eastAsia="仿宋_GB2312" w:cs="Times New Roman"/>
          <w:b w:val="0"/>
          <w:bCs w:val="0"/>
          <w:sz w:val="32"/>
          <w:szCs w:val="32"/>
          <w:lang w:val="en-US" w:eastAsia="zh-CN"/>
        </w:rPr>
        <w:t>《新疆维吾尔自治区</w:t>
      </w:r>
      <w:r>
        <w:rPr>
          <w:rFonts w:hint="eastAsia" w:eastAsia="仿宋_GB2312" w:cs="Times New Roman"/>
          <w:b w:val="0"/>
          <w:bCs w:val="0"/>
          <w:sz w:val="32"/>
          <w:szCs w:val="32"/>
          <w:lang w:val="en-US" w:eastAsia="zh-CN"/>
        </w:rPr>
        <w:t>农业农村厅</w:t>
      </w:r>
      <w:r>
        <w:rPr>
          <w:rFonts w:hint="default" w:ascii="Times New Roman" w:hAnsi="Times New Roman" w:eastAsia="仿宋_GB2312" w:cs="Times New Roman"/>
          <w:b w:val="0"/>
          <w:bCs w:val="0"/>
          <w:sz w:val="32"/>
          <w:szCs w:val="32"/>
          <w:lang w:val="en-US" w:eastAsia="zh-CN"/>
        </w:rPr>
        <w:t>关于印发&lt;202</w:t>
      </w:r>
      <w:r>
        <w:rPr>
          <w:rFonts w:hint="eastAsia" w:eastAsia="仿宋_GB2312" w:cs="Times New Roman"/>
          <w:b w:val="0"/>
          <w:bCs w:val="0"/>
          <w:sz w:val="32"/>
          <w:szCs w:val="32"/>
          <w:lang w:val="en-US" w:eastAsia="zh-CN"/>
        </w:rPr>
        <w:t>4</w:t>
      </w:r>
      <w:r>
        <w:rPr>
          <w:rFonts w:hint="default" w:ascii="Times New Roman" w:hAnsi="Times New Roman" w:eastAsia="仿宋_GB2312" w:cs="Times New Roman"/>
          <w:b w:val="0"/>
          <w:bCs w:val="0"/>
          <w:sz w:val="32"/>
          <w:szCs w:val="32"/>
          <w:lang w:val="en-US" w:eastAsia="zh-CN"/>
        </w:rPr>
        <w:t>年自治区畜产品质量安全</w:t>
      </w:r>
      <w:r>
        <w:rPr>
          <w:rFonts w:hint="eastAsia" w:eastAsia="仿宋_GB2312" w:cs="Times New Roman"/>
          <w:b w:val="0"/>
          <w:bCs w:val="0"/>
          <w:sz w:val="32"/>
          <w:szCs w:val="32"/>
          <w:lang w:val="en-US" w:eastAsia="zh-CN"/>
        </w:rPr>
        <w:t>风险</w:t>
      </w:r>
      <w:r>
        <w:rPr>
          <w:rFonts w:hint="default" w:ascii="Times New Roman" w:hAnsi="Times New Roman" w:eastAsia="仿宋_GB2312" w:cs="Times New Roman"/>
          <w:b w:val="0"/>
          <w:bCs w:val="0"/>
          <w:sz w:val="32"/>
          <w:szCs w:val="32"/>
          <w:lang w:val="en-US" w:eastAsia="zh-CN"/>
        </w:rPr>
        <w:t>监测&gt;的通知》（</w:t>
      </w:r>
      <w:r>
        <w:rPr>
          <w:rFonts w:hint="default" w:ascii="Times New Roman" w:hAnsi="Times New Roman" w:eastAsia="仿宋" w:cs="Times New Roman"/>
          <w:b w:val="0"/>
          <w:bCs w:val="0"/>
          <w:sz w:val="32"/>
          <w:szCs w:val="32"/>
          <w:lang w:val="en-US" w:eastAsia="zh-CN"/>
        </w:rPr>
        <w:t>新</w:t>
      </w:r>
      <w:r>
        <w:rPr>
          <w:rFonts w:hint="eastAsia" w:eastAsia="仿宋" w:cs="Times New Roman"/>
          <w:b w:val="0"/>
          <w:bCs w:val="0"/>
          <w:sz w:val="32"/>
          <w:szCs w:val="32"/>
          <w:lang w:val="en-US" w:eastAsia="zh-CN"/>
        </w:rPr>
        <w:t>农办</w:t>
      </w:r>
      <w:r>
        <w:rPr>
          <w:rFonts w:hint="default" w:ascii="Times New Roman" w:hAnsi="Times New Roman" w:eastAsia="仿宋" w:cs="Times New Roman"/>
          <w:b w:val="0"/>
          <w:bCs w:val="0"/>
          <w:sz w:val="32"/>
          <w:szCs w:val="32"/>
          <w:lang w:val="en-US" w:eastAsia="zh-CN"/>
        </w:rPr>
        <w:t>牧〔202</w:t>
      </w:r>
      <w:r>
        <w:rPr>
          <w:rFonts w:hint="eastAsia" w:eastAsia="仿宋" w:cs="Times New Roman"/>
          <w:b w:val="0"/>
          <w:bCs w:val="0"/>
          <w:sz w:val="32"/>
          <w:szCs w:val="32"/>
          <w:lang w:val="en-US" w:eastAsia="zh-CN"/>
        </w:rPr>
        <w:t>4</w:t>
      </w:r>
      <w:r>
        <w:rPr>
          <w:rFonts w:hint="default" w:ascii="Times New Roman" w:hAnsi="Times New Roman" w:eastAsia="仿宋" w:cs="Times New Roman"/>
          <w:b w:val="0"/>
          <w:bCs w:val="0"/>
          <w:sz w:val="32"/>
          <w:szCs w:val="32"/>
          <w:lang w:val="en-US" w:eastAsia="zh-CN"/>
        </w:rPr>
        <w:t>〕</w:t>
      </w:r>
      <w:r>
        <w:rPr>
          <w:rFonts w:hint="eastAsia" w:eastAsia="仿宋" w:cs="Times New Roman"/>
          <w:b w:val="0"/>
          <w:bCs w:val="0"/>
          <w:sz w:val="32"/>
          <w:szCs w:val="32"/>
          <w:lang w:val="en-US" w:eastAsia="zh-CN"/>
        </w:rPr>
        <w:t>16</w:t>
      </w:r>
      <w:r>
        <w:rPr>
          <w:rFonts w:hint="default" w:ascii="Times New Roman" w:hAnsi="Times New Roman" w:eastAsia="仿宋" w:cs="Times New Roman"/>
          <w:b w:val="0"/>
          <w:bCs w:val="0"/>
          <w:sz w:val="32"/>
          <w:szCs w:val="32"/>
          <w:lang w:val="en-US" w:eastAsia="zh-CN"/>
        </w:rPr>
        <w:t>号）、</w:t>
      </w:r>
      <w:r>
        <w:rPr>
          <w:rFonts w:hint="default" w:ascii="Times New Roman" w:hAnsi="Times New Roman" w:eastAsia="仿宋_GB2312" w:cs="Times New Roman"/>
          <w:b w:val="0"/>
          <w:i w:val="0"/>
          <w:caps w:val="0"/>
          <w:color w:val="000000" w:themeColor="text1"/>
          <w:spacing w:val="0"/>
          <w:w w:val="100"/>
          <w:sz w:val="32"/>
          <w:szCs w:val="32"/>
          <w:lang w:val="en-US" w:eastAsia="zh-CN"/>
          <w14:textFill>
            <w14:solidFill>
              <w14:schemeClr w14:val="tx1"/>
            </w14:solidFill>
          </w14:textFill>
        </w:rPr>
        <w:t>《新疆维吾尔自治区畜牧兽医局关于印发&lt;202</w:t>
      </w:r>
      <w:r>
        <w:rPr>
          <w:rFonts w:hint="eastAsia" w:eastAsia="仿宋_GB2312" w:cs="Times New Roman"/>
          <w:b w:val="0"/>
          <w:i w:val="0"/>
          <w:caps w:val="0"/>
          <w:color w:val="000000" w:themeColor="text1"/>
          <w:spacing w:val="0"/>
          <w:w w:val="100"/>
          <w:sz w:val="32"/>
          <w:szCs w:val="32"/>
          <w:lang w:val="en-US" w:eastAsia="zh-CN"/>
          <w14:textFill>
            <w14:solidFill>
              <w14:schemeClr w14:val="tx1"/>
            </w14:solidFill>
          </w14:textFill>
        </w:rPr>
        <w:t>4</w:t>
      </w:r>
      <w:r>
        <w:rPr>
          <w:rFonts w:hint="default" w:ascii="Times New Roman" w:hAnsi="Times New Roman" w:eastAsia="仿宋_GB2312" w:cs="Times New Roman"/>
          <w:b w:val="0"/>
          <w:i w:val="0"/>
          <w:caps w:val="0"/>
          <w:color w:val="000000" w:themeColor="text1"/>
          <w:spacing w:val="0"/>
          <w:w w:val="100"/>
          <w:sz w:val="32"/>
          <w:szCs w:val="32"/>
          <w:lang w:val="en-US" w:eastAsia="zh-CN"/>
          <w14:textFill>
            <w14:solidFill>
              <w14:schemeClr w14:val="tx1"/>
            </w14:solidFill>
          </w14:textFill>
        </w:rPr>
        <w:t>年自治区饲料质量安全监管工作方案&gt;的通知》（新牧饲字〔202</w:t>
      </w:r>
      <w:r>
        <w:rPr>
          <w:rFonts w:hint="eastAsia" w:eastAsia="仿宋_GB2312" w:cs="Times New Roman"/>
          <w:b w:val="0"/>
          <w:i w:val="0"/>
          <w:caps w:val="0"/>
          <w:color w:val="000000" w:themeColor="text1"/>
          <w:spacing w:val="0"/>
          <w:w w:val="100"/>
          <w:sz w:val="32"/>
          <w:szCs w:val="32"/>
          <w:lang w:val="en-US" w:eastAsia="zh-CN"/>
          <w14:textFill>
            <w14:solidFill>
              <w14:schemeClr w14:val="tx1"/>
            </w14:solidFill>
          </w14:textFill>
        </w:rPr>
        <w:t>4</w:t>
      </w:r>
      <w:r>
        <w:rPr>
          <w:rFonts w:hint="default" w:ascii="Times New Roman" w:hAnsi="Times New Roman" w:eastAsia="仿宋_GB2312" w:cs="Times New Roman"/>
          <w:b w:val="0"/>
          <w:i w:val="0"/>
          <w:caps w:val="0"/>
          <w:color w:val="000000" w:themeColor="text1"/>
          <w:spacing w:val="0"/>
          <w:w w:val="100"/>
          <w:sz w:val="32"/>
          <w:szCs w:val="32"/>
          <w:lang w:val="en-US" w:eastAsia="zh-CN"/>
          <w14:textFill>
            <w14:solidFill>
              <w14:schemeClr w14:val="tx1"/>
            </w14:solidFill>
          </w14:textFill>
        </w:rPr>
        <w:t>〕1号）、</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b w:val="0"/>
          <w:i w:val="0"/>
          <w:caps w:val="0"/>
          <w:color w:val="000000" w:themeColor="text1"/>
          <w:spacing w:val="0"/>
          <w:w w:val="100"/>
          <w:sz w:val="32"/>
          <w:szCs w:val="32"/>
          <w:lang w:val="en-US" w:eastAsia="zh-CN"/>
          <w14:textFill>
            <w14:solidFill>
              <w14:schemeClr w14:val="tx1"/>
            </w14:solidFill>
          </w14:textFill>
        </w:rPr>
        <w:t>新疆维吾尔</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自治区</w:t>
      </w:r>
      <w:r>
        <w:rPr>
          <w:rFonts w:hint="eastAsia" w:eastAsia="仿宋_GB2312" w:cs="Times New Roman"/>
          <w:color w:val="000000" w:themeColor="text1"/>
          <w:sz w:val="32"/>
          <w:szCs w:val="32"/>
          <w:lang w:val="en-US" w:eastAsia="zh-CN"/>
          <w14:textFill>
            <w14:solidFill>
              <w14:schemeClr w14:val="tx1"/>
            </w14:solidFill>
          </w14:textFill>
        </w:rPr>
        <w:t>农业农村厅</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关于印发＜202</w:t>
      </w:r>
      <w:r>
        <w:rPr>
          <w:rFonts w:hint="eastAsia" w:eastAsia="仿宋_GB2312" w:cs="Times New Roman"/>
          <w:color w:val="000000" w:themeColor="text1"/>
          <w:sz w:val="32"/>
          <w:szCs w:val="32"/>
          <w:lang w:val="en-US" w:eastAsia="zh-CN"/>
          <w14:textFill>
            <w14:solidFill>
              <w14:schemeClr w14:val="tx1"/>
            </w14:solidFill>
          </w14:textFill>
        </w:rPr>
        <w:t>4</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年自治区兽药质量监督抽检和风险监测等3个</w:t>
      </w:r>
      <w:r>
        <w:rPr>
          <w:rFonts w:hint="eastAsia" w:eastAsia="仿宋_GB2312" w:cs="Times New Roman"/>
          <w:color w:val="000000" w:themeColor="text1"/>
          <w:sz w:val="32"/>
          <w:szCs w:val="32"/>
          <w:lang w:val="en-US" w:eastAsia="zh-CN"/>
          <w14:textFill>
            <w14:solidFill>
              <w14:schemeClr w14:val="tx1"/>
            </w14:solidFill>
          </w14:textFill>
        </w:rPr>
        <w:t>工作</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计划＞的通知》</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新</w:t>
      </w:r>
      <w:r>
        <w:rPr>
          <w:rFonts w:hint="eastAsia" w:eastAsia="仿宋_GB2312" w:cs="Times New Roman"/>
          <w:color w:val="000000" w:themeColor="text1"/>
          <w:sz w:val="32"/>
          <w:szCs w:val="32"/>
          <w:lang w:val="en-US" w:eastAsia="zh-CN"/>
          <w14:textFill>
            <w14:solidFill>
              <w14:schemeClr w14:val="tx1"/>
            </w14:solidFill>
          </w14:textFill>
        </w:rPr>
        <w:t>农办牧</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〔202</w:t>
      </w:r>
      <w:r>
        <w:rPr>
          <w:rFonts w:hint="eastAsia" w:eastAsia="仿宋_GB2312" w:cs="Times New Roman"/>
          <w:color w:val="000000" w:themeColor="text1"/>
          <w:sz w:val="32"/>
          <w:szCs w:val="32"/>
          <w:lang w:val="en-US" w:eastAsia="zh-CN"/>
          <w14:textFill>
            <w14:solidFill>
              <w14:schemeClr w14:val="tx1"/>
            </w14:solidFill>
          </w14:textFill>
        </w:rPr>
        <w:t>4</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eastAsia" w:eastAsia="仿宋_GB2312" w:cs="Times New Roman"/>
          <w:color w:val="000000" w:themeColor="text1"/>
          <w:sz w:val="32"/>
          <w:szCs w:val="32"/>
          <w:lang w:val="en-US" w:eastAsia="zh-CN"/>
          <w14:textFill>
            <w14:solidFill>
              <w14:schemeClr w14:val="tx1"/>
            </w14:solidFill>
          </w14:textFill>
        </w:rPr>
        <w:t>19</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号</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sz w:val="32"/>
          <w:szCs w:val="32"/>
          <w:lang w:val="en-US" w:eastAsia="zh-CN"/>
        </w:rPr>
        <w:t>文件</w:t>
      </w:r>
      <w:r>
        <w:rPr>
          <w:rFonts w:hint="default" w:ascii="Times New Roman" w:hAnsi="Times New Roman" w:eastAsia="仿宋_GB2312" w:cs="Times New Roman"/>
          <w:color w:val="000000"/>
          <w:sz w:val="32"/>
          <w:szCs w:val="32"/>
          <w:lang w:val="en-US" w:eastAsia="zh-CN"/>
        </w:rPr>
        <w:t>要求</w:t>
      </w:r>
      <w:r>
        <w:rPr>
          <w:rFonts w:hint="default" w:ascii="Times New Roman" w:hAnsi="Times New Roman" w:eastAsia="仿宋_GB2312" w:cs="Times New Roman"/>
          <w:color w:val="000000"/>
          <w:sz w:val="32"/>
          <w:szCs w:val="32"/>
          <w:lang w:eastAsia="zh-CN"/>
        </w:rPr>
        <w:t>，按照资金补助项目要求，成立项目实施领导小组，做出全年详细工作计划和具体的实施方案。</w:t>
      </w:r>
    </w:p>
    <w:p>
      <w:pPr>
        <w:keepNext w:val="0"/>
        <w:keepLines w:val="0"/>
        <w:pageBreakBefore w:val="0"/>
        <w:numPr>
          <w:ilvl w:val="0"/>
          <w:numId w:val="0"/>
        </w:numPr>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组织实施：</w:t>
      </w:r>
    </w:p>
    <w:p>
      <w:pPr>
        <w:keepNext w:val="0"/>
        <w:keepLines w:val="0"/>
        <w:pageBreakBefore w:val="0"/>
        <w:numPr>
          <w:ilvl w:val="0"/>
          <w:numId w:val="0"/>
        </w:numPr>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资金一到位，立即根据项目要求实施项目。项目责任人按照项目实施方案要求逐一进行项目部署安排，提高项目质量及效率性。</w:t>
      </w:r>
    </w:p>
    <w:p>
      <w:pPr>
        <w:keepNext w:val="0"/>
        <w:keepLines w:val="0"/>
        <w:pageBreakBefore w:val="0"/>
        <w:widowControl/>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我所认真组织开展整体绩效管理工作。成立了以所主要领导带队，</w:t>
      </w:r>
      <w:r>
        <w:rPr>
          <w:rFonts w:hint="default" w:ascii="Times New Roman" w:hAnsi="Times New Roman" w:eastAsia="仿宋_GB2312" w:cs="Times New Roman"/>
          <w:kern w:val="0"/>
          <w:sz w:val="32"/>
          <w:szCs w:val="32"/>
        </w:rPr>
        <w:t>财务科牵头，</w:t>
      </w:r>
      <w:r>
        <w:rPr>
          <w:rFonts w:hint="default" w:ascii="Times New Roman" w:hAnsi="Times New Roman" w:eastAsia="仿宋_GB2312" w:cs="Times New Roman"/>
          <w:kern w:val="0"/>
          <w:sz w:val="32"/>
          <w:szCs w:val="32"/>
          <w:lang w:val="en-US" w:eastAsia="zh-CN"/>
        </w:rPr>
        <w:t>业务室</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kern w:val="0"/>
          <w:sz w:val="32"/>
          <w:szCs w:val="32"/>
          <w:lang w:val="en-US" w:eastAsia="zh-CN"/>
        </w:rPr>
        <w:t>食品安全评价室</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kern w:val="0"/>
          <w:sz w:val="32"/>
          <w:szCs w:val="32"/>
          <w:lang w:val="en-US" w:eastAsia="zh-CN"/>
        </w:rPr>
        <w:t>化药室</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kern w:val="0"/>
          <w:sz w:val="32"/>
          <w:szCs w:val="32"/>
          <w:lang w:val="en-US" w:eastAsia="zh-CN"/>
        </w:rPr>
        <w:t>饲料室</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kern w:val="0"/>
          <w:sz w:val="32"/>
          <w:szCs w:val="32"/>
          <w:lang w:val="en-US" w:eastAsia="zh-CN"/>
        </w:rPr>
        <w:t>抗生素室</w:t>
      </w:r>
      <w:r>
        <w:rPr>
          <w:rFonts w:hint="default" w:ascii="Times New Roman" w:hAnsi="Times New Roman" w:eastAsia="仿宋_GB2312" w:cs="Times New Roman"/>
          <w:kern w:val="0"/>
          <w:sz w:val="32"/>
          <w:szCs w:val="32"/>
        </w:rPr>
        <w:t>等</w:t>
      </w:r>
      <w:r>
        <w:rPr>
          <w:rFonts w:hint="default" w:ascii="Times New Roman" w:hAnsi="Times New Roman" w:eastAsia="仿宋_GB2312" w:cs="Times New Roman"/>
          <w:kern w:val="0"/>
          <w:sz w:val="32"/>
          <w:szCs w:val="32"/>
          <w:lang w:val="en-US" w:eastAsia="zh-CN"/>
        </w:rPr>
        <w:t>科室</w:t>
      </w:r>
      <w:r>
        <w:rPr>
          <w:rFonts w:hint="default" w:ascii="Times New Roman" w:hAnsi="Times New Roman" w:eastAsia="仿宋_GB2312" w:cs="Times New Roman"/>
          <w:kern w:val="0"/>
          <w:sz w:val="32"/>
          <w:szCs w:val="32"/>
        </w:rPr>
        <w:t>组成的工作组，完成绩效监控工作。</w:t>
      </w:r>
    </w:p>
    <w:p>
      <w:pPr>
        <w:keepNext w:val="0"/>
        <w:keepLines w:val="0"/>
        <w:pageBreakBefore w:val="0"/>
        <w:widowControl/>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财务科主要负责预算资金的批复</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核实，合同票据的真实性审核，付款进度的监控。各科室负责业务的真实性，结合中长期规划和年度工作计划明确年度主要工作</w:t>
      </w:r>
      <w:r>
        <w:rPr>
          <w:rFonts w:hint="default" w:ascii="Times New Roman" w:hAnsi="Times New Roman" w:eastAsia="仿宋_GB2312" w:cs="Times New Roman"/>
          <w:color w:val="000000"/>
          <w:kern w:val="0"/>
          <w:sz w:val="32"/>
          <w:szCs w:val="32"/>
          <w:lang w:val="en-US" w:eastAsia="zh-CN"/>
        </w:rPr>
        <w:t>任务</w:t>
      </w:r>
      <w:r>
        <w:rPr>
          <w:rFonts w:hint="default" w:ascii="Times New Roman" w:hAnsi="Times New Roman" w:eastAsia="仿宋_GB2312" w:cs="Times New Roman"/>
          <w:color w:val="000000"/>
          <w:kern w:val="0"/>
          <w:sz w:val="32"/>
          <w:szCs w:val="32"/>
        </w:rPr>
        <w:t>，</w:t>
      </w:r>
      <w:r>
        <w:rPr>
          <w:rFonts w:hint="default" w:ascii="Times New Roman" w:hAnsi="Times New Roman" w:eastAsia="仿宋_GB2312" w:cs="Times New Roman"/>
          <w:color w:val="000000"/>
          <w:kern w:val="0"/>
          <w:sz w:val="32"/>
          <w:szCs w:val="32"/>
          <w:lang w:eastAsia="zh-CN"/>
        </w:rPr>
        <w:t>完成</w:t>
      </w:r>
      <w:r>
        <w:rPr>
          <w:rFonts w:hint="default" w:ascii="Times New Roman" w:hAnsi="Times New Roman" w:eastAsia="仿宋_GB2312" w:cs="Times New Roman"/>
          <w:color w:val="000000"/>
          <w:kern w:val="0"/>
          <w:sz w:val="32"/>
          <w:szCs w:val="32"/>
        </w:rPr>
        <w:t>本年度内所要达到的总体产出和效果。</w:t>
      </w:r>
    </w:p>
    <w:p>
      <w:pPr>
        <w:pStyle w:val="18"/>
        <w:keepNext w:val="0"/>
        <w:keepLines w:val="0"/>
        <w:pageBreakBefore w:val="0"/>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color w:val="000000"/>
          <w:kern w:val="0"/>
          <w:sz w:val="32"/>
          <w:szCs w:val="32"/>
          <w:lang w:eastAsia="zh-CN"/>
        </w:rPr>
      </w:pPr>
      <w:r>
        <w:rPr>
          <w:rFonts w:hint="default" w:ascii="Times New Roman" w:hAnsi="Times New Roman" w:eastAsia="仿宋_GB2312" w:cs="Times New Roman"/>
          <w:color w:val="000000"/>
          <w:kern w:val="0"/>
          <w:sz w:val="32"/>
          <w:szCs w:val="32"/>
          <w:lang w:eastAsia="zh-CN"/>
        </w:rPr>
        <w:t>标准品、仪器、耗材的购买都严格按照招投标或在政采云</w:t>
      </w:r>
    </w:p>
    <w:p>
      <w:pPr>
        <w:pStyle w:val="18"/>
        <w:keepNext w:val="0"/>
        <w:keepLines w:val="0"/>
        <w:pageBreakBefore w:val="0"/>
        <w:kinsoku/>
        <w:wordWrap/>
        <w:overflowPunct/>
        <w:topLinePunct w:val="0"/>
        <w:bidi w:val="0"/>
        <w:snapToGrid/>
        <w:spacing w:line="560" w:lineRule="exact"/>
        <w:ind w:left="0" w:leftChars="0" w:firstLine="0" w:firstLineChars="0"/>
        <w:textAlignment w:val="auto"/>
        <w:rPr>
          <w:rFonts w:hint="default" w:ascii="Times New Roman" w:hAnsi="Times New Roman" w:eastAsia="仿宋_GB2312" w:cs="Times New Roman"/>
          <w:color w:val="000000"/>
          <w:kern w:val="0"/>
          <w:sz w:val="32"/>
          <w:szCs w:val="32"/>
          <w:lang w:eastAsia="zh-CN"/>
        </w:rPr>
      </w:pPr>
      <w:r>
        <w:rPr>
          <w:rFonts w:hint="default" w:ascii="Times New Roman" w:hAnsi="Times New Roman" w:eastAsia="仿宋_GB2312" w:cs="Times New Roman"/>
          <w:color w:val="000000"/>
          <w:kern w:val="0"/>
          <w:sz w:val="32"/>
          <w:szCs w:val="32"/>
          <w:lang w:eastAsia="zh-CN"/>
        </w:rPr>
        <w:t>上采购，严格执行相关要求。</w:t>
      </w:r>
    </w:p>
    <w:p>
      <w:pPr>
        <w:keepNext w:val="0"/>
        <w:keepLines w:val="0"/>
        <w:pageBreakBefore w:val="0"/>
        <w:kinsoku/>
        <w:wordWrap/>
        <w:overflowPunct/>
        <w:topLinePunct w:val="0"/>
        <w:bidi w:val="0"/>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keepNext w:val="0"/>
        <w:keepLines w:val="0"/>
        <w:pageBreakBefore w:val="0"/>
        <w:kinsoku/>
        <w:wordWrap/>
        <w:overflowPunct/>
        <w:topLinePunct w:val="0"/>
        <w:bidi w:val="0"/>
        <w:snapToGrid/>
        <w:spacing w:line="560" w:lineRule="exact"/>
        <w:ind w:firstLine="642"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9"/>
        <w:keepNext w:val="0"/>
        <w:keepLines w:val="0"/>
        <w:pageBreakBefore w:val="0"/>
        <w:widowControl w:val="0"/>
        <w:kinsoku/>
        <w:wordWrap/>
        <w:overflowPunct/>
        <w:topLinePunct w:val="0"/>
        <w:bidi w:val="0"/>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1、绩效评价的目的</w:t>
      </w:r>
    </w:p>
    <w:p>
      <w:pPr>
        <w:keepNext w:val="0"/>
        <w:keepLines w:val="0"/>
        <w:pageBreakBefore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keepNext w:val="0"/>
        <w:keepLines w:val="0"/>
        <w:pageBreakBefore w:val="0"/>
        <w:numPr>
          <w:ilvl w:val="0"/>
          <w:numId w:val="2"/>
        </w:numPr>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项目在实施前向项目负责人提供财政支出绩效方面的资金管理信息，促进项目支出严格按照资金管理规定进行。</w:t>
      </w:r>
    </w:p>
    <w:p>
      <w:pPr>
        <w:keepNext w:val="0"/>
        <w:keepLines w:val="0"/>
        <w:pageBreakBefore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（2）项目绩效管理财政支出运行提供及时、有效的信息。</w:t>
      </w:r>
    </w:p>
    <w:p>
      <w:pPr>
        <w:keepNext w:val="0"/>
        <w:keepLines w:val="0"/>
        <w:pageBreakBefore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综合来看，通过开展有效的财政支出绩效评价管理，达到改进预算管理、控制节约成本，提高预算资金使用效益的目的。</w:t>
      </w:r>
    </w:p>
    <w:p>
      <w:pPr>
        <w:pStyle w:val="19"/>
        <w:keepNext w:val="0"/>
        <w:keepLines w:val="0"/>
        <w:pageBreakBefore w:val="0"/>
        <w:widowControl w:val="0"/>
        <w:kinsoku/>
        <w:wordWrap/>
        <w:overflowPunct/>
        <w:topLinePunct w:val="0"/>
        <w:bidi w:val="0"/>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2、绩效评价的对象</w:t>
      </w:r>
    </w:p>
    <w:p>
      <w:pPr>
        <w:pStyle w:val="19"/>
        <w:keepNext w:val="0"/>
        <w:keepLines w:val="0"/>
        <w:pageBreakBefore w:val="0"/>
        <w:widowControl w:val="0"/>
        <w:kinsoku/>
        <w:wordWrap/>
        <w:overflowPunct/>
        <w:topLinePunct w:val="0"/>
        <w:bidi w:val="0"/>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自治区畜牧业生产发展资金（兽药饲料检验项目、畜产品质量安全监测）项目</w:t>
      </w:r>
      <w:r>
        <w:rPr>
          <w:rFonts w:hint="default" w:ascii="Times New Roman" w:hAnsi="Times New Roman" w:eastAsia="仿宋_GB2312" w:cs="Times New Roman"/>
          <w:b w:val="0"/>
          <w:bCs w:val="0"/>
        </w:rPr>
        <w:t>开展全疆14个地</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州</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市</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畜产品质量安全监测、饲料质量安全监测、兽药质量</w:t>
      </w:r>
      <w:r>
        <w:rPr>
          <w:rFonts w:hint="default" w:ascii="Times New Roman" w:hAnsi="Times New Roman" w:eastAsia="仿宋_GB2312" w:cs="Times New Roman"/>
          <w:b w:val="0"/>
          <w:bCs w:val="0"/>
          <w:lang w:val="en-US" w:eastAsia="zh-CN"/>
        </w:rPr>
        <w:t>安全</w:t>
      </w:r>
      <w:r>
        <w:rPr>
          <w:rFonts w:hint="default" w:ascii="Times New Roman" w:hAnsi="Times New Roman" w:eastAsia="仿宋_GB2312" w:cs="Times New Roman"/>
          <w:b w:val="0"/>
          <w:bCs w:val="0"/>
        </w:rPr>
        <w:t>监测</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动物源细菌耐药性监测等工作</w:t>
      </w:r>
      <w:r>
        <w:rPr>
          <w:rFonts w:hint="default" w:ascii="Times New Roman" w:hAnsi="Times New Roman" w:eastAsia="仿宋_GB2312" w:cs="Times New Roman"/>
          <w:b w:val="0"/>
          <w:bCs w:val="0"/>
        </w:rPr>
        <w:t>。涉及生产、经营、使用、养殖、屠宰等环节，同时开展兽药生产企业GMP验收、兽药二维码检查、畜产品检疫证号检查、兽用生物制品批签发等工作。</w:t>
      </w:r>
    </w:p>
    <w:p>
      <w:pPr>
        <w:pStyle w:val="19"/>
        <w:keepNext w:val="0"/>
        <w:keepLines w:val="0"/>
        <w:pageBreakBefore w:val="0"/>
        <w:widowControl w:val="0"/>
        <w:numPr>
          <w:ilvl w:val="0"/>
          <w:numId w:val="1"/>
        </w:numPr>
        <w:kinsoku/>
        <w:wordWrap/>
        <w:overflowPunct/>
        <w:topLinePunct w:val="0"/>
        <w:bidi w:val="0"/>
        <w:snapToGrid/>
        <w:spacing w:before="0" w:after="0" w:line="560" w:lineRule="exact"/>
        <w:ind w:left="0" w:leftChars="0"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绩效评价的范围</w:t>
      </w:r>
    </w:p>
    <w:p>
      <w:pPr>
        <w:pStyle w:val="19"/>
        <w:keepNext w:val="0"/>
        <w:keepLines w:val="0"/>
        <w:pageBreakBefore w:val="0"/>
        <w:widowControl w:val="0"/>
        <w:kinsoku/>
        <w:wordWrap/>
        <w:overflowPunct/>
        <w:topLinePunct w:val="0"/>
        <w:bidi w:val="0"/>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lang w:val="en-US" w:eastAsia="zh-CN"/>
        </w:rPr>
      </w:pPr>
      <w:r>
        <w:rPr>
          <w:rFonts w:hint="default" w:ascii="Times New Roman" w:hAnsi="Times New Roman" w:eastAsia="仿宋_GB2312" w:cs="Times New Roman"/>
          <w:b w:val="0"/>
          <w:bCs w:val="0"/>
          <w:lang w:val="en-US" w:eastAsia="zh-CN"/>
        </w:rPr>
        <w:t>自治区畜牧业生产发展资金（兽药饲料检验项目、畜产品质量安全监测）项目325万元支出的项目资金及产生的社会效益等。</w:t>
      </w:r>
    </w:p>
    <w:p>
      <w:pPr>
        <w:keepNext w:val="0"/>
        <w:keepLines w:val="0"/>
        <w:pageBreakBefore w:val="0"/>
        <w:kinsoku/>
        <w:wordWrap/>
        <w:overflowPunct/>
        <w:topLinePunct w:val="0"/>
        <w:bidi w:val="0"/>
        <w:snapToGrid/>
        <w:spacing w:line="560" w:lineRule="exact"/>
        <w:ind w:firstLine="642" w:firstLineChars="200"/>
        <w:textAlignment w:val="auto"/>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9"/>
        <w:keepNext w:val="0"/>
        <w:keepLines w:val="0"/>
        <w:pageBreakBefore w:val="0"/>
        <w:widowControl w:val="0"/>
        <w:kinsoku/>
        <w:wordWrap/>
        <w:overflowPunct/>
        <w:topLinePunct w:val="0"/>
        <w:bidi w:val="0"/>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1、绩效评价原则</w:t>
      </w:r>
    </w:p>
    <w:p>
      <w:pPr>
        <w:keepNext w:val="0"/>
        <w:keepLines w:val="0"/>
        <w:pageBreakBefore w:val="0"/>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9"/>
        <w:keepNext w:val="0"/>
        <w:keepLines w:val="0"/>
        <w:pageBreakBefore w:val="0"/>
        <w:kinsoku/>
        <w:wordWrap/>
        <w:overflowPunct/>
        <w:topLinePunct w:val="0"/>
        <w:bidi w:val="0"/>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9"/>
        <w:keepNext w:val="0"/>
        <w:keepLines w:val="0"/>
        <w:pageBreakBefore w:val="0"/>
        <w:kinsoku/>
        <w:wordWrap/>
        <w:overflowPunct/>
        <w:topLinePunct w:val="0"/>
        <w:bidi w:val="0"/>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9"/>
        <w:keepNext w:val="0"/>
        <w:keepLines w:val="0"/>
        <w:pageBreakBefore w:val="0"/>
        <w:kinsoku/>
        <w:wordWrap/>
        <w:overflowPunct/>
        <w:topLinePunct w:val="0"/>
        <w:bidi w:val="0"/>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9"/>
        <w:keepNext w:val="0"/>
        <w:keepLines w:val="0"/>
        <w:pageBreakBefore w:val="0"/>
        <w:kinsoku/>
        <w:wordWrap/>
        <w:overflowPunct/>
        <w:topLinePunct w:val="0"/>
        <w:bidi w:val="0"/>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9"/>
        <w:keepNext w:val="0"/>
        <w:keepLines w:val="0"/>
        <w:pageBreakBefore w:val="0"/>
        <w:widowControl w:val="0"/>
        <w:kinsoku/>
        <w:wordWrap/>
        <w:overflowPunct/>
        <w:topLinePunct w:val="0"/>
        <w:bidi w:val="0"/>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2、评价指标体系</w:t>
      </w:r>
    </w:p>
    <w:p>
      <w:pPr>
        <w:keepNext w:val="0"/>
        <w:keepLines w:val="0"/>
        <w:pageBreakBefore w:val="0"/>
        <w:kinsoku/>
        <w:wordWrap/>
        <w:overflowPunct/>
        <w:topLinePunct w:val="0"/>
        <w:bidi w:val="0"/>
        <w:snapToGrid/>
        <w:spacing w:line="560" w:lineRule="exact"/>
        <w:ind w:firstLine="708" w:firstLineChars="200"/>
        <w:textAlignment w:val="auto"/>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keepNext w:val="0"/>
        <w:keepLines w:val="0"/>
        <w:pageBreakBefore w:val="0"/>
        <w:kinsoku/>
        <w:wordWrap/>
        <w:overflowPunct/>
        <w:topLinePunct w:val="0"/>
        <w:bidi w:val="0"/>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keepNext w:val="0"/>
        <w:keepLines w:val="0"/>
        <w:pageBreakBefore w:val="0"/>
        <w:kinsoku/>
        <w:wordWrap/>
        <w:overflowPunct/>
        <w:topLinePunct w:val="0"/>
        <w:bidi w:val="0"/>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kinsoku/>
        <w:wordWrap/>
        <w:overflowPunct/>
        <w:topLinePunct w:val="0"/>
        <w:bidi w:val="0"/>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keepNext w:val="0"/>
        <w:keepLines w:val="0"/>
        <w:pageBreakBefore w:val="0"/>
        <w:kinsoku/>
        <w:wordWrap/>
        <w:overflowPunct/>
        <w:topLinePunct w:val="0"/>
        <w:bidi w:val="0"/>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w:t>
      </w:r>
      <w:r>
        <w:rPr>
          <w:rFonts w:hint="eastAsia" w:eastAsia="仿宋_GB2312" w:cs="Times New Roman"/>
          <w:color w:val="000000"/>
          <w:spacing w:val="17"/>
          <w:sz w:val="32"/>
          <w:szCs w:val="32"/>
          <w:lang w:val="en-US" w:eastAsia="zh-CN"/>
        </w:rPr>
        <w:t>20</w:t>
      </w:r>
      <w:r>
        <w:rPr>
          <w:rFonts w:hint="default" w:ascii="Times New Roman" w:hAnsi="Times New Roman" w:eastAsia="仿宋_GB2312" w:cs="Times New Roman"/>
          <w:color w:val="000000"/>
          <w:spacing w:val="17"/>
          <w:sz w:val="32"/>
          <w:szCs w:val="32"/>
        </w:rPr>
        <w:t>分，项目过程权重为</w:t>
      </w:r>
      <w:r>
        <w:rPr>
          <w:rFonts w:hint="eastAsia" w:eastAsia="仿宋_GB2312" w:cs="Times New Roman"/>
          <w:color w:val="000000"/>
          <w:spacing w:val="17"/>
          <w:sz w:val="32"/>
          <w:szCs w:val="32"/>
          <w:lang w:val="en-US" w:eastAsia="zh-CN"/>
        </w:rPr>
        <w:t>20</w:t>
      </w:r>
      <w:r>
        <w:rPr>
          <w:rFonts w:hint="default" w:ascii="Times New Roman" w:hAnsi="Times New Roman" w:eastAsia="仿宋_GB2312" w:cs="Times New Roman"/>
          <w:color w:val="000000"/>
          <w:spacing w:val="17"/>
          <w:sz w:val="32"/>
          <w:szCs w:val="32"/>
        </w:rPr>
        <w:t>分，项目产出权重为</w:t>
      </w:r>
      <w:r>
        <w:rPr>
          <w:rFonts w:hint="eastAsia" w:eastAsia="仿宋_GB2312" w:cs="Times New Roman"/>
          <w:color w:val="000000"/>
          <w:spacing w:val="17"/>
          <w:sz w:val="32"/>
          <w:szCs w:val="32"/>
          <w:lang w:val="en-US" w:eastAsia="zh-CN"/>
        </w:rPr>
        <w:t>4</w:t>
      </w:r>
      <w:r>
        <w:rPr>
          <w:rFonts w:hint="default" w:ascii="Times New Roman" w:hAnsi="Times New Roman" w:eastAsia="仿宋_GB2312" w:cs="Times New Roman"/>
          <w:color w:val="000000"/>
          <w:spacing w:val="17"/>
          <w:sz w:val="32"/>
          <w:szCs w:val="32"/>
        </w:rPr>
        <w:t>0分，项目效益权重为</w:t>
      </w:r>
      <w:r>
        <w:rPr>
          <w:rFonts w:hint="eastAsia" w:eastAsia="仿宋_GB2312" w:cs="Times New Roman"/>
          <w:color w:val="000000"/>
          <w:spacing w:val="17"/>
          <w:sz w:val="32"/>
          <w:szCs w:val="32"/>
          <w:lang w:val="en-US" w:eastAsia="zh-CN"/>
        </w:rPr>
        <w:t>2</w:t>
      </w:r>
      <w:r>
        <w:rPr>
          <w:rFonts w:hint="default" w:ascii="Times New Roman" w:hAnsi="Times New Roman" w:eastAsia="仿宋_GB2312" w:cs="Times New Roman"/>
          <w:color w:val="000000"/>
          <w:spacing w:val="17"/>
          <w:sz w:val="32"/>
          <w:szCs w:val="32"/>
        </w:rPr>
        <w:t>0分。</w:t>
      </w:r>
    </w:p>
    <w:p>
      <w:pPr>
        <w:keepNext w:val="0"/>
        <w:keepLines w:val="0"/>
        <w:pageBreakBefore w:val="0"/>
        <w:kinsoku/>
        <w:wordWrap/>
        <w:overflowPunct/>
        <w:topLinePunct w:val="0"/>
        <w:bidi w:val="0"/>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keepNext w:val="0"/>
        <w:keepLines w:val="0"/>
        <w:pageBreakBefore w:val="0"/>
        <w:kinsoku/>
        <w:wordWrap/>
        <w:overflowPunct/>
        <w:topLinePunct w:val="0"/>
        <w:bidi w:val="0"/>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9"/>
        <w:keepNext w:val="0"/>
        <w:keepLines w:val="0"/>
        <w:pageBreakBefore w:val="0"/>
        <w:kinsoku/>
        <w:wordWrap/>
        <w:overflowPunct/>
        <w:topLinePunct w:val="0"/>
        <w:bidi w:val="0"/>
        <w:snapToGrid/>
        <w:spacing w:before="0" w:after="0" w:line="560" w:lineRule="exact"/>
        <w:ind w:firstLine="708" w:firstLineChars="200"/>
        <w:jc w:val="both"/>
        <w:textAlignment w:val="auto"/>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9"/>
        <w:keepNext w:val="0"/>
        <w:keepLines w:val="0"/>
        <w:pageBreakBefore w:val="0"/>
        <w:widowControl w:val="0"/>
        <w:kinsoku/>
        <w:wordWrap/>
        <w:overflowPunct/>
        <w:topLinePunct w:val="0"/>
        <w:bidi w:val="0"/>
        <w:snapToGrid/>
        <w:spacing w:before="0" w:after="0" w:line="560" w:lineRule="exact"/>
        <w:ind w:firstLine="708" w:firstLineChars="200"/>
        <w:jc w:val="both"/>
        <w:textAlignment w:val="auto"/>
        <w:outlineLvl w:val="9"/>
        <w:rPr>
          <w:rFonts w:hint="eastAsia" w:ascii="Times New Roman" w:hAnsi="Times New Roman" w:eastAsia="仿宋_GB2312" w:cs="Times New Roman"/>
          <w:b w:val="0"/>
          <w:bCs w:val="0"/>
          <w:color w:val="000000"/>
          <w:spacing w:val="17"/>
          <w:lang w:eastAsia="zh-CN"/>
        </w:rPr>
      </w:pPr>
      <w:r>
        <w:rPr>
          <w:rFonts w:hint="default" w:ascii="Times New Roman" w:hAnsi="Times New Roman" w:eastAsia="仿宋_GB2312" w:cs="Times New Roman"/>
          <w:b w:val="0"/>
          <w:bCs w:val="0"/>
          <w:color w:val="000000"/>
          <w:spacing w:val="17"/>
        </w:rPr>
        <w:t>具体评价指标体系详情见附件</w:t>
      </w:r>
      <w:r>
        <w:rPr>
          <w:rFonts w:hint="eastAsia" w:ascii="Times New Roman" w:hAnsi="Times New Roman" w:eastAsia="仿宋_GB2312" w:cs="Times New Roman"/>
          <w:b w:val="0"/>
          <w:bCs w:val="0"/>
          <w:color w:val="000000"/>
          <w:spacing w:val="17"/>
          <w:lang w:val="en-US" w:eastAsia="zh-CN"/>
        </w:rPr>
        <w:t>2</w:t>
      </w:r>
    </w:p>
    <w:p>
      <w:pPr>
        <w:pStyle w:val="19"/>
        <w:keepNext w:val="0"/>
        <w:keepLines w:val="0"/>
        <w:pageBreakBefore w:val="0"/>
        <w:widowControl w:val="0"/>
        <w:kinsoku/>
        <w:wordWrap/>
        <w:overflowPunct/>
        <w:topLinePunct w:val="0"/>
        <w:bidi w:val="0"/>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3、绩效评价方法</w:t>
      </w:r>
    </w:p>
    <w:p>
      <w:pPr>
        <w:keepNext w:val="0"/>
        <w:keepLines w:val="0"/>
        <w:pageBreakBefore w:val="0"/>
        <w:kinsoku/>
        <w:wordWrap/>
        <w:overflowPunct/>
        <w:topLinePunct w:val="0"/>
        <w:bidi w:val="0"/>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pPr>
        <w:keepNext w:val="0"/>
        <w:keepLines w:val="0"/>
        <w:pageBreakBefore w:val="0"/>
        <w:kinsoku/>
        <w:wordWrap/>
        <w:overflowPunct/>
        <w:topLinePunct w:val="0"/>
        <w:bidi w:val="0"/>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kinsoku/>
        <w:wordWrap/>
        <w:overflowPunct/>
        <w:topLinePunct w:val="0"/>
        <w:bidi w:val="0"/>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（1）比较法</w:t>
      </w:r>
    </w:p>
    <w:p>
      <w:pPr>
        <w:keepNext w:val="0"/>
        <w:keepLines w:val="0"/>
        <w:pageBreakBefore w:val="0"/>
        <w:kinsoku/>
        <w:wordWrap/>
        <w:overflowPunct/>
        <w:topLinePunct w:val="0"/>
        <w:bidi w:val="0"/>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通过对绩效目标与实施效果、历史与当期情况，综合分析绩效目标实现程度。对</w:t>
      </w:r>
      <w:r>
        <w:rPr>
          <w:rFonts w:hint="default" w:ascii="Times New Roman" w:hAnsi="Times New Roman" w:eastAsia="仿宋_GB2312" w:cs="Times New Roman"/>
          <w:sz w:val="32"/>
          <w:szCs w:val="32"/>
        </w:rPr>
        <w:t>项目</w:t>
      </w:r>
      <w:r>
        <w:rPr>
          <w:rFonts w:hint="default" w:ascii="Times New Roman" w:hAnsi="Times New Roman" w:eastAsia="仿宋_GB2312" w:cs="Times New Roman"/>
          <w:color w:val="000000"/>
          <w:spacing w:val="17"/>
          <w:sz w:val="32"/>
          <w:szCs w:val="32"/>
        </w:rPr>
        <w:t>最终验收情况与年度绩效目标对比、预算资金执行情况等相关因素进行比较。</w:t>
      </w:r>
    </w:p>
    <w:p>
      <w:pPr>
        <w:keepNext w:val="0"/>
        <w:keepLines w:val="0"/>
        <w:pageBreakBefore w:val="0"/>
        <w:kinsoku/>
        <w:wordWrap/>
        <w:overflowPunct/>
        <w:topLinePunct w:val="0"/>
        <w:bidi w:val="0"/>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（2）因素分析法</w:t>
      </w:r>
    </w:p>
    <w:p>
      <w:pPr>
        <w:keepNext w:val="0"/>
        <w:keepLines w:val="0"/>
        <w:pageBreakBefore w:val="0"/>
        <w:kinsoku/>
        <w:wordWrap/>
        <w:overflowPunct/>
        <w:topLinePunct w:val="0"/>
        <w:bidi w:val="0"/>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通过综合分析影响绩效目标实现、实施效果的内外因素，评价绩效目标实现程度。通过对</w:t>
      </w:r>
      <w:r>
        <w:rPr>
          <w:rFonts w:hint="default" w:ascii="Times New Roman" w:hAnsi="Times New Roman" w:eastAsia="仿宋_GB2312" w:cs="Times New Roman"/>
          <w:sz w:val="32"/>
          <w:szCs w:val="32"/>
        </w:rPr>
        <w:t>项目</w:t>
      </w:r>
      <w:r>
        <w:rPr>
          <w:rFonts w:hint="default" w:ascii="Times New Roman" w:hAnsi="Times New Roman" w:eastAsia="仿宋_GB2312" w:cs="Times New Roman"/>
          <w:color w:val="000000"/>
          <w:spacing w:val="17"/>
          <w:sz w:val="32"/>
          <w:szCs w:val="32"/>
        </w:rPr>
        <w:t>的开展情况、项目产出数量、成本控制、资金拨付文件及自评报告等相关资料的收集和审核，综合分析各因素对绩效目标实现的影响。</w:t>
      </w:r>
    </w:p>
    <w:p>
      <w:pPr>
        <w:pStyle w:val="19"/>
        <w:keepNext w:val="0"/>
        <w:keepLines w:val="0"/>
        <w:pageBreakBefore w:val="0"/>
        <w:widowControl w:val="0"/>
        <w:kinsoku/>
        <w:wordWrap/>
        <w:overflowPunct/>
        <w:topLinePunct w:val="0"/>
        <w:bidi w:val="0"/>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4、评价标准</w:t>
      </w:r>
    </w:p>
    <w:p>
      <w:pPr>
        <w:keepNext w:val="0"/>
        <w:keepLines w:val="0"/>
        <w:pageBreakBefore w:val="0"/>
        <w:kinsoku/>
        <w:wordWrap/>
        <w:overflowPunct/>
        <w:topLinePunct w:val="0"/>
        <w:bidi w:val="0"/>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绩效评价标准通常包括计划标准、行业标准、历史标准等，用于对绩效指标完成情况进行比较。本次评价主要采用了计划标准和行业标准。</w:t>
      </w:r>
    </w:p>
    <w:p>
      <w:pPr>
        <w:pStyle w:val="19"/>
        <w:keepNext w:val="0"/>
        <w:keepLines w:val="0"/>
        <w:pageBreakBefore w:val="0"/>
        <w:numPr>
          <w:ilvl w:val="0"/>
          <w:numId w:val="3"/>
        </w:numPr>
        <w:kinsoku/>
        <w:wordWrap/>
        <w:overflowPunct/>
        <w:topLinePunct w:val="0"/>
        <w:bidi w:val="0"/>
        <w:snapToGrid/>
        <w:spacing w:before="0" w:after="0" w:line="560" w:lineRule="exact"/>
        <w:ind w:firstLine="710" w:firstLineChars="200"/>
        <w:jc w:val="both"/>
        <w:textAlignment w:val="auto"/>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numPr>
          <w:ilvl w:val="0"/>
          <w:numId w:val="4"/>
        </w:numPr>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numPr>
          <w:ilvl w:val="0"/>
          <w:numId w:val="4"/>
        </w:numPr>
        <w:kinsoku/>
        <w:wordWrap/>
        <w:overflowPunct/>
        <w:topLinePunct w:val="0"/>
        <w:bidi w:val="0"/>
        <w:snapToGrid/>
        <w:spacing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numPr>
          <w:ilvl w:val="0"/>
          <w:numId w:val="4"/>
        </w:numPr>
        <w:kinsoku/>
        <w:wordWrap/>
        <w:overflowPunct/>
        <w:topLinePunct w:val="0"/>
        <w:bidi w:val="0"/>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eastAsia="仿宋_GB2312" w:cs="Times New Roman"/>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keepNext w:val="0"/>
        <w:keepLines w:val="0"/>
        <w:pageBreakBefore w:val="0"/>
        <w:numPr>
          <w:ilvl w:val="0"/>
          <w:numId w:val="5"/>
        </w:numPr>
        <w:kinsoku/>
        <w:wordWrap/>
        <w:overflowPunct/>
        <w:topLinePunct w:val="0"/>
        <w:bidi w:val="0"/>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9"/>
        <w:keepNext w:val="0"/>
        <w:keepLines w:val="0"/>
        <w:pageBreakBefore w:val="0"/>
        <w:widowControl w:val="0"/>
        <w:kinsoku/>
        <w:wordWrap/>
        <w:overflowPunct/>
        <w:topLinePunct w:val="0"/>
        <w:bidi w:val="0"/>
        <w:snapToGrid/>
        <w:spacing w:before="0" w:after="0" w:line="560" w:lineRule="exact"/>
        <w:ind w:firstLine="640" w:firstLineChars="200"/>
        <w:jc w:val="both"/>
        <w:textAlignment w:val="auto"/>
        <w:outlineLvl w:val="9"/>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b w:val="0"/>
          <w:bCs w:val="0"/>
          <w:highlight w:val="none"/>
        </w:rPr>
        <w:t>对</w:t>
      </w:r>
      <w:r>
        <w:rPr>
          <w:rFonts w:hint="default" w:ascii="Times New Roman" w:hAnsi="Times New Roman" w:eastAsia="仿宋_GB2312" w:cs="Times New Roman"/>
          <w:b w:val="0"/>
          <w:bCs w:val="0"/>
          <w:highlight w:val="none"/>
          <w:lang w:val="en-US" w:eastAsia="zh-CN"/>
        </w:rPr>
        <w:t>自治区畜牧业生产发展资金（兽药饲料检验项目、畜产品质量安全监测）</w:t>
      </w:r>
      <w:r>
        <w:rPr>
          <w:rFonts w:hint="default" w:ascii="Times New Roman" w:hAnsi="Times New Roman" w:eastAsia="仿宋_GB2312" w:cs="Times New Roman"/>
          <w:b w:val="0"/>
          <w:bCs w:val="0"/>
          <w:highlight w:val="none"/>
        </w:rPr>
        <w:t xml:space="preserve">项目进行客观评价，最终评分结果：总得分为 </w:t>
      </w:r>
      <w:r>
        <w:rPr>
          <w:rFonts w:hint="default"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default"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default"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default"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default"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default"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default"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default"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default"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p>
    <w:p>
      <w:pPr>
        <w:pStyle w:val="19"/>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rPr>
        <w:t>表1综合评分表</w:t>
      </w:r>
    </w:p>
    <w:p>
      <w:pPr>
        <w:rPr>
          <w:rFonts w:hint="default" w:ascii="Times New Roman" w:hAnsi="Times New Roman" w:cs="Times New Roman"/>
          <w:highlight w:val="none"/>
        </w:rPr>
      </w:pPr>
    </w:p>
    <w:tbl>
      <w:tblPr>
        <w:tblStyle w:val="22"/>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一级指标</w:t>
            </w:r>
          </w:p>
        </w:tc>
        <w:tc>
          <w:tcPr>
            <w:tcW w:w="990" w:type="dxa"/>
            <w:shd w:val="clear" w:color="auto" w:fill="BFBFB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分值</w:t>
            </w:r>
          </w:p>
        </w:tc>
        <w:tc>
          <w:tcPr>
            <w:tcW w:w="1283" w:type="dxa"/>
            <w:shd w:val="clear" w:color="auto" w:fill="BFBFB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二级指标</w:t>
            </w:r>
          </w:p>
        </w:tc>
        <w:tc>
          <w:tcPr>
            <w:tcW w:w="1707" w:type="dxa"/>
            <w:shd w:val="clear" w:color="auto" w:fill="BFBFB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三级指标</w:t>
            </w:r>
          </w:p>
        </w:tc>
        <w:tc>
          <w:tcPr>
            <w:tcW w:w="727" w:type="dxa"/>
            <w:shd w:val="clear" w:color="auto" w:fill="BFBFB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权重</w:t>
            </w:r>
          </w:p>
        </w:tc>
        <w:tc>
          <w:tcPr>
            <w:tcW w:w="1044" w:type="dxa"/>
            <w:shd w:val="clear" w:color="auto" w:fill="BFBFBF"/>
            <w:vAlign w:val="center"/>
          </w:tcPr>
          <w:p>
            <w:pPr>
              <w:widowControl/>
              <w:tabs>
                <w:tab w:val="left" w:pos="1333"/>
                <w:tab w:val="center" w:pos="3623"/>
              </w:tabs>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目标值</w:t>
            </w:r>
          </w:p>
        </w:tc>
        <w:tc>
          <w:tcPr>
            <w:tcW w:w="924" w:type="dxa"/>
            <w:shd w:val="clear" w:color="auto" w:fill="BFBFBF"/>
            <w:vAlign w:val="center"/>
          </w:tcPr>
          <w:p>
            <w:pPr>
              <w:widowControl/>
              <w:tabs>
                <w:tab w:val="left" w:pos="1333"/>
                <w:tab w:val="center" w:pos="3623"/>
              </w:tabs>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业绩值</w:t>
            </w:r>
          </w:p>
        </w:tc>
        <w:tc>
          <w:tcPr>
            <w:tcW w:w="1215" w:type="dxa"/>
            <w:shd w:val="clear" w:color="auto" w:fill="BFBFBF"/>
            <w:vAlign w:val="center"/>
          </w:tcPr>
          <w:p>
            <w:pPr>
              <w:widowControl/>
              <w:tabs>
                <w:tab w:val="left" w:pos="1333"/>
                <w:tab w:val="center" w:pos="3623"/>
              </w:tabs>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得分率</w:t>
            </w:r>
          </w:p>
        </w:tc>
        <w:tc>
          <w:tcPr>
            <w:tcW w:w="960" w:type="dxa"/>
            <w:shd w:val="clear" w:color="auto" w:fill="BFBFBF"/>
            <w:vAlign w:val="center"/>
          </w:tcPr>
          <w:p>
            <w:pPr>
              <w:widowControl/>
              <w:tabs>
                <w:tab w:val="left" w:pos="1333"/>
                <w:tab w:val="center" w:pos="3623"/>
              </w:tabs>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p>
            <w:pPr>
              <w:widowControl/>
              <w:spacing w:line="0" w:lineRule="atLeast"/>
              <w:jc w:val="center"/>
              <w:rPr>
                <w:rFonts w:hint="default" w:ascii="Times New Roman" w:hAnsi="Times New Roman" w:cs="Times New Roman"/>
                <w:color w:val="000000"/>
                <w:kern w:val="0"/>
                <w:sz w:val="22"/>
                <w:szCs w:val="22"/>
                <w:highlight w:val="none"/>
              </w:rPr>
            </w:pPr>
          </w:p>
          <w:p>
            <w:pPr>
              <w:widowControl/>
              <w:spacing w:line="0" w:lineRule="atLeast"/>
              <w:jc w:val="center"/>
              <w:rPr>
                <w:rFonts w:hint="default" w:ascii="Times New Roman" w:hAnsi="Times New Roman" w:cs="Times New Roman"/>
                <w:color w:val="000000"/>
                <w:kern w:val="0"/>
                <w:sz w:val="22"/>
                <w:szCs w:val="22"/>
                <w:highlight w:val="none"/>
              </w:rPr>
            </w:pPr>
          </w:p>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决策　</w:t>
            </w:r>
          </w:p>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　</w:t>
            </w:r>
          </w:p>
          <w:p>
            <w:pPr>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　</w:t>
            </w:r>
          </w:p>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　</w:t>
            </w:r>
          </w:p>
        </w:tc>
        <w:tc>
          <w:tcPr>
            <w:tcW w:w="990"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kern w:val="0"/>
                <w:sz w:val="22"/>
                <w:szCs w:val="22"/>
                <w:highlight w:val="none"/>
              </w:rPr>
              <w:t>20分</w:t>
            </w:r>
          </w:p>
        </w:tc>
        <w:tc>
          <w:tcPr>
            <w:tcW w:w="1283"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项目立项　</w:t>
            </w:r>
          </w:p>
        </w:tc>
        <w:tc>
          <w:tcPr>
            <w:tcW w:w="170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立项依据</w:t>
            </w:r>
          </w:p>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充分性</w:t>
            </w:r>
          </w:p>
        </w:tc>
        <w:tc>
          <w:tcPr>
            <w:tcW w:w="72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3</w:t>
            </w:r>
          </w:p>
        </w:tc>
        <w:tc>
          <w:tcPr>
            <w:tcW w:w="104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充分</w:t>
            </w:r>
          </w:p>
        </w:tc>
        <w:tc>
          <w:tcPr>
            <w:tcW w:w="92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充分</w:t>
            </w:r>
          </w:p>
        </w:tc>
        <w:tc>
          <w:tcPr>
            <w:tcW w:w="1215"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none"/>
                <w:lang w:val="en-US" w:eastAsia="zh-CN"/>
              </w:rPr>
            </w:pPr>
            <w:r>
              <w:rPr>
                <w:rFonts w:hint="default" w:ascii="Times New Roman" w:hAnsi="Times New Roman" w:cs="Times New Roman"/>
                <w:color w:val="auto"/>
                <w:kern w:val="0"/>
                <w:sz w:val="22"/>
                <w:szCs w:val="22"/>
                <w:highlight w:val="none"/>
                <w:shd w:val="clear" w:fill="FFFFFF" w:themeFill="background1"/>
                <w:lang w:val="en-US" w:eastAsia="zh-CN"/>
              </w:rPr>
              <w:t>100%</w:t>
            </w:r>
          </w:p>
        </w:tc>
        <w:tc>
          <w:tcPr>
            <w:tcW w:w="960"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none"/>
                <w:lang w:val="en-US" w:eastAsia="zh-CN"/>
              </w:rPr>
            </w:pPr>
            <w:r>
              <w:rPr>
                <w:rFonts w:hint="default" w:ascii="Times New Roman" w:hAnsi="Times New Roman" w:cs="Times New Roman"/>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1283"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170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立项程序</w:t>
            </w:r>
          </w:p>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规范性</w:t>
            </w:r>
          </w:p>
        </w:tc>
        <w:tc>
          <w:tcPr>
            <w:tcW w:w="72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3</w:t>
            </w:r>
          </w:p>
        </w:tc>
        <w:tc>
          <w:tcPr>
            <w:tcW w:w="104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规范</w:t>
            </w:r>
          </w:p>
        </w:tc>
        <w:tc>
          <w:tcPr>
            <w:tcW w:w="92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规范</w:t>
            </w:r>
          </w:p>
        </w:tc>
        <w:tc>
          <w:tcPr>
            <w:tcW w:w="1215"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1283"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绩效目标　</w:t>
            </w:r>
          </w:p>
        </w:tc>
        <w:tc>
          <w:tcPr>
            <w:tcW w:w="170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绩效目标</w:t>
            </w:r>
          </w:p>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合理性</w:t>
            </w:r>
          </w:p>
        </w:tc>
        <w:tc>
          <w:tcPr>
            <w:tcW w:w="727"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4</w:t>
            </w:r>
          </w:p>
        </w:tc>
        <w:tc>
          <w:tcPr>
            <w:tcW w:w="1044"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合理</w:t>
            </w:r>
          </w:p>
        </w:tc>
        <w:tc>
          <w:tcPr>
            <w:tcW w:w="924"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合理</w:t>
            </w:r>
          </w:p>
        </w:tc>
        <w:tc>
          <w:tcPr>
            <w:tcW w:w="1215"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none"/>
                <w:lang w:eastAsia="zh-CN"/>
              </w:rPr>
            </w:pPr>
            <w:r>
              <w:rPr>
                <w:rFonts w:hint="default" w:ascii="Times New Roman" w:hAnsi="Times New Roman" w:cs="Times New Roman"/>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1283"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170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绩效指标</w:t>
            </w:r>
          </w:p>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明确性</w:t>
            </w:r>
          </w:p>
        </w:tc>
        <w:tc>
          <w:tcPr>
            <w:tcW w:w="727"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3</w:t>
            </w:r>
          </w:p>
        </w:tc>
        <w:tc>
          <w:tcPr>
            <w:tcW w:w="1044"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明确</w:t>
            </w:r>
          </w:p>
        </w:tc>
        <w:tc>
          <w:tcPr>
            <w:tcW w:w="924"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明确</w:t>
            </w:r>
          </w:p>
        </w:tc>
        <w:tc>
          <w:tcPr>
            <w:tcW w:w="1215"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none"/>
                <w:lang w:eastAsia="zh-CN"/>
              </w:rPr>
            </w:pPr>
            <w:r>
              <w:rPr>
                <w:rFonts w:hint="default" w:ascii="Times New Roman" w:hAnsi="Times New Roman" w:cs="Times New Roman"/>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highlight w:val="none"/>
              </w:rPr>
            </w:pPr>
          </w:p>
        </w:tc>
        <w:tc>
          <w:tcPr>
            <w:tcW w:w="990"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highlight w:val="none"/>
              </w:rPr>
            </w:pPr>
          </w:p>
        </w:tc>
        <w:tc>
          <w:tcPr>
            <w:tcW w:w="1283"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资金投入</w:t>
            </w:r>
          </w:p>
        </w:tc>
        <w:tc>
          <w:tcPr>
            <w:tcW w:w="170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预算编制</w:t>
            </w:r>
          </w:p>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科学性</w:t>
            </w:r>
          </w:p>
        </w:tc>
        <w:tc>
          <w:tcPr>
            <w:tcW w:w="72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4</w:t>
            </w:r>
          </w:p>
        </w:tc>
        <w:tc>
          <w:tcPr>
            <w:tcW w:w="104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科学</w:t>
            </w:r>
          </w:p>
        </w:tc>
        <w:tc>
          <w:tcPr>
            <w:tcW w:w="92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科学</w:t>
            </w:r>
          </w:p>
        </w:tc>
        <w:tc>
          <w:tcPr>
            <w:tcW w:w="1215"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none"/>
                <w:lang w:eastAsia="zh-CN"/>
              </w:rPr>
            </w:pPr>
            <w:r>
              <w:rPr>
                <w:rFonts w:hint="default" w:ascii="Times New Roman" w:hAnsi="Times New Roman" w:cs="Times New Roman"/>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1283"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170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资金分配</w:t>
            </w:r>
          </w:p>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合理性</w:t>
            </w:r>
          </w:p>
        </w:tc>
        <w:tc>
          <w:tcPr>
            <w:tcW w:w="72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3</w:t>
            </w:r>
          </w:p>
        </w:tc>
        <w:tc>
          <w:tcPr>
            <w:tcW w:w="104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合理</w:t>
            </w:r>
          </w:p>
        </w:tc>
        <w:tc>
          <w:tcPr>
            <w:tcW w:w="92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合理</w:t>
            </w:r>
          </w:p>
        </w:tc>
        <w:tc>
          <w:tcPr>
            <w:tcW w:w="1215"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none"/>
                <w:lang w:eastAsia="zh-CN"/>
              </w:rPr>
            </w:pPr>
            <w:r>
              <w:rPr>
                <w:rFonts w:hint="default" w:ascii="Times New Roman" w:hAnsi="Times New Roman" w:cs="Times New Roman"/>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rFonts w:hint="default" w:ascii="Times New Roman" w:hAnsi="Times New Roman" w:cs="Times New Roman"/>
                <w:color w:val="000000"/>
                <w:kern w:val="0"/>
                <w:sz w:val="22"/>
                <w:szCs w:val="22"/>
                <w:highlight w:val="none"/>
              </w:rPr>
            </w:pPr>
          </w:p>
          <w:p>
            <w:pPr>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过程</w:t>
            </w:r>
          </w:p>
          <w:p>
            <w:pPr>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　</w:t>
            </w:r>
          </w:p>
        </w:tc>
        <w:tc>
          <w:tcPr>
            <w:tcW w:w="990"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kern w:val="0"/>
                <w:sz w:val="22"/>
                <w:szCs w:val="22"/>
                <w:highlight w:val="none"/>
              </w:rPr>
              <w:t>20分</w:t>
            </w:r>
          </w:p>
        </w:tc>
        <w:tc>
          <w:tcPr>
            <w:tcW w:w="1283"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资金管理</w:t>
            </w:r>
          </w:p>
        </w:tc>
        <w:tc>
          <w:tcPr>
            <w:tcW w:w="170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资金到位率</w:t>
            </w:r>
          </w:p>
        </w:tc>
        <w:tc>
          <w:tcPr>
            <w:tcW w:w="727"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4</w:t>
            </w:r>
          </w:p>
        </w:tc>
        <w:tc>
          <w:tcPr>
            <w:tcW w:w="1044"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100%</w:t>
            </w:r>
          </w:p>
        </w:tc>
        <w:tc>
          <w:tcPr>
            <w:tcW w:w="924"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none"/>
                <w:lang w:eastAsia="zh-CN"/>
              </w:rPr>
            </w:pPr>
            <w:r>
              <w:rPr>
                <w:rFonts w:hint="default" w:ascii="Times New Roman" w:hAnsi="Times New Roman" w:cs="Times New Roman"/>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highlight w:val="none"/>
              </w:rPr>
            </w:pPr>
          </w:p>
        </w:tc>
        <w:tc>
          <w:tcPr>
            <w:tcW w:w="990"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highlight w:val="none"/>
              </w:rPr>
            </w:pPr>
          </w:p>
        </w:tc>
        <w:tc>
          <w:tcPr>
            <w:tcW w:w="1283"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highlight w:val="none"/>
              </w:rPr>
            </w:pPr>
          </w:p>
        </w:tc>
        <w:tc>
          <w:tcPr>
            <w:tcW w:w="170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预算执行率</w:t>
            </w:r>
          </w:p>
        </w:tc>
        <w:tc>
          <w:tcPr>
            <w:tcW w:w="72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4</w:t>
            </w:r>
          </w:p>
        </w:tc>
        <w:tc>
          <w:tcPr>
            <w:tcW w:w="104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100%</w:t>
            </w:r>
          </w:p>
        </w:tc>
        <w:tc>
          <w:tcPr>
            <w:tcW w:w="92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lang w:val="en-US" w:eastAsia="zh-CN"/>
              </w:rPr>
              <w:t>100%</w:t>
            </w:r>
          </w:p>
        </w:tc>
        <w:tc>
          <w:tcPr>
            <w:tcW w:w="1215"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none"/>
                <w:lang w:eastAsia="zh-CN"/>
              </w:rPr>
            </w:pPr>
            <w:r>
              <w:rPr>
                <w:rFonts w:hint="default" w:ascii="Times New Roman" w:hAnsi="Times New Roman" w:cs="Times New Roman"/>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128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资金管理</w:t>
            </w:r>
          </w:p>
        </w:tc>
        <w:tc>
          <w:tcPr>
            <w:tcW w:w="170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资金使用</w:t>
            </w:r>
          </w:p>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合规性</w:t>
            </w:r>
          </w:p>
        </w:tc>
        <w:tc>
          <w:tcPr>
            <w:tcW w:w="727"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4</w:t>
            </w:r>
          </w:p>
        </w:tc>
        <w:tc>
          <w:tcPr>
            <w:tcW w:w="1044"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合格</w:t>
            </w:r>
          </w:p>
        </w:tc>
        <w:tc>
          <w:tcPr>
            <w:tcW w:w="924"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合格</w:t>
            </w:r>
          </w:p>
        </w:tc>
        <w:tc>
          <w:tcPr>
            <w:tcW w:w="1215"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none"/>
                <w:lang w:eastAsia="zh-CN"/>
              </w:rPr>
            </w:pPr>
            <w:r>
              <w:rPr>
                <w:rFonts w:hint="default" w:ascii="Times New Roman" w:hAnsi="Times New Roman" w:cs="Times New Roman"/>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highlight w:val="none"/>
              </w:rPr>
            </w:pPr>
          </w:p>
        </w:tc>
        <w:tc>
          <w:tcPr>
            <w:tcW w:w="990"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highlight w:val="none"/>
              </w:rPr>
            </w:pPr>
          </w:p>
        </w:tc>
        <w:tc>
          <w:tcPr>
            <w:tcW w:w="1283"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组织实施</w:t>
            </w:r>
          </w:p>
        </w:tc>
        <w:tc>
          <w:tcPr>
            <w:tcW w:w="170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管理制度</w:t>
            </w:r>
          </w:p>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健全性</w:t>
            </w:r>
          </w:p>
        </w:tc>
        <w:tc>
          <w:tcPr>
            <w:tcW w:w="727"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4</w:t>
            </w:r>
          </w:p>
        </w:tc>
        <w:tc>
          <w:tcPr>
            <w:tcW w:w="1044"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健全</w:t>
            </w:r>
          </w:p>
        </w:tc>
        <w:tc>
          <w:tcPr>
            <w:tcW w:w="924"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健全</w:t>
            </w:r>
          </w:p>
        </w:tc>
        <w:tc>
          <w:tcPr>
            <w:tcW w:w="1215"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none"/>
                <w:lang w:eastAsia="zh-CN"/>
              </w:rPr>
            </w:pPr>
            <w:r>
              <w:rPr>
                <w:rFonts w:hint="default" w:ascii="Times New Roman" w:hAnsi="Times New Roman" w:cs="Times New Roman"/>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1283"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170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制度执行</w:t>
            </w:r>
          </w:p>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有效性</w:t>
            </w:r>
          </w:p>
        </w:tc>
        <w:tc>
          <w:tcPr>
            <w:tcW w:w="727"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4</w:t>
            </w:r>
          </w:p>
        </w:tc>
        <w:tc>
          <w:tcPr>
            <w:tcW w:w="1044"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有效</w:t>
            </w:r>
          </w:p>
        </w:tc>
        <w:tc>
          <w:tcPr>
            <w:tcW w:w="924"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有效</w:t>
            </w:r>
          </w:p>
        </w:tc>
        <w:tc>
          <w:tcPr>
            <w:tcW w:w="1215"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none"/>
                <w:lang w:eastAsia="zh-CN"/>
              </w:rPr>
            </w:pPr>
            <w:r>
              <w:rPr>
                <w:rFonts w:hint="default" w:ascii="Times New Roman" w:hAnsi="Times New Roman" w:cs="Times New Roman"/>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产出</w:t>
            </w:r>
          </w:p>
        </w:tc>
        <w:tc>
          <w:tcPr>
            <w:tcW w:w="990"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kern w:val="0"/>
                <w:sz w:val="22"/>
                <w:szCs w:val="22"/>
                <w:highlight w:val="none"/>
              </w:rPr>
              <w:t>40分</w:t>
            </w:r>
          </w:p>
        </w:tc>
        <w:tc>
          <w:tcPr>
            <w:tcW w:w="128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产出数量</w:t>
            </w:r>
          </w:p>
        </w:tc>
        <w:tc>
          <w:tcPr>
            <w:tcW w:w="170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实际完成率</w:t>
            </w:r>
          </w:p>
        </w:tc>
        <w:tc>
          <w:tcPr>
            <w:tcW w:w="727"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10</w:t>
            </w:r>
          </w:p>
        </w:tc>
        <w:tc>
          <w:tcPr>
            <w:tcW w:w="1044"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100%</w:t>
            </w:r>
          </w:p>
        </w:tc>
        <w:tc>
          <w:tcPr>
            <w:tcW w:w="924"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none"/>
                <w:lang w:val="en-US" w:eastAsia="zh-CN"/>
              </w:rPr>
            </w:pPr>
            <w:r>
              <w:rPr>
                <w:rFonts w:hint="default" w:ascii="Times New Roman" w:hAnsi="Times New Roman" w:cs="Times New Roman"/>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128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产出质量</w:t>
            </w:r>
          </w:p>
        </w:tc>
        <w:tc>
          <w:tcPr>
            <w:tcW w:w="170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质量达标率</w:t>
            </w:r>
          </w:p>
        </w:tc>
        <w:tc>
          <w:tcPr>
            <w:tcW w:w="727"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10</w:t>
            </w:r>
          </w:p>
        </w:tc>
        <w:tc>
          <w:tcPr>
            <w:tcW w:w="1044"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100%</w:t>
            </w:r>
          </w:p>
        </w:tc>
        <w:tc>
          <w:tcPr>
            <w:tcW w:w="924"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none"/>
                <w:lang w:val="en-US" w:eastAsia="zh-CN"/>
              </w:rPr>
            </w:pPr>
            <w:r>
              <w:rPr>
                <w:rFonts w:hint="default" w:ascii="Times New Roman" w:hAnsi="Times New Roman" w:cs="Times New Roman"/>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highlight w:val="none"/>
              </w:rPr>
            </w:pPr>
          </w:p>
        </w:tc>
        <w:tc>
          <w:tcPr>
            <w:tcW w:w="990"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highlight w:val="none"/>
              </w:rPr>
            </w:pPr>
          </w:p>
        </w:tc>
        <w:tc>
          <w:tcPr>
            <w:tcW w:w="1283" w:type="dxa"/>
            <w:shd w:val="clear" w:color="auto" w:fill="FFFFFF"/>
            <w:vAlign w:val="center"/>
          </w:tcPr>
          <w:p>
            <w:pPr>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产出时效</w:t>
            </w:r>
          </w:p>
        </w:tc>
        <w:tc>
          <w:tcPr>
            <w:tcW w:w="170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完成及时性</w:t>
            </w:r>
          </w:p>
        </w:tc>
        <w:tc>
          <w:tcPr>
            <w:tcW w:w="727"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10</w:t>
            </w:r>
          </w:p>
        </w:tc>
        <w:tc>
          <w:tcPr>
            <w:tcW w:w="1044"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及时</w:t>
            </w:r>
          </w:p>
        </w:tc>
        <w:tc>
          <w:tcPr>
            <w:tcW w:w="924"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及时</w:t>
            </w:r>
          </w:p>
        </w:tc>
        <w:tc>
          <w:tcPr>
            <w:tcW w:w="1215"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none"/>
                <w:lang w:val="en-US" w:eastAsia="zh-CN"/>
              </w:rPr>
            </w:pPr>
            <w:r>
              <w:rPr>
                <w:rFonts w:hint="default" w:ascii="Times New Roman" w:hAnsi="Times New Roman" w:cs="Times New Roman"/>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128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产出成本</w:t>
            </w:r>
          </w:p>
        </w:tc>
        <w:tc>
          <w:tcPr>
            <w:tcW w:w="170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成本节约率</w:t>
            </w:r>
          </w:p>
        </w:tc>
        <w:tc>
          <w:tcPr>
            <w:tcW w:w="727"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10</w:t>
            </w:r>
          </w:p>
        </w:tc>
        <w:tc>
          <w:tcPr>
            <w:tcW w:w="1044"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100%</w:t>
            </w:r>
          </w:p>
        </w:tc>
        <w:tc>
          <w:tcPr>
            <w:tcW w:w="924"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none"/>
                <w:lang w:val="en-US" w:eastAsia="zh-CN"/>
              </w:rPr>
            </w:pPr>
            <w:r>
              <w:rPr>
                <w:rFonts w:hint="default" w:ascii="Times New Roman" w:hAnsi="Times New Roman" w:cs="Times New Roman"/>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效益　</w:t>
            </w:r>
          </w:p>
        </w:tc>
        <w:tc>
          <w:tcPr>
            <w:tcW w:w="990"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20分</w:t>
            </w:r>
          </w:p>
        </w:tc>
        <w:tc>
          <w:tcPr>
            <w:tcW w:w="1283"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项目效益　</w:t>
            </w:r>
          </w:p>
        </w:tc>
        <w:tc>
          <w:tcPr>
            <w:tcW w:w="170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实施效益</w:t>
            </w:r>
          </w:p>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（社会效益、经济效益、可持续效益）</w:t>
            </w:r>
          </w:p>
        </w:tc>
        <w:tc>
          <w:tcPr>
            <w:tcW w:w="72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15</w:t>
            </w:r>
          </w:p>
        </w:tc>
        <w:tc>
          <w:tcPr>
            <w:tcW w:w="104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有效</w:t>
            </w:r>
          </w:p>
        </w:tc>
        <w:tc>
          <w:tcPr>
            <w:tcW w:w="92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有效</w:t>
            </w:r>
          </w:p>
        </w:tc>
        <w:tc>
          <w:tcPr>
            <w:tcW w:w="1215"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none"/>
                <w:lang w:val="en-US" w:eastAsia="zh-CN"/>
              </w:rPr>
            </w:pPr>
            <w:r>
              <w:rPr>
                <w:rFonts w:hint="default" w:ascii="Times New Roman" w:hAnsi="Times New Roman" w:cs="Times New Roman"/>
                <w:color w:val="000000"/>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1283"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170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满意度</w:t>
            </w:r>
          </w:p>
        </w:tc>
        <w:tc>
          <w:tcPr>
            <w:tcW w:w="727"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5</w:t>
            </w:r>
          </w:p>
        </w:tc>
        <w:tc>
          <w:tcPr>
            <w:tcW w:w="1044"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w:t>
            </w:r>
            <w:r>
              <w:rPr>
                <w:rFonts w:hint="default" w:ascii="Times New Roman" w:hAnsi="Times New Roman" w:cs="Times New Roman"/>
                <w:color w:val="000000"/>
                <w:kern w:val="0"/>
                <w:sz w:val="22"/>
                <w:szCs w:val="22"/>
                <w:highlight w:val="none"/>
                <w:lang w:val="en-US" w:eastAsia="zh-CN"/>
              </w:rPr>
              <w:t>90</w:t>
            </w:r>
            <w:r>
              <w:rPr>
                <w:rFonts w:hint="default" w:ascii="Times New Roman" w:hAnsi="Times New Roman" w:cs="Times New Roman"/>
                <w:color w:val="000000"/>
                <w:kern w:val="0"/>
                <w:sz w:val="22"/>
                <w:szCs w:val="22"/>
                <w:highlight w:val="none"/>
              </w:rPr>
              <w:t>%</w:t>
            </w:r>
          </w:p>
        </w:tc>
        <w:tc>
          <w:tcPr>
            <w:tcW w:w="924"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lang w:val="en-US" w:eastAsia="zh-CN"/>
              </w:rPr>
              <w:t>100</w:t>
            </w:r>
            <w:r>
              <w:rPr>
                <w:rFonts w:hint="default" w:ascii="Times New Roman" w:hAnsi="Times New Roman" w:cs="Times New Roman"/>
                <w:color w:val="000000"/>
                <w:kern w:val="0"/>
                <w:sz w:val="22"/>
                <w:szCs w:val="22"/>
                <w:highlight w:val="none"/>
              </w:rPr>
              <w:t>%</w:t>
            </w:r>
          </w:p>
        </w:tc>
        <w:tc>
          <w:tcPr>
            <w:tcW w:w="1215" w:type="dxa"/>
            <w:shd w:val="clear" w:color="000000"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000000"/>
                <w:kern w:val="0"/>
                <w:sz w:val="22"/>
                <w:szCs w:val="22"/>
                <w:highlight w:val="none"/>
                <w:lang w:eastAsia="zh-CN"/>
              </w:rPr>
            </w:pPr>
            <w:r>
              <w:rPr>
                <w:rFonts w:hint="default" w:ascii="Times New Roman" w:hAnsi="Times New Roman" w:cs="Times New Roman"/>
                <w:color w:val="000000"/>
                <w:kern w:val="0"/>
                <w:sz w:val="22"/>
                <w:szCs w:val="22"/>
                <w:highlight w:val="none"/>
                <w:lang w:val="en-US" w:eastAsia="zh-CN"/>
              </w:rPr>
              <w:t>5</w:t>
            </w:r>
          </w:p>
        </w:tc>
      </w:tr>
    </w:tbl>
    <w:p>
      <w:pPr>
        <w:pageBreakBefore w:val="0"/>
        <w:kinsoku/>
        <w:wordWrap/>
        <w:overflowPunct/>
        <w:topLinePunct w:val="0"/>
        <w:autoSpaceDE/>
        <w:bidi w:val="0"/>
        <w:adjustRightInd/>
        <w:snapToGrid/>
        <w:spacing w:line="560" w:lineRule="exact"/>
        <w:ind w:firstLine="320" w:firstLineChars="100"/>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pStyle w:val="19"/>
        <w:pageBreakBefore w:val="0"/>
        <w:kinsoku/>
        <w:wordWrap/>
        <w:overflowPunct/>
        <w:topLinePunct w:val="0"/>
        <w:autoSpaceDE/>
        <w:bidi w:val="0"/>
        <w:adjustRightInd/>
        <w:snapToGrid/>
        <w:spacing w:line="560" w:lineRule="exact"/>
        <w:ind w:firstLine="642" w:firstLineChars="200"/>
        <w:jc w:val="both"/>
        <w:textAlignment w:val="auto"/>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pPr>
        <w:pageBreakBefore w:val="0"/>
        <w:kinsoku/>
        <w:wordWrap/>
        <w:overflowPunct/>
        <w:topLinePunct w:val="0"/>
        <w:autoSpaceDE/>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highlight w:val="none"/>
          <w:lang w:eastAsia="zh-CN"/>
        </w:rPr>
      </w:pPr>
      <w:r>
        <w:rPr>
          <w:rFonts w:hint="default" w:ascii="Times New Roman" w:hAnsi="Times New Roman" w:eastAsia="仿宋_GB2312" w:cs="Times New Roman"/>
          <w:kern w:val="0"/>
          <w:sz w:val="32"/>
          <w:szCs w:val="32"/>
          <w:highlight w:val="none"/>
        </w:rPr>
        <w:t>项目</w:t>
      </w:r>
      <w:r>
        <w:rPr>
          <w:rFonts w:hint="default" w:ascii="Times New Roman" w:hAnsi="Times New Roman" w:eastAsia="仿宋_GB2312" w:cs="Times New Roman"/>
          <w:color w:val="000000"/>
          <w:sz w:val="32"/>
          <w:szCs w:val="32"/>
          <w:highlight w:val="none"/>
          <w:lang w:eastAsia="zh-CN"/>
        </w:rPr>
        <w:t>严格按照</w:t>
      </w:r>
      <w:r>
        <w:rPr>
          <w:rFonts w:hint="default" w:ascii="Times New Roman" w:hAnsi="Times New Roman" w:eastAsia="仿宋_GB2312" w:cs="Times New Roman"/>
          <w:b w:val="0"/>
          <w:bCs w:val="0"/>
          <w:sz w:val="32"/>
          <w:szCs w:val="32"/>
          <w:highlight w:val="none"/>
          <w:lang w:val="en-US" w:eastAsia="zh-CN"/>
        </w:rPr>
        <w:t>《新疆维吾尔自治区</w:t>
      </w:r>
      <w:r>
        <w:rPr>
          <w:rFonts w:hint="eastAsia" w:eastAsia="仿宋_GB2312" w:cs="Times New Roman"/>
          <w:b w:val="0"/>
          <w:bCs w:val="0"/>
          <w:sz w:val="32"/>
          <w:szCs w:val="32"/>
          <w:highlight w:val="none"/>
          <w:lang w:val="en-US" w:eastAsia="zh-CN"/>
        </w:rPr>
        <w:t>农业农村厅</w:t>
      </w:r>
      <w:r>
        <w:rPr>
          <w:rFonts w:hint="default" w:ascii="Times New Roman" w:hAnsi="Times New Roman" w:eastAsia="仿宋_GB2312" w:cs="Times New Roman"/>
          <w:b w:val="0"/>
          <w:bCs w:val="0"/>
          <w:sz w:val="32"/>
          <w:szCs w:val="32"/>
          <w:highlight w:val="none"/>
          <w:lang w:val="en-US" w:eastAsia="zh-CN"/>
        </w:rPr>
        <w:t>关于印发&lt;202</w:t>
      </w:r>
      <w:r>
        <w:rPr>
          <w:rFonts w:hint="eastAsia" w:eastAsia="仿宋_GB2312" w:cs="Times New Roman"/>
          <w:b w:val="0"/>
          <w:bCs w:val="0"/>
          <w:sz w:val="32"/>
          <w:szCs w:val="32"/>
          <w:highlight w:val="none"/>
          <w:lang w:val="en-US" w:eastAsia="zh-CN"/>
        </w:rPr>
        <w:t>4</w:t>
      </w:r>
      <w:r>
        <w:rPr>
          <w:rFonts w:hint="default" w:ascii="Times New Roman" w:hAnsi="Times New Roman" w:eastAsia="仿宋_GB2312" w:cs="Times New Roman"/>
          <w:b w:val="0"/>
          <w:bCs w:val="0"/>
          <w:sz w:val="32"/>
          <w:szCs w:val="32"/>
          <w:highlight w:val="none"/>
          <w:lang w:val="en-US" w:eastAsia="zh-CN"/>
        </w:rPr>
        <w:t>年自治区畜产品质量安全</w:t>
      </w:r>
      <w:r>
        <w:rPr>
          <w:rFonts w:hint="eastAsia" w:eastAsia="仿宋_GB2312" w:cs="Times New Roman"/>
          <w:b w:val="0"/>
          <w:bCs w:val="0"/>
          <w:sz w:val="32"/>
          <w:szCs w:val="32"/>
          <w:highlight w:val="none"/>
          <w:lang w:val="en-US" w:eastAsia="zh-CN"/>
        </w:rPr>
        <w:t>风险</w:t>
      </w:r>
      <w:r>
        <w:rPr>
          <w:rFonts w:hint="default" w:ascii="Times New Roman" w:hAnsi="Times New Roman" w:eastAsia="仿宋_GB2312" w:cs="Times New Roman"/>
          <w:b w:val="0"/>
          <w:bCs w:val="0"/>
          <w:sz w:val="32"/>
          <w:szCs w:val="32"/>
          <w:highlight w:val="none"/>
          <w:lang w:val="en-US" w:eastAsia="zh-CN"/>
        </w:rPr>
        <w:t>监测&gt;的通知》（</w:t>
      </w:r>
      <w:r>
        <w:rPr>
          <w:rFonts w:hint="default" w:ascii="Times New Roman" w:hAnsi="Times New Roman" w:eastAsia="仿宋" w:cs="Times New Roman"/>
          <w:b w:val="0"/>
          <w:bCs w:val="0"/>
          <w:sz w:val="32"/>
          <w:szCs w:val="32"/>
          <w:highlight w:val="none"/>
          <w:lang w:val="en-US" w:eastAsia="zh-CN"/>
        </w:rPr>
        <w:t>新</w:t>
      </w:r>
      <w:r>
        <w:rPr>
          <w:rFonts w:hint="eastAsia" w:eastAsia="仿宋" w:cs="Times New Roman"/>
          <w:b w:val="0"/>
          <w:bCs w:val="0"/>
          <w:sz w:val="32"/>
          <w:szCs w:val="32"/>
          <w:highlight w:val="none"/>
          <w:lang w:val="en-US" w:eastAsia="zh-CN"/>
        </w:rPr>
        <w:t>农办</w:t>
      </w:r>
      <w:r>
        <w:rPr>
          <w:rFonts w:hint="default" w:ascii="Times New Roman" w:hAnsi="Times New Roman" w:eastAsia="仿宋" w:cs="Times New Roman"/>
          <w:b w:val="0"/>
          <w:bCs w:val="0"/>
          <w:sz w:val="32"/>
          <w:szCs w:val="32"/>
          <w:highlight w:val="none"/>
          <w:lang w:val="en-US" w:eastAsia="zh-CN"/>
        </w:rPr>
        <w:t>牧〔202</w:t>
      </w:r>
      <w:r>
        <w:rPr>
          <w:rFonts w:hint="eastAsia" w:eastAsia="仿宋" w:cs="Times New Roman"/>
          <w:b w:val="0"/>
          <w:bCs w:val="0"/>
          <w:sz w:val="32"/>
          <w:szCs w:val="32"/>
          <w:highlight w:val="none"/>
          <w:lang w:val="en-US" w:eastAsia="zh-CN"/>
        </w:rPr>
        <w:t>4</w:t>
      </w:r>
      <w:r>
        <w:rPr>
          <w:rFonts w:hint="default" w:ascii="Times New Roman" w:hAnsi="Times New Roman" w:eastAsia="仿宋" w:cs="Times New Roman"/>
          <w:b w:val="0"/>
          <w:bCs w:val="0"/>
          <w:sz w:val="32"/>
          <w:szCs w:val="32"/>
          <w:highlight w:val="none"/>
          <w:lang w:val="en-US" w:eastAsia="zh-CN"/>
        </w:rPr>
        <w:t>〕</w:t>
      </w:r>
      <w:r>
        <w:rPr>
          <w:rFonts w:hint="eastAsia" w:eastAsia="仿宋" w:cs="Times New Roman"/>
          <w:b w:val="0"/>
          <w:bCs w:val="0"/>
          <w:sz w:val="32"/>
          <w:szCs w:val="32"/>
          <w:highlight w:val="none"/>
          <w:lang w:val="en-US" w:eastAsia="zh-CN"/>
        </w:rPr>
        <w:t>16</w:t>
      </w:r>
      <w:r>
        <w:rPr>
          <w:rFonts w:hint="default" w:ascii="Times New Roman" w:hAnsi="Times New Roman" w:eastAsia="仿宋" w:cs="Times New Roman"/>
          <w:b w:val="0"/>
          <w:bCs w:val="0"/>
          <w:sz w:val="32"/>
          <w:szCs w:val="32"/>
          <w:highlight w:val="none"/>
          <w:lang w:val="en-US" w:eastAsia="zh-CN"/>
        </w:rPr>
        <w:t>号）、</w:t>
      </w:r>
      <w:r>
        <w:rPr>
          <w:rFonts w:hint="default" w:ascii="Times New Roman" w:hAnsi="Times New Roman" w:eastAsia="仿宋_GB2312" w:cs="Times New Roman"/>
          <w:b w:val="0"/>
          <w:i w:val="0"/>
          <w:caps w:val="0"/>
          <w:color w:val="000000" w:themeColor="text1"/>
          <w:spacing w:val="0"/>
          <w:w w:val="100"/>
          <w:sz w:val="32"/>
          <w:szCs w:val="32"/>
          <w:highlight w:val="none"/>
          <w:lang w:val="en-US" w:eastAsia="zh-CN"/>
          <w14:textFill>
            <w14:solidFill>
              <w14:schemeClr w14:val="tx1"/>
            </w14:solidFill>
          </w14:textFill>
        </w:rPr>
        <w:t>《新疆维吾尔自治区畜牧兽医局关于印发&lt;202</w:t>
      </w:r>
      <w:r>
        <w:rPr>
          <w:rFonts w:hint="eastAsia" w:eastAsia="仿宋_GB2312" w:cs="Times New Roman"/>
          <w:b w:val="0"/>
          <w:i w:val="0"/>
          <w:caps w:val="0"/>
          <w:color w:val="000000" w:themeColor="text1"/>
          <w:spacing w:val="0"/>
          <w:w w:val="100"/>
          <w:sz w:val="32"/>
          <w:szCs w:val="32"/>
          <w:highlight w:val="none"/>
          <w:lang w:val="en-US" w:eastAsia="zh-CN"/>
          <w14:textFill>
            <w14:solidFill>
              <w14:schemeClr w14:val="tx1"/>
            </w14:solidFill>
          </w14:textFill>
        </w:rPr>
        <w:t>4</w:t>
      </w:r>
      <w:r>
        <w:rPr>
          <w:rFonts w:hint="default" w:ascii="Times New Roman" w:hAnsi="Times New Roman" w:eastAsia="仿宋_GB2312" w:cs="Times New Roman"/>
          <w:b w:val="0"/>
          <w:i w:val="0"/>
          <w:caps w:val="0"/>
          <w:color w:val="000000" w:themeColor="text1"/>
          <w:spacing w:val="0"/>
          <w:w w:val="100"/>
          <w:sz w:val="32"/>
          <w:szCs w:val="32"/>
          <w:highlight w:val="none"/>
          <w:lang w:val="en-US" w:eastAsia="zh-CN"/>
          <w14:textFill>
            <w14:solidFill>
              <w14:schemeClr w14:val="tx1"/>
            </w14:solidFill>
          </w14:textFill>
        </w:rPr>
        <w:t>年自治区饲料质量安全监管工作方案&gt;的通知》（新牧饲字〔202</w:t>
      </w:r>
      <w:r>
        <w:rPr>
          <w:rFonts w:hint="eastAsia" w:eastAsia="仿宋_GB2312" w:cs="Times New Roman"/>
          <w:b w:val="0"/>
          <w:i w:val="0"/>
          <w:caps w:val="0"/>
          <w:color w:val="000000" w:themeColor="text1"/>
          <w:spacing w:val="0"/>
          <w:w w:val="100"/>
          <w:sz w:val="32"/>
          <w:szCs w:val="32"/>
          <w:highlight w:val="none"/>
          <w:lang w:val="en-US" w:eastAsia="zh-CN"/>
          <w14:textFill>
            <w14:solidFill>
              <w14:schemeClr w14:val="tx1"/>
            </w14:solidFill>
          </w14:textFill>
        </w:rPr>
        <w:t>4</w:t>
      </w:r>
      <w:r>
        <w:rPr>
          <w:rFonts w:hint="default" w:ascii="Times New Roman" w:hAnsi="Times New Roman" w:eastAsia="仿宋_GB2312" w:cs="Times New Roman"/>
          <w:b w:val="0"/>
          <w:i w:val="0"/>
          <w:caps w:val="0"/>
          <w:color w:val="000000" w:themeColor="text1"/>
          <w:spacing w:val="0"/>
          <w:w w:val="100"/>
          <w:sz w:val="32"/>
          <w:szCs w:val="32"/>
          <w:highlight w:val="none"/>
          <w:lang w:val="en-US" w:eastAsia="zh-CN"/>
          <w14:textFill>
            <w14:solidFill>
              <w14:schemeClr w14:val="tx1"/>
            </w14:solidFill>
          </w14:textFill>
        </w:rPr>
        <w:t>〕1号）、</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b w:val="0"/>
          <w:i w:val="0"/>
          <w:caps w:val="0"/>
          <w:color w:val="000000" w:themeColor="text1"/>
          <w:spacing w:val="0"/>
          <w:w w:val="100"/>
          <w:sz w:val="32"/>
          <w:szCs w:val="32"/>
          <w:highlight w:val="none"/>
          <w:lang w:val="en-US" w:eastAsia="zh-CN"/>
          <w14:textFill>
            <w14:solidFill>
              <w14:schemeClr w14:val="tx1"/>
            </w14:solidFill>
          </w14:textFill>
        </w:rPr>
        <w:t>新疆维吾尔</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自治区</w:t>
      </w:r>
      <w:r>
        <w:rPr>
          <w:rFonts w:hint="eastAsia" w:eastAsia="仿宋_GB2312" w:cs="Times New Roman"/>
          <w:color w:val="000000" w:themeColor="text1"/>
          <w:sz w:val="32"/>
          <w:szCs w:val="32"/>
          <w:highlight w:val="none"/>
          <w:lang w:val="en-US" w:eastAsia="zh-CN"/>
          <w14:textFill>
            <w14:solidFill>
              <w14:schemeClr w14:val="tx1"/>
            </w14:solidFill>
          </w14:textFill>
        </w:rPr>
        <w:t>农业农村厅</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关于印发＜202</w:t>
      </w:r>
      <w:r>
        <w:rPr>
          <w:rFonts w:hint="eastAsia" w:eastAsia="仿宋_GB2312" w:cs="Times New Roman"/>
          <w:color w:val="000000" w:themeColor="text1"/>
          <w:sz w:val="32"/>
          <w:szCs w:val="32"/>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年自治区兽药质量监督抽检和风险监测等3个</w:t>
      </w:r>
      <w:r>
        <w:rPr>
          <w:rFonts w:hint="eastAsia" w:eastAsia="仿宋_GB2312" w:cs="Times New Roman"/>
          <w:color w:val="000000" w:themeColor="text1"/>
          <w:sz w:val="32"/>
          <w:szCs w:val="32"/>
          <w:highlight w:val="none"/>
          <w:lang w:val="en-US" w:eastAsia="zh-CN"/>
          <w14:textFill>
            <w14:solidFill>
              <w14:schemeClr w14:val="tx1"/>
            </w14:solidFill>
          </w14:textFill>
        </w:rPr>
        <w:t>工作</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计划＞的通知》</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新</w:t>
      </w:r>
      <w:r>
        <w:rPr>
          <w:rFonts w:hint="eastAsia" w:eastAsia="仿宋_GB2312" w:cs="Times New Roman"/>
          <w:color w:val="000000" w:themeColor="text1"/>
          <w:sz w:val="32"/>
          <w:szCs w:val="32"/>
          <w:highlight w:val="none"/>
          <w:lang w:val="en-US" w:eastAsia="zh-CN"/>
          <w14:textFill>
            <w14:solidFill>
              <w14:schemeClr w14:val="tx1"/>
            </w14:solidFill>
          </w14:textFill>
        </w:rPr>
        <w:t>农办牧</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〔202</w:t>
      </w:r>
      <w:r>
        <w:rPr>
          <w:rFonts w:hint="eastAsia" w:eastAsia="仿宋_GB2312" w:cs="Times New Roman"/>
          <w:color w:val="000000" w:themeColor="text1"/>
          <w:sz w:val="32"/>
          <w:szCs w:val="32"/>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w:t>
      </w:r>
      <w:r>
        <w:rPr>
          <w:rFonts w:hint="eastAsia" w:eastAsia="仿宋_GB2312" w:cs="Times New Roman"/>
          <w:color w:val="000000" w:themeColor="text1"/>
          <w:sz w:val="32"/>
          <w:szCs w:val="32"/>
          <w:highlight w:val="none"/>
          <w:lang w:val="en-US" w:eastAsia="zh-CN"/>
          <w14:textFill>
            <w14:solidFill>
              <w14:schemeClr w14:val="tx1"/>
            </w14:solidFill>
          </w14:textFill>
        </w:rPr>
        <w:t>19</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号</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sz w:val="32"/>
          <w:szCs w:val="32"/>
          <w:highlight w:val="none"/>
          <w:lang w:val="en-US" w:eastAsia="zh-CN"/>
        </w:rPr>
        <w:t>文件</w:t>
      </w:r>
      <w:r>
        <w:rPr>
          <w:rFonts w:hint="default" w:ascii="Times New Roman" w:hAnsi="Times New Roman" w:eastAsia="仿宋_GB2312" w:cs="Times New Roman"/>
          <w:color w:val="000000"/>
          <w:sz w:val="32"/>
          <w:szCs w:val="32"/>
          <w:highlight w:val="none"/>
          <w:lang w:val="en-US" w:eastAsia="zh-CN"/>
        </w:rPr>
        <w:t>要求</w:t>
      </w:r>
      <w:r>
        <w:rPr>
          <w:rFonts w:hint="default" w:ascii="Times New Roman" w:hAnsi="Times New Roman" w:eastAsia="仿宋_GB2312" w:cs="Times New Roman"/>
          <w:color w:val="000000"/>
          <w:sz w:val="32"/>
          <w:szCs w:val="32"/>
          <w:highlight w:val="none"/>
          <w:lang w:eastAsia="zh-CN"/>
        </w:rPr>
        <w:t>，</w:t>
      </w:r>
      <w:r>
        <w:rPr>
          <w:rFonts w:hint="default" w:ascii="Times New Roman" w:hAnsi="Times New Roman" w:eastAsia="仿宋_GB2312" w:cs="Times New Roman"/>
          <w:color w:val="000000"/>
          <w:sz w:val="32"/>
          <w:szCs w:val="32"/>
          <w:highlight w:val="none"/>
        </w:rPr>
        <w:t>按照资金补助项目要求，首先成立项目实施领导小组，做出全年详细工作计划和具体的实施方案，项目的实施由业务室和相关检测科室完成，资金使用情况由财务室定期汇报给所领导。业务室根据实施方案安排抽样，任务下达、结果上报。检测科室根据检测任务对所需的试剂耗材、设备、标准品进行申购和维修。财务科及时拨付项目资金，并按进度开展绩效评价，各科室各司其职，相互协调配合，保证了项目的顺利实施和验收。</w:t>
      </w:r>
    </w:p>
    <w:p>
      <w:pPr>
        <w:pageBreakBefore w:val="0"/>
        <w:kinsoku/>
        <w:wordWrap/>
        <w:overflowPunct/>
        <w:topLinePunct w:val="0"/>
        <w:autoSpaceDE/>
        <w:bidi w:val="0"/>
        <w:adjustRightInd/>
        <w:snapToGrid/>
        <w:spacing w:line="560" w:lineRule="exact"/>
        <w:ind w:firstLine="640" w:firstLineChars="200"/>
        <w:textAlignment w:val="auto"/>
        <w:rPr>
          <w:rFonts w:hint="default" w:ascii="Times New Roman" w:hAnsi="Times New Roman" w:cs="Times New Roman"/>
          <w:sz w:val="32"/>
          <w:szCs w:val="32"/>
          <w:highlight w:val="none"/>
        </w:rPr>
      </w:pPr>
      <w:r>
        <w:rPr>
          <w:rFonts w:hint="default" w:ascii="Times New Roman" w:hAnsi="Times New Roman" w:eastAsia="仿宋_GB2312" w:cs="Times New Roman"/>
          <w:kern w:val="0"/>
          <w:sz w:val="32"/>
          <w:szCs w:val="32"/>
          <w:highlight w:val="none"/>
        </w:rPr>
        <w:t>项目的日常管理工作均按照我单位相关管理制度执行，建立年初工作有计划，实施有方案、日常有监督的管理机制，下发目标绩效考核管理办法，</w:t>
      </w:r>
      <w:r>
        <w:rPr>
          <w:rFonts w:hint="default" w:ascii="Times New Roman" w:hAnsi="Times New Roman" w:eastAsia="仿宋_GB2312" w:cs="Times New Roman"/>
          <w:kern w:val="0"/>
          <w:sz w:val="32"/>
          <w:szCs w:val="32"/>
          <w:highlight w:val="none"/>
          <w:lang w:val="en-US" w:eastAsia="zh-CN"/>
        </w:rPr>
        <w:t>确保</w:t>
      </w:r>
      <w:r>
        <w:rPr>
          <w:rFonts w:hint="default" w:ascii="Times New Roman" w:hAnsi="Times New Roman" w:eastAsia="仿宋_GB2312" w:cs="Times New Roman"/>
          <w:kern w:val="0"/>
          <w:sz w:val="32"/>
          <w:szCs w:val="32"/>
          <w:highlight w:val="none"/>
        </w:rPr>
        <w:t>项目工作</w:t>
      </w:r>
      <w:r>
        <w:rPr>
          <w:rFonts w:hint="default" w:ascii="Times New Roman" w:hAnsi="Times New Roman" w:eastAsia="仿宋_GB2312" w:cs="Times New Roman"/>
          <w:kern w:val="0"/>
          <w:sz w:val="32"/>
          <w:szCs w:val="32"/>
          <w:highlight w:val="none"/>
          <w:lang w:val="en-US" w:eastAsia="zh-CN"/>
        </w:rPr>
        <w:t>准确高效的完成</w:t>
      </w:r>
      <w:r>
        <w:rPr>
          <w:rFonts w:hint="default" w:ascii="Times New Roman" w:hAnsi="Times New Roman" w:eastAsia="仿宋_GB2312" w:cs="Times New Roman"/>
          <w:kern w:val="0"/>
          <w:sz w:val="32"/>
          <w:szCs w:val="32"/>
          <w:highlight w:val="none"/>
        </w:rPr>
        <w:t>。</w:t>
      </w:r>
    </w:p>
    <w:p>
      <w:pPr>
        <w:pStyle w:val="19"/>
        <w:pageBreakBefore w:val="0"/>
        <w:kinsoku/>
        <w:wordWrap/>
        <w:overflowPunct/>
        <w:topLinePunct w:val="0"/>
        <w:autoSpaceDE/>
        <w:bidi w:val="0"/>
        <w:adjustRightInd/>
        <w:snapToGrid/>
        <w:spacing w:line="560" w:lineRule="exact"/>
        <w:ind w:firstLine="642" w:firstLineChars="200"/>
        <w:jc w:val="both"/>
        <w:textAlignment w:val="auto"/>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（二）项目过程情况</w:t>
      </w:r>
    </w:p>
    <w:p>
      <w:pPr>
        <w:pageBreakBefore w:val="0"/>
        <w:kinsoku/>
        <w:wordWrap/>
        <w:overflowPunct/>
        <w:topLinePunct w:val="0"/>
        <w:autoSpaceDE/>
        <w:bidi w:val="0"/>
        <w:adjustRightInd/>
        <w:snapToGrid/>
        <w:spacing w:line="560" w:lineRule="exact"/>
        <w:ind w:firstLine="624"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pacing w:val="-4"/>
          <w:sz w:val="32"/>
          <w:szCs w:val="32"/>
          <w:highlight w:val="none"/>
        </w:rPr>
        <w:t>本项目从申报到实施都符合上级主管部门的相关要求，实施单位的职能和能力符合申报的要求，项目的实际完成数量等于或超过预期数量，在质量、时效完成情况上符合申报要求和上级主管部门的要求。</w:t>
      </w:r>
      <w:r>
        <w:rPr>
          <w:rFonts w:hint="default" w:ascii="Times New Roman" w:hAnsi="Times New Roman" w:eastAsia="仿宋_GB2312" w:cs="Times New Roman"/>
          <w:sz w:val="32"/>
          <w:szCs w:val="32"/>
          <w:highlight w:val="none"/>
        </w:rPr>
        <w:t>项目实施单位的业务管理制度全面、完整、合理，符合相关法律法规。项目调整支出手续完备设立独立专项账目，检测记录、总结报告等资料齐全并统一归档。项目实施单位的人员、场地、设备、技术能力等符合项目的实施要求，为完成项目实施有效性，单位对人员的技术能力进行定期培训，对设备定期维护、保养、检定，参加全国能力验证、比对试验，保证检测结果的准确性，可靠性。</w:t>
      </w:r>
    </w:p>
    <w:p>
      <w:pPr>
        <w:pageBreakBefore w:val="0"/>
        <w:kinsoku/>
        <w:wordWrap/>
        <w:overflowPunct/>
        <w:topLinePunct w:val="0"/>
        <w:autoSpaceDE/>
        <w:autoSpaceDN w:val="0"/>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财务管理制度全面、完整、合理，符合相关会计制度的规定，资金拨付的审批程序手续完整。项目资金使用符合国家财经法规和财务管理制度项目资金使用符合相关专项资金管理办法的规定，做到专款专用，没有截留、挤占、挪用、虚列支出等情况，为保障资金的安全、规范运行建立了岗位责任制、内部监督等机制，做到会计核算规范、信息真实。各项绩效目标完成值均达到或超过项目绩效设定指标值。</w:t>
      </w:r>
      <w:r>
        <w:rPr>
          <w:rFonts w:hint="default" w:ascii="Times New Roman" w:hAnsi="Times New Roman" w:eastAsia="仿宋_GB2312" w:cs="Times New Roman"/>
          <w:sz w:val="32"/>
          <w:szCs w:val="32"/>
          <w:highlight w:val="none"/>
          <w:lang w:val="en-US" w:eastAsia="zh-CN"/>
        </w:rPr>
        <w:t xml:space="preserve"> </w:t>
      </w:r>
    </w:p>
    <w:p>
      <w:pPr>
        <w:pStyle w:val="19"/>
        <w:pageBreakBefore w:val="0"/>
        <w:kinsoku/>
        <w:wordWrap/>
        <w:overflowPunct/>
        <w:topLinePunct w:val="0"/>
        <w:autoSpaceDE/>
        <w:bidi w:val="0"/>
        <w:adjustRightInd/>
        <w:snapToGrid/>
        <w:spacing w:line="560" w:lineRule="exact"/>
        <w:ind w:firstLine="642" w:firstLineChars="200"/>
        <w:jc w:val="both"/>
        <w:textAlignment w:val="auto"/>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（三）项目产出情况</w:t>
      </w:r>
    </w:p>
    <w:p>
      <w:pPr>
        <w:pageBreakBefore w:val="0"/>
        <w:kinsoku/>
        <w:wordWrap/>
        <w:overflowPunct/>
        <w:topLinePunct w:val="0"/>
        <w:autoSpaceDE/>
        <w:bidi w:val="0"/>
        <w:adjustRightInd/>
        <w:snapToGrid/>
        <w:spacing w:line="560" w:lineRule="exact"/>
        <w:ind w:firstLine="624" w:firstLineChars="200"/>
        <w:textAlignment w:val="auto"/>
        <w:rPr>
          <w:rStyle w:val="24"/>
          <w:rFonts w:hint="default" w:ascii="Times New Roman" w:hAnsi="Times New Roman" w:eastAsia="仿宋" w:cs="Times New Roman"/>
          <w:b w:val="0"/>
          <w:spacing w:val="-4"/>
          <w:sz w:val="32"/>
          <w:szCs w:val="32"/>
          <w:highlight w:val="none"/>
        </w:rPr>
      </w:pPr>
      <w:r>
        <w:rPr>
          <w:rStyle w:val="24"/>
          <w:rFonts w:hint="default" w:ascii="Times New Roman" w:hAnsi="Times New Roman" w:eastAsia="仿宋" w:cs="Times New Roman"/>
          <w:b w:val="0"/>
          <w:spacing w:val="-4"/>
          <w:sz w:val="32"/>
          <w:szCs w:val="32"/>
          <w:highlight w:val="none"/>
        </w:rPr>
        <w:t>数量指标方面：</w:t>
      </w:r>
    </w:p>
    <w:p>
      <w:pPr>
        <w:pageBreakBefore w:val="0"/>
        <w:kinsoku/>
        <w:wordWrap/>
        <w:overflowPunct/>
        <w:topLinePunct w:val="0"/>
        <w:autoSpaceDE/>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a.</w:t>
      </w:r>
      <w:r>
        <w:rPr>
          <w:rFonts w:hint="default" w:ascii="Times New Roman" w:hAnsi="Times New Roman" w:eastAsia="仿宋_GB2312" w:cs="Times New Roman"/>
          <w:color w:val="auto"/>
          <w:sz w:val="32"/>
          <w:szCs w:val="32"/>
          <w:highlight w:val="none"/>
        </w:rPr>
        <w:t>兽药、饲料、畜产品质量</w:t>
      </w:r>
      <w:r>
        <w:rPr>
          <w:rFonts w:hint="default" w:ascii="Times New Roman" w:hAnsi="Times New Roman" w:eastAsia="仿宋_GB2312" w:cs="Times New Roman"/>
          <w:color w:val="auto"/>
          <w:sz w:val="32"/>
          <w:szCs w:val="32"/>
          <w:highlight w:val="none"/>
          <w:lang w:val="en-US" w:eastAsia="zh-CN"/>
        </w:rPr>
        <w:t>检测</w:t>
      </w:r>
      <w:r>
        <w:rPr>
          <w:rFonts w:hint="default" w:ascii="Times New Roman" w:hAnsi="Times New Roman" w:eastAsia="仿宋_GB2312" w:cs="Times New Roman"/>
          <w:color w:val="auto"/>
          <w:sz w:val="32"/>
          <w:szCs w:val="32"/>
          <w:highlight w:val="none"/>
          <w:lang w:eastAsia="zh-CN"/>
        </w:rPr>
        <w:t>指标</w:t>
      </w:r>
      <w:r>
        <w:rPr>
          <w:rFonts w:hint="default" w:ascii="Times New Roman" w:hAnsi="Times New Roman" w:eastAsia="仿宋_GB2312" w:cs="Times New Roman"/>
          <w:color w:val="auto"/>
          <w:sz w:val="32"/>
          <w:szCs w:val="32"/>
          <w:highlight w:val="none"/>
          <w:lang w:val="en-US" w:eastAsia="zh-CN"/>
        </w:rPr>
        <w:t>，指标值为完成监测大于等于2600批次，实际完成兽药质量监测800批次，</w:t>
      </w:r>
      <w:r>
        <w:rPr>
          <w:rFonts w:hint="default" w:ascii="Times New Roman" w:hAnsi="Times New Roman" w:eastAsia="仿宋_GB2312" w:cs="Times New Roman"/>
          <w:color w:val="auto"/>
          <w:kern w:val="0"/>
          <w:sz w:val="32"/>
          <w:szCs w:val="32"/>
          <w:highlight w:val="none"/>
          <w:lang w:val="en-US" w:eastAsia="zh-CN"/>
        </w:rPr>
        <w:t>饲料质量安全监测400批次，</w:t>
      </w:r>
      <w:r>
        <w:rPr>
          <w:rFonts w:hint="default" w:ascii="Times New Roman" w:hAnsi="Times New Roman" w:eastAsia="仿宋_GB2312" w:cs="Times New Roman"/>
          <w:color w:val="auto"/>
          <w:kern w:val="0"/>
          <w:sz w:val="32"/>
          <w:szCs w:val="32"/>
          <w:highlight w:val="none"/>
        </w:rPr>
        <w:t>畜产品质量安全监测1</w:t>
      </w:r>
      <w:r>
        <w:rPr>
          <w:rFonts w:hint="default" w:ascii="Times New Roman" w:hAnsi="Times New Roman" w:eastAsia="仿宋_GB2312" w:cs="Times New Roman"/>
          <w:color w:val="auto"/>
          <w:kern w:val="0"/>
          <w:sz w:val="32"/>
          <w:szCs w:val="32"/>
          <w:highlight w:val="none"/>
          <w:lang w:val="en-US" w:eastAsia="zh-CN"/>
        </w:rPr>
        <w:t>4</w:t>
      </w:r>
      <w:r>
        <w:rPr>
          <w:rFonts w:hint="default" w:ascii="Times New Roman" w:hAnsi="Times New Roman" w:eastAsia="仿宋_GB2312" w:cs="Times New Roman"/>
          <w:color w:val="auto"/>
          <w:kern w:val="0"/>
          <w:sz w:val="32"/>
          <w:szCs w:val="32"/>
          <w:highlight w:val="none"/>
        </w:rPr>
        <w:t>00批次</w:t>
      </w:r>
      <w:r>
        <w:rPr>
          <w:rFonts w:hint="default" w:ascii="Times New Roman" w:hAnsi="Times New Roman" w:eastAsia="仿宋_GB2312" w:cs="Times New Roman"/>
          <w:color w:val="auto"/>
          <w:kern w:val="0"/>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完成率100%，偏差率0%。</w:t>
      </w:r>
    </w:p>
    <w:p>
      <w:pPr>
        <w:pageBreakBefore w:val="0"/>
        <w:kinsoku/>
        <w:wordWrap/>
        <w:overflowPunct/>
        <w:topLinePunct w:val="0"/>
        <w:autoSpaceDE/>
        <w:bidi w:val="0"/>
        <w:adjustRightInd/>
        <w:snapToGrid/>
        <w:spacing w:line="560" w:lineRule="exact"/>
        <w:ind w:firstLine="640" w:firstLineChars="200"/>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b.</w:t>
      </w:r>
      <w:r>
        <w:rPr>
          <w:rFonts w:hint="default" w:ascii="Times New Roman" w:hAnsi="Times New Roman" w:eastAsia="仿宋_GB2312" w:cs="Times New Roman"/>
          <w:color w:val="auto"/>
          <w:kern w:val="0"/>
          <w:sz w:val="32"/>
          <w:szCs w:val="32"/>
          <w:highlight w:val="none"/>
        </w:rPr>
        <w:t>动物源细菌耐药性监测</w:t>
      </w:r>
      <w:r>
        <w:rPr>
          <w:rFonts w:hint="default" w:ascii="Times New Roman" w:hAnsi="Times New Roman" w:eastAsia="仿宋_GB2312" w:cs="Times New Roman"/>
          <w:color w:val="auto"/>
          <w:kern w:val="0"/>
          <w:sz w:val="32"/>
          <w:szCs w:val="32"/>
          <w:highlight w:val="none"/>
          <w:lang w:eastAsia="zh-CN"/>
        </w:rPr>
        <w:t>指标，指标值为完成</w:t>
      </w:r>
      <w:r>
        <w:rPr>
          <w:rFonts w:hint="default" w:ascii="Times New Roman" w:hAnsi="Times New Roman" w:eastAsia="仿宋_GB2312" w:cs="Times New Roman"/>
          <w:color w:val="auto"/>
          <w:kern w:val="0"/>
          <w:sz w:val="32"/>
          <w:szCs w:val="32"/>
          <w:highlight w:val="none"/>
        </w:rPr>
        <w:t>动物源细菌耐药性监测工作</w:t>
      </w:r>
      <w:r>
        <w:rPr>
          <w:rFonts w:hint="default" w:ascii="Times New Roman" w:hAnsi="Times New Roman" w:eastAsia="仿宋_GB2312" w:cs="Times New Roman"/>
          <w:color w:val="auto"/>
          <w:kern w:val="0"/>
          <w:sz w:val="32"/>
          <w:szCs w:val="32"/>
          <w:highlight w:val="none"/>
          <w:lang w:val="en-US" w:eastAsia="zh-CN"/>
        </w:rPr>
        <w:t>200批次，实际完成200批次，完成率100%，偏差率0%。</w:t>
      </w:r>
    </w:p>
    <w:p>
      <w:pPr>
        <w:pageBreakBefore w:val="0"/>
        <w:kinsoku/>
        <w:wordWrap/>
        <w:overflowPunct/>
        <w:topLinePunct w:val="0"/>
        <w:autoSpaceDE/>
        <w:bidi w:val="0"/>
        <w:adjustRightInd/>
        <w:snapToGrid/>
        <w:spacing w:line="560" w:lineRule="exact"/>
        <w:ind w:firstLine="640" w:firstLineChars="200"/>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c.</w:t>
      </w:r>
      <w:r>
        <w:rPr>
          <w:rFonts w:hint="default" w:ascii="Times New Roman" w:hAnsi="Times New Roman" w:eastAsia="仿宋_GB2312" w:cs="Times New Roman"/>
          <w:color w:val="auto"/>
          <w:kern w:val="0"/>
          <w:sz w:val="32"/>
          <w:szCs w:val="32"/>
          <w:highlight w:val="none"/>
        </w:rPr>
        <w:t>设备</w:t>
      </w:r>
      <w:r>
        <w:rPr>
          <w:rFonts w:hint="eastAsia" w:eastAsia="仿宋_GB2312" w:cs="Times New Roman"/>
          <w:color w:val="auto"/>
          <w:kern w:val="0"/>
          <w:sz w:val="32"/>
          <w:szCs w:val="32"/>
          <w:highlight w:val="none"/>
          <w:lang w:val="en-US" w:eastAsia="zh-CN"/>
        </w:rPr>
        <w:t>采购数量</w:t>
      </w:r>
      <w:r>
        <w:rPr>
          <w:rFonts w:hint="default" w:ascii="Times New Roman" w:hAnsi="Times New Roman" w:eastAsia="仿宋_GB2312" w:cs="Times New Roman"/>
          <w:color w:val="auto"/>
          <w:kern w:val="0"/>
          <w:sz w:val="32"/>
          <w:szCs w:val="32"/>
          <w:highlight w:val="none"/>
          <w:lang w:eastAsia="zh-CN"/>
        </w:rPr>
        <w:t>指标，</w:t>
      </w:r>
      <w:r>
        <w:rPr>
          <w:rFonts w:hint="default" w:ascii="Times New Roman" w:hAnsi="Times New Roman" w:eastAsia="仿宋_GB2312" w:cs="Times New Roman"/>
          <w:color w:val="auto"/>
          <w:kern w:val="0"/>
          <w:sz w:val="32"/>
          <w:szCs w:val="32"/>
          <w:highlight w:val="none"/>
          <w:lang w:val="en-US" w:eastAsia="zh-CN"/>
        </w:rPr>
        <w:t>指标值为</w:t>
      </w:r>
      <w:r>
        <w:rPr>
          <w:rFonts w:hint="default" w:ascii="Times New Roman" w:hAnsi="Times New Roman" w:eastAsia="仿宋_GB2312" w:cs="Times New Roman"/>
          <w:color w:val="auto"/>
          <w:kern w:val="0"/>
          <w:sz w:val="32"/>
          <w:szCs w:val="32"/>
          <w:highlight w:val="none"/>
        </w:rPr>
        <w:t>设备</w:t>
      </w:r>
      <w:r>
        <w:rPr>
          <w:rFonts w:hint="eastAsia" w:eastAsia="仿宋_GB2312" w:cs="Times New Roman"/>
          <w:color w:val="auto"/>
          <w:kern w:val="0"/>
          <w:sz w:val="32"/>
          <w:szCs w:val="32"/>
          <w:highlight w:val="none"/>
          <w:lang w:val="en-US" w:eastAsia="zh-CN"/>
        </w:rPr>
        <w:t>采购数量</w:t>
      </w:r>
      <w:r>
        <w:rPr>
          <w:rFonts w:hint="default" w:ascii="Times New Roman" w:hAnsi="Times New Roman" w:eastAsia="仿宋_GB2312" w:cs="Times New Roman"/>
          <w:color w:val="auto"/>
          <w:kern w:val="0"/>
          <w:sz w:val="32"/>
          <w:szCs w:val="32"/>
          <w:highlight w:val="none"/>
          <w:lang w:eastAsia="zh-CN"/>
        </w:rPr>
        <w:t>大于等于</w:t>
      </w:r>
      <w:r>
        <w:rPr>
          <w:rFonts w:hint="default" w:ascii="Times New Roman" w:hAnsi="Times New Roman" w:eastAsia="仿宋_GB2312" w:cs="Times New Roman"/>
          <w:color w:val="auto"/>
          <w:kern w:val="0"/>
          <w:sz w:val="32"/>
          <w:szCs w:val="32"/>
          <w:highlight w:val="none"/>
          <w:lang w:val="en-US" w:eastAsia="zh-CN"/>
        </w:rPr>
        <w:t>1</w:t>
      </w:r>
      <w:r>
        <w:rPr>
          <w:rFonts w:hint="eastAsia" w:eastAsia="仿宋_GB2312" w:cs="Times New Roman"/>
          <w:color w:val="auto"/>
          <w:kern w:val="0"/>
          <w:sz w:val="32"/>
          <w:szCs w:val="32"/>
          <w:highlight w:val="none"/>
          <w:lang w:val="en-US" w:eastAsia="zh-CN"/>
        </w:rPr>
        <w:t>2</w:t>
      </w:r>
      <w:r>
        <w:rPr>
          <w:rFonts w:hint="default" w:ascii="Times New Roman" w:hAnsi="Times New Roman" w:eastAsia="仿宋_GB2312" w:cs="Times New Roman"/>
          <w:color w:val="auto"/>
          <w:kern w:val="0"/>
          <w:sz w:val="32"/>
          <w:szCs w:val="32"/>
          <w:highlight w:val="none"/>
          <w:lang w:val="en-US" w:eastAsia="zh-CN"/>
        </w:rPr>
        <w:t>台，实际购置1</w:t>
      </w:r>
      <w:r>
        <w:rPr>
          <w:rFonts w:hint="eastAsia" w:eastAsia="仿宋_GB2312" w:cs="Times New Roman"/>
          <w:color w:val="auto"/>
          <w:kern w:val="0"/>
          <w:sz w:val="32"/>
          <w:szCs w:val="32"/>
          <w:highlight w:val="none"/>
          <w:lang w:val="en-US" w:eastAsia="zh-CN"/>
        </w:rPr>
        <w:t>2</w:t>
      </w:r>
      <w:r>
        <w:rPr>
          <w:rFonts w:hint="default" w:ascii="Times New Roman" w:hAnsi="Times New Roman" w:eastAsia="仿宋_GB2312" w:cs="Times New Roman"/>
          <w:color w:val="auto"/>
          <w:kern w:val="0"/>
          <w:sz w:val="32"/>
          <w:szCs w:val="32"/>
          <w:highlight w:val="none"/>
          <w:lang w:val="en-US" w:eastAsia="zh-CN"/>
        </w:rPr>
        <w:t>台套，完成率100%，偏差率0%。</w:t>
      </w:r>
    </w:p>
    <w:p>
      <w:pPr>
        <w:pageBreakBefore w:val="0"/>
        <w:kinsoku/>
        <w:wordWrap/>
        <w:overflowPunct/>
        <w:topLinePunct w:val="0"/>
        <w:autoSpaceDE/>
        <w:bidi w:val="0"/>
        <w:adjustRightInd/>
        <w:snapToGrid/>
        <w:spacing w:line="560" w:lineRule="exact"/>
        <w:ind w:firstLine="640" w:firstLineChars="200"/>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d.监测覆盖范围指标，指标值为监测覆盖范围14个地州，实际完成14个地州，完成率100%，偏差率0%。</w:t>
      </w:r>
    </w:p>
    <w:p>
      <w:pPr>
        <w:pageBreakBefore w:val="0"/>
        <w:kinsoku/>
        <w:wordWrap/>
        <w:overflowPunct/>
        <w:topLinePunct w:val="0"/>
        <w:autoSpaceDE/>
        <w:bidi w:val="0"/>
        <w:adjustRightInd/>
        <w:snapToGrid/>
        <w:spacing w:line="560" w:lineRule="exact"/>
        <w:ind w:firstLine="640" w:firstLineChars="200"/>
        <w:textAlignment w:val="auto"/>
        <w:rPr>
          <w:rStyle w:val="53"/>
          <w:rFonts w:hint="default" w:ascii="Times New Roman" w:hAnsi="Times New Roman" w:cs="Times New Roman"/>
          <w:color w:val="auto"/>
          <w:highlight w:val="none"/>
        </w:rPr>
      </w:pPr>
      <w:r>
        <w:rPr>
          <w:rStyle w:val="53"/>
          <w:rFonts w:hint="default" w:ascii="Times New Roman" w:hAnsi="Times New Roman" w:cs="Times New Roman"/>
          <w:color w:val="auto"/>
          <w:highlight w:val="none"/>
        </w:rPr>
        <w:t>质量指标方面：</w:t>
      </w:r>
    </w:p>
    <w:p>
      <w:pPr>
        <w:pageBreakBefore w:val="0"/>
        <w:kinsoku/>
        <w:wordWrap/>
        <w:overflowPunct/>
        <w:topLinePunct w:val="0"/>
        <w:autoSpaceDE/>
        <w:bidi w:val="0"/>
        <w:adjustRightInd/>
        <w:snapToGrid/>
        <w:spacing w:line="560" w:lineRule="exact"/>
        <w:ind w:firstLine="640" w:firstLineChars="200"/>
        <w:textAlignment w:val="auto"/>
        <w:rPr>
          <w:rStyle w:val="53"/>
          <w:rFonts w:hint="default" w:ascii="Times New Roman" w:hAnsi="Times New Roman" w:eastAsia="仿宋_GB2312" w:cs="Times New Roman"/>
          <w:color w:val="auto"/>
          <w:highlight w:val="none"/>
          <w:lang w:val="en-US" w:eastAsia="zh-CN"/>
        </w:rPr>
      </w:pPr>
      <w:r>
        <w:rPr>
          <w:rStyle w:val="53"/>
          <w:rFonts w:hint="default" w:ascii="Times New Roman" w:hAnsi="Times New Roman" w:eastAsia="仿宋_GB2312" w:cs="Times New Roman"/>
          <w:color w:val="auto"/>
          <w:highlight w:val="none"/>
          <w:lang w:val="en-US" w:eastAsia="zh-CN"/>
        </w:rPr>
        <w:t>a.</w:t>
      </w:r>
      <w:r>
        <w:rPr>
          <w:rStyle w:val="53"/>
          <w:rFonts w:hint="default" w:ascii="Times New Roman" w:hAnsi="Times New Roman" w:cs="Times New Roman"/>
          <w:color w:val="auto"/>
          <w:highlight w:val="none"/>
        </w:rPr>
        <w:t>监测数据准确率</w:t>
      </w:r>
      <w:r>
        <w:rPr>
          <w:rStyle w:val="53"/>
          <w:rFonts w:hint="default" w:ascii="Times New Roman" w:hAnsi="Times New Roman" w:eastAsia="仿宋_GB2312" w:cs="Times New Roman"/>
          <w:color w:val="auto"/>
          <w:highlight w:val="none"/>
          <w:lang w:eastAsia="zh-CN"/>
        </w:rPr>
        <w:t>指标，</w:t>
      </w:r>
      <w:r>
        <w:rPr>
          <w:rFonts w:hint="default" w:ascii="Times New Roman" w:hAnsi="Times New Roman" w:eastAsia="仿宋_GB2312" w:cs="Times New Roman"/>
          <w:color w:val="auto"/>
          <w:kern w:val="0"/>
          <w:sz w:val="32"/>
          <w:szCs w:val="32"/>
          <w:highlight w:val="none"/>
          <w:lang w:eastAsia="zh-CN"/>
        </w:rPr>
        <w:t>指标值为</w:t>
      </w:r>
      <w:r>
        <w:rPr>
          <w:rStyle w:val="53"/>
          <w:rFonts w:hint="default" w:ascii="Times New Roman" w:hAnsi="Times New Roman" w:cs="Times New Roman"/>
          <w:color w:val="auto"/>
          <w:highlight w:val="none"/>
        </w:rPr>
        <w:t>监测数据准确率</w:t>
      </w:r>
      <w:r>
        <w:rPr>
          <w:rStyle w:val="53"/>
          <w:rFonts w:hint="eastAsia" w:eastAsia="仿宋_GB2312" w:cs="Times New Roman"/>
          <w:color w:val="auto"/>
          <w:highlight w:val="none"/>
          <w:lang w:val="en-US" w:eastAsia="zh-CN"/>
        </w:rPr>
        <w:t>等于</w:t>
      </w:r>
      <w:r>
        <w:rPr>
          <w:rStyle w:val="53"/>
          <w:rFonts w:hint="default" w:ascii="Times New Roman" w:hAnsi="Times New Roman" w:eastAsia="仿宋_GB2312" w:cs="Times New Roman"/>
          <w:color w:val="auto"/>
          <w:highlight w:val="none"/>
          <w:lang w:val="en-US" w:eastAsia="zh-CN"/>
        </w:rPr>
        <w:t>100%</w:t>
      </w:r>
      <w:r>
        <w:rPr>
          <w:rFonts w:hint="default" w:ascii="Times New Roman" w:hAnsi="Times New Roman" w:eastAsia="仿宋_GB2312" w:cs="Times New Roman"/>
          <w:color w:val="auto"/>
          <w:kern w:val="0"/>
          <w:sz w:val="32"/>
          <w:szCs w:val="32"/>
          <w:highlight w:val="none"/>
          <w:lang w:val="en-US" w:eastAsia="zh-CN"/>
        </w:rPr>
        <w:t>，完成率100%，偏差率0%。</w:t>
      </w:r>
    </w:p>
    <w:p>
      <w:pPr>
        <w:pageBreakBefore w:val="0"/>
        <w:numPr>
          <w:ilvl w:val="0"/>
          <w:numId w:val="0"/>
        </w:numPr>
        <w:kinsoku/>
        <w:wordWrap/>
        <w:overflowPunct/>
        <w:topLinePunct w:val="0"/>
        <w:autoSpaceDE/>
        <w:bidi w:val="0"/>
        <w:adjustRightInd/>
        <w:snapToGrid/>
        <w:spacing w:line="560" w:lineRule="exact"/>
        <w:ind w:firstLine="640" w:firstLineChars="200"/>
        <w:textAlignment w:val="auto"/>
        <w:rPr>
          <w:rStyle w:val="53"/>
          <w:rFonts w:hint="default" w:ascii="Times New Roman" w:hAnsi="Times New Roman" w:eastAsia="仿宋_GB2312" w:cs="Times New Roman"/>
          <w:color w:val="auto"/>
          <w:highlight w:val="none"/>
          <w:lang w:val="en-US" w:eastAsia="zh-CN"/>
        </w:rPr>
      </w:pPr>
      <w:r>
        <w:rPr>
          <w:rStyle w:val="53"/>
          <w:rFonts w:hint="default" w:ascii="Times New Roman" w:hAnsi="Times New Roman" w:eastAsia="仿宋_GB2312" w:cs="Times New Roman"/>
          <w:color w:val="auto"/>
          <w:highlight w:val="none"/>
          <w:lang w:val="en-US" w:eastAsia="zh-CN"/>
        </w:rPr>
        <w:t>b.政府采购率指标，指标值为政府采购率等于100%，完成率100%，偏差率0%。</w:t>
      </w:r>
    </w:p>
    <w:p>
      <w:pPr>
        <w:pageBreakBefore w:val="0"/>
        <w:kinsoku/>
        <w:wordWrap/>
        <w:overflowPunct/>
        <w:topLinePunct w:val="0"/>
        <w:autoSpaceDE/>
        <w:bidi w:val="0"/>
        <w:adjustRightInd/>
        <w:snapToGrid/>
        <w:spacing w:line="560" w:lineRule="exact"/>
        <w:ind w:firstLine="640" w:firstLineChars="200"/>
        <w:textAlignment w:val="auto"/>
        <w:rPr>
          <w:rStyle w:val="53"/>
          <w:rFonts w:hint="default" w:ascii="Times New Roman" w:hAnsi="Times New Roman" w:cs="Times New Roman"/>
          <w:color w:val="auto"/>
          <w:highlight w:val="none"/>
          <w:lang w:val="en-US" w:eastAsia="zh-CN"/>
        </w:rPr>
      </w:pPr>
      <w:r>
        <w:rPr>
          <w:rStyle w:val="53"/>
          <w:rFonts w:hint="default" w:ascii="Times New Roman" w:hAnsi="Times New Roman" w:eastAsia="仿宋_GB2312" w:cs="Times New Roman"/>
          <w:color w:val="auto"/>
          <w:highlight w:val="none"/>
          <w:lang w:val="en-US" w:eastAsia="zh-CN"/>
        </w:rPr>
        <w:t>c.</w:t>
      </w:r>
      <w:r>
        <w:rPr>
          <w:rStyle w:val="53"/>
          <w:rFonts w:hint="default" w:ascii="Times New Roman" w:hAnsi="Times New Roman" w:cs="Times New Roman"/>
          <w:color w:val="auto"/>
          <w:highlight w:val="none"/>
        </w:rPr>
        <w:t>设备质量</w:t>
      </w:r>
      <w:r>
        <w:rPr>
          <w:rStyle w:val="53"/>
          <w:rFonts w:hint="default" w:ascii="Times New Roman" w:hAnsi="Times New Roman" w:eastAsia="仿宋_GB2312" w:cs="Times New Roman"/>
          <w:color w:val="auto"/>
          <w:highlight w:val="none"/>
          <w:lang w:val="en-US" w:eastAsia="zh-CN"/>
        </w:rPr>
        <w:t>合格率</w:t>
      </w:r>
      <w:r>
        <w:rPr>
          <w:rStyle w:val="53"/>
          <w:rFonts w:hint="default" w:ascii="Times New Roman" w:hAnsi="Times New Roman" w:eastAsia="仿宋_GB2312" w:cs="Times New Roman"/>
          <w:color w:val="auto"/>
          <w:highlight w:val="none"/>
          <w:lang w:eastAsia="zh-CN"/>
        </w:rPr>
        <w:t>指标，指标值</w:t>
      </w:r>
      <w:r>
        <w:rPr>
          <w:rStyle w:val="53"/>
          <w:rFonts w:hint="default" w:ascii="Times New Roman" w:hAnsi="Times New Roman" w:eastAsia="仿宋_GB2312" w:cs="Times New Roman"/>
          <w:color w:val="auto"/>
          <w:highlight w:val="none"/>
          <w:lang w:val="en-US" w:eastAsia="zh-CN"/>
        </w:rPr>
        <w:t>为</w:t>
      </w:r>
      <w:r>
        <w:rPr>
          <w:rStyle w:val="53"/>
          <w:rFonts w:hint="default" w:ascii="Times New Roman" w:hAnsi="Times New Roman" w:cs="Times New Roman"/>
          <w:color w:val="auto"/>
          <w:highlight w:val="none"/>
        </w:rPr>
        <w:t>设备质量合格率</w:t>
      </w:r>
      <w:r>
        <w:rPr>
          <w:rStyle w:val="53"/>
          <w:rFonts w:hint="default" w:ascii="Times New Roman" w:hAnsi="Times New Roman" w:cs="Times New Roman"/>
          <w:color w:val="auto"/>
          <w:highlight w:val="none"/>
          <w:lang w:eastAsia="zh-CN"/>
        </w:rPr>
        <w:t>等于</w:t>
      </w:r>
      <w:r>
        <w:rPr>
          <w:rStyle w:val="53"/>
          <w:rFonts w:hint="default" w:ascii="Times New Roman" w:hAnsi="Times New Roman" w:cs="Times New Roman"/>
          <w:color w:val="auto"/>
          <w:highlight w:val="none"/>
          <w:lang w:val="en-US" w:eastAsia="zh-CN"/>
        </w:rPr>
        <w:t>100%，</w:t>
      </w:r>
      <w:r>
        <w:rPr>
          <w:rStyle w:val="53"/>
          <w:rFonts w:hint="default" w:ascii="Times New Roman" w:hAnsi="Times New Roman" w:eastAsia="仿宋_GB2312" w:cs="Times New Roman"/>
          <w:color w:val="auto"/>
          <w:highlight w:val="none"/>
          <w:lang w:val="en-US" w:eastAsia="zh-CN"/>
        </w:rPr>
        <w:t>通过仪器设备检定、校准及期间核查等，证明实验设备</w:t>
      </w:r>
      <w:r>
        <w:rPr>
          <w:rStyle w:val="53"/>
          <w:rFonts w:hint="default" w:ascii="Times New Roman" w:hAnsi="Times New Roman" w:cs="Times New Roman"/>
          <w:color w:val="auto"/>
          <w:highlight w:val="none"/>
        </w:rPr>
        <w:t>质量合格率</w:t>
      </w:r>
      <w:r>
        <w:rPr>
          <w:rStyle w:val="53"/>
          <w:rFonts w:hint="default" w:ascii="Times New Roman" w:hAnsi="Times New Roman" w:cs="Times New Roman"/>
          <w:color w:val="auto"/>
          <w:highlight w:val="none"/>
          <w:lang w:val="en-US" w:eastAsia="zh-CN"/>
        </w:rPr>
        <w:t>100%，完成率100%，偏差率0%。</w:t>
      </w:r>
    </w:p>
    <w:p>
      <w:pPr>
        <w:pageBreakBefore w:val="0"/>
        <w:numPr>
          <w:ilvl w:val="0"/>
          <w:numId w:val="0"/>
        </w:numPr>
        <w:kinsoku/>
        <w:wordWrap/>
        <w:overflowPunct/>
        <w:topLinePunct w:val="0"/>
        <w:autoSpaceDE/>
        <w:bidi w:val="0"/>
        <w:adjustRightInd/>
        <w:snapToGrid/>
        <w:spacing w:line="560" w:lineRule="exact"/>
        <w:ind w:firstLine="640" w:firstLineChars="200"/>
        <w:textAlignment w:val="auto"/>
        <w:rPr>
          <w:rStyle w:val="53"/>
          <w:rFonts w:hint="default" w:ascii="Times New Roman" w:hAnsi="Times New Roman" w:cs="Times New Roman"/>
          <w:color w:val="auto"/>
          <w:highlight w:val="none"/>
          <w:lang w:val="en-US" w:eastAsia="zh-CN"/>
        </w:rPr>
      </w:pPr>
      <w:r>
        <w:rPr>
          <w:rStyle w:val="53"/>
          <w:rFonts w:hint="default" w:ascii="Times New Roman" w:hAnsi="Times New Roman" w:eastAsia="仿宋_GB2312" w:cs="Times New Roman"/>
          <w:color w:val="auto"/>
          <w:highlight w:val="none"/>
          <w:lang w:val="en-US" w:eastAsia="zh-CN"/>
        </w:rPr>
        <w:t>d.</w:t>
      </w:r>
      <w:r>
        <w:rPr>
          <w:rStyle w:val="53"/>
          <w:rFonts w:hint="default" w:ascii="Times New Roman" w:hAnsi="Times New Roman" w:cs="Times New Roman"/>
          <w:color w:val="auto"/>
          <w:highlight w:val="none"/>
        </w:rPr>
        <w:t>设备验收</w:t>
      </w:r>
      <w:r>
        <w:rPr>
          <w:rStyle w:val="53"/>
          <w:rFonts w:hint="default" w:ascii="Times New Roman" w:hAnsi="Times New Roman" w:eastAsia="仿宋_GB2312" w:cs="Times New Roman"/>
          <w:color w:val="auto"/>
          <w:highlight w:val="none"/>
          <w:lang w:val="en-US" w:eastAsia="zh-CN"/>
        </w:rPr>
        <w:t>合格率</w:t>
      </w:r>
      <w:r>
        <w:rPr>
          <w:rStyle w:val="53"/>
          <w:rFonts w:hint="default" w:ascii="Times New Roman" w:hAnsi="Times New Roman" w:cs="Times New Roman"/>
          <w:color w:val="auto"/>
          <w:highlight w:val="none"/>
          <w:lang w:eastAsia="zh-CN"/>
        </w:rPr>
        <w:t>指标，指标值为</w:t>
      </w:r>
      <w:r>
        <w:rPr>
          <w:rStyle w:val="53"/>
          <w:rFonts w:hint="default" w:ascii="Times New Roman" w:hAnsi="Times New Roman" w:cs="Times New Roman"/>
          <w:color w:val="auto"/>
          <w:highlight w:val="none"/>
        </w:rPr>
        <w:t>设备验收合格率</w:t>
      </w:r>
      <w:r>
        <w:rPr>
          <w:rStyle w:val="53"/>
          <w:rFonts w:hint="default" w:ascii="Times New Roman" w:hAnsi="Times New Roman" w:cs="Times New Roman"/>
          <w:color w:val="auto"/>
          <w:highlight w:val="none"/>
          <w:lang w:eastAsia="zh-CN"/>
        </w:rPr>
        <w:t>等于</w:t>
      </w:r>
      <w:r>
        <w:rPr>
          <w:rStyle w:val="53"/>
          <w:rFonts w:hint="default" w:ascii="Times New Roman" w:hAnsi="Times New Roman" w:cs="Times New Roman"/>
          <w:color w:val="auto"/>
          <w:highlight w:val="none"/>
          <w:lang w:val="en-US" w:eastAsia="zh-CN"/>
        </w:rPr>
        <w:t>100%，实际验收试验设备1</w:t>
      </w:r>
      <w:r>
        <w:rPr>
          <w:rStyle w:val="53"/>
          <w:rFonts w:hint="eastAsia" w:cs="Times New Roman"/>
          <w:color w:val="auto"/>
          <w:highlight w:val="none"/>
          <w:lang w:val="en-US" w:eastAsia="zh-CN"/>
        </w:rPr>
        <w:t>2</w:t>
      </w:r>
      <w:r>
        <w:rPr>
          <w:rStyle w:val="53"/>
          <w:rFonts w:hint="default" w:ascii="Times New Roman" w:hAnsi="Times New Roman" w:cs="Times New Roman"/>
          <w:color w:val="auto"/>
          <w:highlight w:val="none"/>
          <w:lang w:val="en-US" w:eastAsia="zh-CN"/>
        </w:rPr>
        <w:t>台套，</w:t>
      </w:r>
      <w:r>
        <w:rPr>
          <w:rStyle w:val="53"/>
          <w:rFonts w:hint="default" w:ascii="Times New Roman" w:hAnsi="Times New Roman" w:cs="Times New Roman"/>
          <w:color w:val="auto"/>
          <w:highlight w:val="none"/>
        </w:rPr>
        <w:t>设备验收合格率</w:t>
      </w:r>
      <w:r>
        <w:rPr>
          <w:rStyle w:val="53"/>
          <w:rFonts w:hint="default" w:ascii="Times New Roman" w:hAnsi="Times New Roman" w:cs="Times New Roman"/>
          <w:color w:val="auto"/>
          <w:highlight w:val="none"/>
          <w:lang w:val="en-US" w:eastAsia="zh-CN"/>
        </w:rPr>
        <w:t>100%。完成率100%，偏差率0%。</w:t>
      </w:r>
    </w:p>
    <w:p>
      <w:pPr>
        <w:pStyle w:val="19"/>
        <w:pageBreakBefore w:val="0"/>
        <w:kinsoku/>
        <w:wordWrap/>
        <w:overflowPunct/>
        <w:topLinePunct w:val="0"/>
        <w:autoSpaceDE/>
        <w:bidi w:val="0"/>
        <w:adjustRightInd/>
        <w:snapToGrid/>
        <w:spacing w:before="0" w:after="0" w:line="560" w:lineRule="exact"/>
        <w:ind w:firstLine="640" w:firstLineChars="200"/>
        <w:jc w:val="both"/>
        <w:textAlignment w:val="auto"/>
        <w:rPr>
          <w:rStyle w:val="53"/>
          <w:rFonts w:hint="default" w:ascii="Times New Roman" w:hAnsi="Times New Roman" w:cs="Times New Roman"/>
          <w:b w:val="0"/>
          <w:bCs w:val="0"/>
          <w:color w:val="auto"/>
          <w:highlight w:val="none"/>
        </w:rPr>
      </w:pPr>
      <w:r>
        <w:rPr>
          <w:rStyle w:val="53"/>
          <w:rFonts w:hint="default" w:ascii="Times New Roman" w:hAnsi="Times New Roman" w:cs="Times New Roman"/>
          <w:b w:val="0"/>
          <w:bCs w:val="0"/>
          <w:color w:val="auto"/>
          <w:highlight w:val="none"/>
        </w:rPr>
        <w:t>成本指标方面：</w:t>
      </w:r>
    </w:p>
    <w:p>
      <w:pPr>
        <w:pageBreakBefore w:val="0"/>
        <w:numPr>
          <w:ilvl w:val="0"/>
          <w:numId w:val="0"/>
        </w:numPr>
        <w:kinsoku/>
        <w:wordWrap/>
        <w:overflowPunct/>
        <w:topLinePunct w:val="0"/>
        <w:autoSpaceDE/>
        <w:bidi w:val="0"/>
        <w:adjustRightInd/>
        <w:snapToGrid/>
        <w:spacing w:line="560" w:lineRule="exact"/>
        <w:ind w:firstLine="640" w:firstLineChars="200"/>
        <w:textAlignment w:val="auto"/>
        <w:rPr>
          <w:rStyle w:val="53"/>
          <w:rFonts w:hint="default" w:ascii="Times New Roman" w:hAnsi="Times New Roman" w:eastAsia="仿宋_GB2312" w:cs="Times New Roman"/>
          <w:color w:val="auto"/>
          <w:highlight w:val="none"/>
          <w:lang w:val="en-US" w:eastAsia="zh-CN"/>
        </w:rPr>
      </w:pPr>
      <w:r>
        <w:rPr>
          <w:rStyle w:val="53"/>
          <w:rFonts w:hint="default" w:ascii="Times New Roman" w:hAnsi="Times New Roman" w:eastAsia="仿宋_GB2312" w:cs="Times New Roman"/>
          <w:color w:val="auto"/>
          <w:highlight w:val="none"/>
          <w:lang w:val="en-US" w:eastAsia="zh-CN"/>
        </w:rPr>
        <w:t>a.动物源细菌耐药性监测平均成本指标，指标值为动物源耐药性监测平均成本小于等于1000元/批次，实际动物源耐药性监测平均成本1000元/批次，完成率100%，偏差率0%。</w:t>
      </w:r>
    </w:p>
    <w:p>
      <w:pPr>
        <w:pageBreakBefore w:val="0"/>
        <w:numPr>
          <w:ilvl w:val="0"/>
          <w:numId w:val="0"/>
        </w:numPr>
        <w:kinsoku/>
        <w:wordWrap/>
        <w:overflowPunct/>
        <w:topLinePunct w:val="0"/>
        <w:autoSpaceDE/>
        <w:bidi w:val="0"/>
        <w:adjustRightInd/>
        <w:snapToGrid/>
        <w:spacing w:line="560" w:lineRule="exact"/>
        <w:ind w:firstLine="640" w:firstLineChars="200"/>
        <w:textAlignment w:val="auto"/>
        <w:rPr>
          <w:rStyle w:val="53"/>
          <w:rFonts w:hint="default" w:ascii="Times New Roman" w:hAnsi="Times New Roman" w:eastAsia="仿宋_GB2312" w:cs="Times New Roman"/>
          <w:color w:val="auto"/>
          <w:highlight w:val="none"/>
          <w:lang w:val="en-US" w:eastAsia="zh-CN"/>
        </w:rPr>
      </w:pPr>
      <w:r>
        <w:rPr>
          <w:rStyle w:val="53"/>
          <w:rFonts w:hint="default" w:ascii="Times New Roman" w:hAnsi="Times New Roman" w:eastAsia="仿宋_GB2312" w:cs="Times New Roman"/>
          <w:color w:val="auto"/>
          <w:highlight w:val="none"/>
          <w:lang w:val="en-US" w:eastAsia="zh-CN"/>
        </w:rPr>
        <w:t>b.兽药、饲料、畜产品质量安全监测平均成本指标，指标值为兽药、饲料、畜产品质量安全监测平均成本小于等于1000元/批次，实际兽药、饲料、畜产品质量安全监测平均成本1000元/批次，完成率100%，偏差率0%。</w:t>
      </w:r>
    </w:p>
    <w:p>
      <w:pPr>
        <w:pageBreakBefore w:val="0"/>
        <w:kinsoku/>
        <w:wordWrap/>
        <w:overflowPunct/>
        <w:topLinePunct w:val="0"/>
        <w:autoSpaceDE/>
        <w:bidi w:val="0"/>
        <w:adjustRightInd/>
        <w:snapToGrid/>
        <w:spacing w:line="560" w:lineRule="exact"/>
        <w:ind w:firstLine="640" w:firstLineChars="200"/>
        <w:textAlignment w:val="auto"/>
        <w:rPr>
          <w:rStyle w:val="53"/>
          <w:rFonts w:hint="default" w:ascii="Times New Roman" w:hAnsi="Times New Roman" w:eastAsia="仿宋_GB2312" w:cs="Times New Roman"/>
          <w:color w:val="auto"/>
          <w:highlight w:val="none"/>
          <w:lang w:val="en-US" w:eastAsia="zh-CN"/>
        </w:rPr>
      </w:pPr>
      <w:r>
        <w:rPr>
          <w:rStyle w:val="53"/>
          <w:rFonts w:hint="default" w:ascii="Times New Roman" w:hAnsi="Times New Roman" w:eastAsia="仿宋_GB2312" w:cs="Times New Roman"/>
          <w:color w:val="auto"/>
          <w:highlight w:val="none"/>
          <w:lang w:val="en-US" w:eastAsia="zh-CN"/>
        </w:rPr>
        <w:t>c.设备采购成本控制数指标，指标值为设备采购成本控制数小于等于</w:t>
      </w:r>
      <w:r>
        <w:rPr>
          <w:rStyle w:val="53"/>
          <w:rFonts w:hint="eastAsia" w:eastAsia="仿宋_GB2312" w:cs="Times New Roman"/>
          <w:color w:val="auto"/>
          <w:highlight w:val="none"/>
          <w:lang w:val="en-US" w:eastAsia="zh-CN"/>
        </w:rPr>
        <w:t>14.5</w:t>
      </w:r>
      <w:r>
        <w:rPr>
          <w:rStyle w:val="53"/>
          <w:rFonts w:hint="default" w:ascii="Times New Roman" w:hAnsi="Times New Roman" w:eastAsia="仿宋_GB2312" w:cs="Times New Roman"/>
          <w:color w:val="auto"/>
          <w:highlight w:val="none"/>
          <w:lang w:val="en-US" w:eastAsia="zh-CN"/>
        </w:rPr>
        <w:t>万元/台，设备实际采购成本小于等于</w:t>
      </w:r>
      <w:r>
        <w:rPr>
          <w:rStyle w:val="53"/>
          <w:rFonts w:hint="eastAsia" w:eastAsia="仿宋_GB2312" w:cs="Times New Roman"/>
          <w:color w:val="auto"/>
          <w:highlight w:val="none"/>
          <w:lang w:val="en-US" w:eastAsia="zh-CN"/>
        </w:rPr>
        <w:t>14.42</w:t>
      </w:r>
      <w:r>
        <w:rPr>
          <w:rStyle w:val="53"/>
          <w:rFonts w:hint="default" w:ascii="Times New Roman" w:hAnsi="Times New Roman" w:eastAsia="仿宋_GB2312" w:cs="Times New Roman"/>
          <w:color w:val="auto"/>
          <w:highlight w:val="none"/>
          <w:lang w:val="en-US" w:eastAsia="zh-CN"/>
        </w:rPr>
        <w:t>万元</w:t>
      </w:r>
      <w:r>
        <w:rPr>
          <w:rStyle w:val="53"/>
          <w:rFonts w:hint="eastAsia" w:eastAsia="仿宋_GB2312" w:cs="Times New Roman"/>
          <w:color w:val="auto"/>
          <w:highlight w:val="none"/>
          <w:lang w:val="en-US" w:eastAsia="zh-CN"/>
        </w:rPr>
        <w:t>/台</w:t>
      </w:r>
      <w:r>
        <w:rPr>
          <w:rStyle w:val="53"/>
          <w:rFonts w:hint="default" w:ascii="Times New Roman" w:hAnsi="Times New Roman" w:eastAsia="仿宋_GB2312" w:cs="Times New Roman"/>
          <w:color w:val="auto"/>
          <w:highlight w:val="none"/>
          <w:lang w:val="en-US" w:eastAsia="zh-CN"/>
        </w:rPr>
        <w:t>。</w:t>
      </w:r>
    </w:p>
    <w:p>
      <w:pPr>
        <w:pageBreakBefore w:val="0"/>
        <w:kinsoku/>
        <w:wordWrap/>
        <w:overflowPunct/>
        <w:topLinePunct w:val="0"/>
        <w:autoSpaceDE/>
        <w:bidi w:val="0"/>
        <w:adjustRightInd/>
        <w:snapToGrid/>
        <w:spacing w:line="560" w:lineRule="exact"/>
        <w:ind w:firstLine="640" w:firstLineChars="200"/>
        <w:textAlignment w:val="auto"/>
        <w:rPr>
          <w:rStyle w:val="53"/>
          <w:rFonts w:hint="default" w:ascii="Times New Roman" w:hAnsi="Times New Roman" w:cs="Times New Roman"/>
          <w:color w:val="auto"/>
          <w:highlight w:val="none"/>
        </w:rPr>
      </w:pPr>
      <w:r>
        <w:rPr>
          <w:rStyle w:val="53"/>
          <w:rFonts w:hint="default" w:ascii="Times New Roman" w:hAnsi="Times New Roman" w:cs="Times New Roman"/>
          <w:color w:val="auto"/>
          <w:highlight w:val="none"/>
        </w:rPr>
        <w:t>时效指标方面：</w:t>
      </w:r>
    </w:p>
    <w:p>
      <w:pPr>
        <w:pageBreakBefore w:val="0"/>
        <w:numPr>
          <w:ilvl w:val="0"/>
          <w:numId w:val="0"/>
        </w:numPr>
        <w:kinsoku/>
        <w:wordWrap/>
        <w:overflowPunct/>
        <w:topLinePunct w:val="0"/>
        <w:autoSpaceDE/>
        <w:bidi w:val="0"/>
        <w:adjustRightInd/>
        <w:snapToGrid/>
        <w:spacing w:line="560" w:lineRule="exact"/>
        <w:ind w:firstLine="640" w:firstLineChars="200"/>
        <w:textAlignment w:val="auto"/>
        <w:rPr>
          <w:rStyle w:val="53"/>
          <w:rFonts w:hint="default" w:ascii="Times New Roman" w:hAnsi="Times New Roman" w:eastAsia="仿宋_GB2312" w:cs="Times New Roman"/>
          <w:color w:val="auto"/>
          <w:highlight w:val="none"/>
          <w:lang w:val="en-US" w:eastAsia="zh-CN"/>
        </w:rPr>
      </w:pPr>
      <w:r>
        <w:rPr>
          <w:rStyle w:val="53"/>
          <w:rFonts w:hint="default" w:ascii="Times New Roman" w:hAnsi="Times New Roman" w:eastAsia="仿宋_GB2312" w:cs="Times New Roman"/>
          <w:color w:val="auto"/>
          <w:highlight w:val="none"/>
          <w:lang w:val="en-US" w:eastAsia="zh-CN"/>
        </w:rPr>
        <w:t>a.检测按期完成率</w:t>
      </w:r>
      <w:r>
        <w:rPr>
          <w:rStyle w:val="53"/>
          <w:rFonts w:hint="default" w:ascii="Times New Roman" w:hAnsi="Times New Roman" w:cs="Times New Roman"/>
          <w:color w:val="auto"/>
          <w:highlight w:val="none"/>
          <w:lang w:eastAsia="zh-CN"/>
        </w:rPr>
        <w:t>指标，指标值为</w:t>
      </w:r>
      <w:r>
        <w:rPr>
          <w:rStyle w:val="53"/>
          <w:rFonts w:hint="default" w:ascii="Times New Roman" w:hAnsi="Times New Roman" w:eastAsia="仿宋_GB2312" w:cs="Times New Roman"/>
          <w:color w:val="auto"/>
          <w:highlight w:val="none"/>
          <w:lang w:val="en-US" w:eastAsia="zh-CN"/>
        </w:rPr>
        <w:t>检测按期完成率大于等于</w:t>
      </w:r>
      <w:r>
        <w:rPr>
          <w:rStyle w:val="53"/>
          <w:rFonts w:hint="default" w:ascii="Times New Roman" w:hAnsi="Times New Roman" w:cs="Times New Roman"/>
          <w:color w:val="auto"/>
          <w:highlight w:val="none"/>
          <w:lang w:val="en-US" w:eastAsia="zh-CN"/>
        </w:rPr>
        <w:t>90%，实际年度检测任务均按时完成，完成率100%</w:t>
      </w:r>
      <w:r>
        <w:rPr>
          <w:rStyle w:val="53"/>
          <w:rFonts w:hint="default" w:ascii="Times New Roman" w:hAnsi="Times New Roman" w:eastAsia="仿宋_GB2312" w:cs="Times New Roman"/>
          <w:color w:val="auto"/>
          <w:highlight w:val="none"/>
          <w:lang w:val="en-US" w:eastAsia="zh-CN"/>
        </w:rPr>
        <w:t>，偏差率0%。</w:t>
      </w:r>
    </w:p>
    <w:p>
      <w:pPr>
        <w:pageBreakBefore w:val="0"/>
        <w:numPr>
          <w:ilvl w:val="0"/>
          <w:numId w:val="0"/>
        </w:numPr>
        <w:kinsoku/>
        <w:wordWrap/>
        <w:overflowPunct/>
        <w:topLinePunct w:val="0"/>
        <w:autoSpaceDE/>
        <w:bidi w:val="0"/>
        <w:adjustRightInd/>
        <w:snapToGrid/>
        <w:spacing w:line="560" w:lineRule="exact"/>
        <w:ind w:firstLine="640" w:firstLineChars="200"/>
        <w:textAlignment w:val="auto"/>
        <w:rPr>
          <w:rStyle w:val="53"/>
          <w:rFonts w:hint="default" w:ascii="Times New Roman" w:hAnsi="Times New Roman" w:eastAsia="仿宋_GB2312" w:cs="Times New Roman"/>
          <w:color w:val="auto"/>
          <w:highlight w:val="none"/>
          <w:lang w:val="en-US" w:eastAsia="zh-CN"/>
        </w:rPr>
      </w:pPr>
      <w:r>
        <w:rPr>
          <w:rStyle w:val="53"/>
          <w:rFonts w:hint="default" w:ascii="Times New Roman" w:hAnsi="Times New Roman" w:eastAsia="仿宋_GB2312" w:cs="Times New Roman"/>
          <w:color w:val="auto"/>
          <w:highlight w:val="none"/>
          <w:lang w:val="en-US" w:eastAsia="zh-CN"/>
        </w:rPr>
        <w:t>b.设备采购完成时间</w:t>
      </w:r>
      <w:r>
        <w:rPr>
          <w:rStyle w:val="53"/>
          <w:rFonts w:hint="default" w:ascii="Times New Roman" w:hAnsi="Times New Roman" w:cs="Times New Roman"/>
          <w:color w:val="auto"/>
          <w:highlight w:val="none"/>
          <w:lang w:eastAsia="zh-CN"/>
        </w:rPr>
        <w:t>指标，指标值为设备采购按期完成率达到98%以上（包含98%）</w:t>
      </w:r>
      <w:r>
        <w:rPr>
          <w:rStyle w:val="53"/>
          <w:rFonts w:hint="eastAsia" w:cs="Times New Roman"/>
          <w:color w:val="auto"/>
          <w:highlight w:val="none"/>
          <w:lang w:eastAsia="zh-CN"/>
        </w:rPr>
        <w:t>，</w:t>
      </w:r>
      <w:r>
        <w:rPr>
          <w:rStyle w:val="53"/>
          <w:rFonts w:hint="default" w:ascii="Times New Roman" w:hAnsi="Times New Roman" w:eastAsia="仿宋_GB2312" w:cs="Times New Roman"/>
          <w:color w:val="auto"/>
          <w:highlight w:val="none"/>
          <w:lang w:val="en-US" w:eastAsia="zh-CN"/>
        </w:rPr>
        <w:t>实际已经按照采购计划按期完成设备采购，设备采购</w:t>
      </w:r>
      <w:r>
        <w:rPr>
          <w:rStyle w:val="53"/>
          <w:rFonts w:hint="eastAsia" w:eastAsia="仿宋_GB2312" w:cs="Times New Roman"/>
          <w:color w:val="auto"/>
          <w:highlight w:val="none"/>
          <w:lang w:val="en-US" w:eastAsia="zh-CN"/>
        </w:rPr>
        <w:t>按期</w:t>
      </w:r>
      <w:r>
        <w:rPr>
          <w:rStyle w:val="53"/>
          <w:rFonts w:hint="default" w:ascii="Times New Roman" w:hAnsi="Times New Roman" w:eastAsia="仿宋_GB2312" w:cs="Times New Roman"/>
          <w:color w:val="auto"/>
          <w:highlight w:val="none"/>
          <w:lang w:val="en-US" w:eastAsia="zh-CN"/>
        </w:rPr>
        <w:t>完成率100%</w:t>
      </w:r>
      <w:r>
        <w:rPr>
          <w:rStyle w:val="53"/>
          <w:rFonts w:hint="eastAsia" w:eastAsia="仿宋_GB2312" w:cs="Times New Roman"/>
          <w:color w:val="auto"/>
          <w:highlight w:val="none"/>
          <w:lang w:val="en-US" w:eastAsia="zh-CN"/>
        </w:rPr>
        <w:t>，</w:t>
      </w:r>
      <w:r>
        <w:rPr>
          <w:rStyle w:val="53"/>
          <w:rFonts w:hint="default" w:ascii="Times New Roman" w:hAnsi="Times New Roman" w:eastAsia="仿宋_GB2312" w:cs="Times New Roman"/>
          <w:color w:val="auto"/>
          <w:highlight w:val="none"/>
          <w:lang w:val="en-US" w:eastAsia="zh-CN"/>
        </w:rPr>
        <w:t>偏差率0%。</w:t>
      </w:r>
    </w:p>
    <w:p>
      <w:pPr>
        <w:pStyle w:val="19"/>
        <w:pageBreakBefore w:val="0"/>
        <w:kinsoku/>
        <w:wordWrap/>
        <w:overflowPunct/>
        <w:topLinePunct w:val="0"/>
        <w:autoSpaceDE/>
        <w:bidi w:val="0"/>
        <w:adjustRightInd/>
        <w:snapToGrid/>
        <w:spacing w:line="560" w:lineRule="exact"/>
        <w:ind w:firstLine="642" w:firstLineChars="200"/>
        <w:jc w:val="both"/>
        <w:textAlignment w:val="auto"/>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（四）项目效益情况</w:t>
      </w:r>
    </w:p>
    <w:p>
      <w:pPr>
        <w:pageBreakBefore w:val="0"/>
        <w:kinsoku/>
        <w:wordWrap/>
        <w:overflowPunct/>
        <w:topLinePunct w:val="0"/>
        <w:autoSpaceDE/>
        <w:bidi w:val="0"/>
        <w:adjustRightInd/>
        <w:snapToGrid/>
        <w:spacing w:line="560" w:lineRule="exact"/>
        <w:ind w:firstLine="640" w:firstLineChars="200"/>
        <w:textAlignment w:val="auto"/>
        <w:rPr>
          <w:rStyle w:val="53"/>
          <w:rFonts w:hint="default" w:ascii="Times New Roman" w:hAnsi="Times New Roman" w:cs="Times New Roman"/>
          <w:color w:val="auto"/>
          <w:highlight w:val="none"/>
        </w:rPr>
      </w:pPr>
      <w:r>
        <w:rPr>
          <w:rStyle w:val="53"/>
          <w:rFonts w:hint="default" w:ascii="Times New Roman" w:hAnsi="Times New Roman" w:cs="Times New Roman"/>
          <w:color w:val="auto"/>
          <w:highlight w:val="none"/>
        </w:rPr>
        <w:t>经济效益指标方面：</w:t>
      </w:r>
    </w:p>
    <w:p>
      <w:pPr>
        <w:pageBreakBefore w:val="0"/>
        <w:kinsoku/>
        <w:wordWrap/>
        <w:overflowPunct/>
        <w:topLinePunct w:val="0"/>
        <w:autoSpaceDE/>
        <w:bidi w:val="0"/>
        <w:adjustRightInd/>
        <w:snapToGrid/>
        <w:spacing w:line="560" w:lineRule="exact"/>
        <w:ind w:firstLine="640" w:firstLineChars="200"/>
        <w:textAlignment w:val="auto"/>
        <w:rPr>
          <w:rStyle w:val="53"/>
          <w:rFonts w:hint="default" w:ascii="Times New Roman" w:hAnsi="Times New Roman" w:eastAsia="仿宋_GB2312" w:cs="Times New Roman"/>
          <w:color w:val="auto"/>
          <w:highlight w:val="none"/>
          <w:lang w:val="en-US" w:eastAsia="zh-CN"/>
        </w:rPr>
      </w:pPr>
      <w:r>
        <w:rPr>
          <w:rStyle w:val="53"/>
          <w:rFonts w:hint="default" w:ascii="Times New Roman" w:hAnsi="Times New Roman" w:eastAsia="仿宋_GB2312" w:cs="Times New Roman"/>
          <w:color w:val="auto"/>
          <w:highlight w:val="none"/>
          <w:lang w:val="en-US" w:eastAsia="zh-CN"/>
        </w:rPr>
        <w:t>实验</w:t>
      </w:r>
      <w:r>
        <w:rPr>
          <w:rStyle w:val="53"/>
          <w:rFonts w:hint="default" w:ascii="Times New Roman" w:hAnsi="Times New Roman" w:eastAsia="仿宋_GB2312" w:cs="Times New Roman"/>
          <w:color w:val="auto"/>
          <w:highlight w:val="none"/>
          <w:lang w:eastAsia="zh-CN"/>
        </w:rPr>
        <w:t>设备利用率指标，指标</w:t>
      </w:r>
      <w:r>
        <w:rPr>
          <w:rStyle w:val="53"/>
          <w:rFonts w:hint="default" w:ascii="Times New Roman" w:hAnsi="Times New Roman" w:eastAsia="仿宋_GB2312" w:cs="Times New Roman"/>
          <w:color w:val="auto"/>
          <w:highlight w:val="none"/>
          <w:lang w:val="en-US" w:eastAsia="zh-CN"/>
        </w:rPr>
        <w:t>值</w:t>
      </w:r>
      <w:r>
        <w:rPr>
          <w:rStyle w:val="53"/>
          <w:rFonts w:hint="default" w:ascii="Times New Roman" w:hAnsi="Times New Roman" w:eastAsia="仿宋_GB2312" w:cs="Times New Roman"/>
          <w:color w:val="auto"/>
          <w:highlight w:val="none"/>
          <w:lang w:eastAsia="zh-CN"/>
        </w:rPr>
        <w:t>为</w:t>
      </w:r>
      <w:r>
        <w:rPr>
          <w:rStyle w:val="53"/>
          <w:rFonts w:hint="default" w:ascii="Times New Roman" w:hAnsi="Times New Roman" w:eastAsia="仿宋_GB2312" w:cs="Times New Roman"/>
          <w:color w:val="auto"/>
          <w:highlight w:val="none"/>
          <w:lang w:val="en-US" w:eastAsia="zh-CN"/>
        </w:rPr>
        <w:t>实验</w:t>
      </w:r>
      <w:r>
        <w:rPr>
          <w:rStyle w:val="53"/>
          <w:rFonts w:hint="default" w:ascii="Times New Roman" w:hAnsi="Times New Roman" w:eastAsia="仿宋_GB2312" w:cs="Times New Roman"/>
          <w:color w:val="auto"/>
          <w:highlight w:val="none"/>
          <w:lang w:eastAsia="zh-CN"/>
        </w:rPr>
        <w:t>设备利用率大于等于</w:t>
      </w:r>
      <w:r>
        <w:rPr>
          <w:rStyle w:val="53"/>
          <w:rFonts w:hint="default" w:ascii="Times New Roman" w:hAnsi="Times New Roman" w:eastAsia="仿宋_GB2312" w:cs="Times New Roman"/>
          <w:color w:val="auto"/>
          <w:highlight w:val="none"/>
          <w:lang w:val="en-US" w:eastAsia="zh-CN"/>
        </w:rPr>
        <w:t>90%，实际在检测中，我所设备利用率达到9</w:t>
      </w:r>
      <w:r>
        <w:rPr>
          <w:rStyle w:val="53"/>
          <w:rFonts w:hint="eastAsia" w:ascii="Times New Roman" w:hAnsi="Times New Roman" w:eastAsia="仿宋_GB2312" w:cs="Times New Roman"/>
          <w:color w:val="auto"/>
          <w:highlight w:val="none"/>
          <w:lang w:val="en-US" w:eastAsia="zh-CN"/>
        </w:rPr>
        <w:t>5</w:t>
      </w:r>
      <w:r>
        <w:rPr>
          <w:rStyle w:val="53"/>
          <w:rFonts w:hint="default" w:ascii="Times New Roman" w:hAnsi="Times New Roman" w:eastAsia="仿宋_GB2312" w:cs="Times New Roman"/>
          <w:color w:val="auto"/>
          <w:highlight w:val="none"/>
          <w:lang w:val="en-US" w:eastAsia="zh-CN"/>
        </w:rPr>
        <w:t>%</w:t>
      </w:r>
      <w:r>
        <w:rPr>
          <w:rStyle w:val="53"/>
          <w:rFonts w:hint="eastAsia" w:ascii="Times New Roman" w:hAnsi="Times New Roman" w:eastAsia="仿宋_GB2312" w:cs="Times New Roman"/>
          <w:color w:val="auto"/>
          <w:highlight w:val="none"/>
          <w:lang w:val="en-US" w:eastAsia="zh-CN"/>
        </w:rPr>
        <w:t>。</w:t>
      </w:r>
    </w:p>
    <w:p>
      <w:pPr>
        <w:pageBreakBefore w:val="0"/>
        <w:kinsoku/>
        <w:wordWrap/>
        <w:overflowPunct/>
        <w:topLinePunct w:val="0"/>
        <w:autoSpaceDE/>
        <w:bidi w:val="0"/>
        <w:adjustRightInd/>
        <w:snapToGrid/>
        <w:spacing w:line="560" w:lineRule="exact"/>
        <w:ind w:firstLine="640" w:firstLineChars="200"/>
        <w:jc w:val="left"/>
        <w:textAlignment w:val="auto"/>
        <w:rPr>
          <w:rStyle w:val="53"/>
          <w:rFonts w:hint="default" w:ascii="Times New Roman" w:hAnsi="Times New Roman" w:cs="Times New Roman"/>
          <w:color w:val="auto"/>
          <w:highlight w:val="none"/>
        </w:rPr>
      </w:pPr>
      <w:r>
        <w:rPr>
          <w:rStyle w:val="53"/>
          <w:rFonts w:hint="default" w:ascii="Times New Roman" w:hAnsi="Times New Roman" w:cs="Times New Roman"/>
          <w:color w:val="auto"/>
          <w:highlight w:val="none"/>
        </w:rPr>
        <w:t>社会效益指标方面：</w:t>
      </w:r>
    </w:p>
    <w:p>
      <w:pPr>
        <w:pageBreakBefore w:val="0"/>
        <w:kinsoku/>
        <w:wordWrap/>
        <w:overflowPunct/>
        <w:topLinePunct w:val="0"/>
        <w:autoSpaceDE/>
        <w:bidi w:val="0"/>
        <w:adjustRightInd/>
        <w:snapToGrid/>
        <w:spacing w:line="560" w:lineRule="exact"/>
        <w:ind w:firstLine="640" w:firstLineChars="200"/>
        <w:jc w:val="left"/>
        <w:textAlignment w:val="auto"/>
        <w:rPr>
          <w:rStyle w:val="53"/>
          <w:rFonts w:hint="default" w:ascii="Times New Roman" w:hAnsi="Times New Roman" w:eastAsia="仿宋_GB2312" w:cs="Times New Roman"/>
          <w:color w:val="auto"/>
          <w:highlight w:val="none"/>
          <w:lang w:val="en-US" w:eastAsia="zh-CN"/>
        </w:rPr>
      </w:pPr>
      <w:r>
        <w:rPr>
          <w:rStyle w:val="53"/>
          <w:rFonts w:hint="default" w:ascii="Times New Roman" w:hAnsi="Times New Roman" w:cs="Times New Roman"/>
          <w:color w:val="auto"/>
          <w:highlight w:val="none"/>
          <w:lang w:val="en-US" w:eastAsia="zh-CN"/>
        </w:rPr>
        <w:t>确保无重大食品安全事件指标，年度指标值为有效确保无重大食品安全事件，实际通过各类监测，</w:t>
      </w:r>
      <w:r>
        <w:rPr>
          <w:rFonts w:hint="default" w:ascii="Times New Roman" w:hAnsi="Times New Roman" w:eastAsia="仿宋_GB2312" w:cs="Times New Roman"/>
          <w:color w:val="auto"/>
          <w:sz w:val="32"/>
          <w:szCs w:val="32"/>
          <w:highlight w:val="none"/>
        </w:rPr>
        <w:t>通过该项目工作的实施，</w:t>
      </w:r>
      <w:r>
        <w:rPr>
          <w:rStyle w:val="53"/>
          <w:rFonts w:hint="default" w:ascii="Times New Roman" w:hAnsi="Times New Roman" w:cs="Times New Roman"/>
          <w:color w:val="auto"/>
          <w:highlight w:val="none"/>
          <w:lang w:val="en-US" w:eastAsia="zh-CN"/>
        </w:rPr>
        <w:t>有效推动了我区畜产品质量安全，</w:t>
      </w:r>
      <w:r>
        <w:rPr>
          <w:rFonts w:hint="default" w:ascii="Times New Roman" w:hAnsi="Times New Roman" w:eastAsia="仿宋_GB2312" w:cs="Times New Roman"/>
          <w:color w:val="auto"/>
          <w:sz w:val="32"/>
          <w:szCs w:val="32"/>
          <w:highlight w:val="none"/>
        </w:rPr>
        <w:t>加强对兽药</w:t>
      </w:r>
      <w:r>
        <w:rPr>
          <w:rFonts w:hint="default" w:ascii="Times New Roman" w:hAnsi="Times New Roman" w:eastAsia="仿宋_GB2312" w:cs="Times New Roman"/>
          <w:color w:val="000000"/>
          <w:sz w:val="32"/>
          <w:szCs w:val="32"/>
          <w:highlight w:val="none"/>
        </w:rPr>
        <w:t>生产企业监督管理，清查兽药</w:t>
      </w:r>
      <w:r>
        <w:rPr>
          <w:rFonts w:hint="default" w:ascii="Times New Roman" w:hAnsi="Times New Roman" w:eastAsia="仿宋_GB2312" w:cs="Times New Roman"/>
          <w:color w:val="000000"/>
          <w:sz w:val="32"/>
          <w:szCs w:val="32"/>
          <w:highlight w:val="none"/>
          <w:lang w:val="en-US" w:eastAsia="zh-CN"/>
        </w:rPr>
        <w:t>经营</w:t>
      </w:r>
      <w:r>
        <w:rPr>
          <w:rFonts w:hint="default" w:ascii="Times New Roman" w:hAnsi="Times New Roman" w:eastAsia="仿宋_GB2312" w:cs="Times New Roman"/>
          <w:color w:val="000000"/>
          <w:sz w:val="32"/>
          <w:szCs w:val="32"/>
          <w:highlight w:val="none"/>
        </w:rPr>
        <w:t>和使用环节中违规使用兽用精神药物，禁用兽药及其化合物，指导兽药使用者合理用药，减少兽药残留对人体的危害，生产优质安全畜产品，从而保障人们身体健康和生命安全</w:t>
      </w:r>
      <w:r>
        <w:rPr>
          <w:rFonts w:hint="default" w:ascii="Times New Roman" w:hAnsi="Times New Roman" w:eastAsia="仿宋_GB2312" w:cs="Times New Roman"/>
          <w:color w:val="000000"/>
          <w:sz w:val="32"/>
          <w:szCs w:val="32"/>
          <w:highlight w:val="none"/>
          <w:lang w:eastAsia="zh-CN"/>
        </w:rPr>
        <w:t>，</w:t>
      </w:r>
      <w:r>
        <w:rPr>
          <w:rFonts w:hint="default" w:ascii="Times New Roman" w:hAnsi="Times New Roman" w:eastAsia="仿宋_GB2312" w:cs="Times New Roman"/>
          <w:color w:val="000000"/>
          <w:sz w:val="32"/>
          <w:szCs w:val="32"/>
          <w:highlight w:val="none"/>
          <w:lang w:val="en-US" w:eastAsia="zh-CN"/>
        </w:rPr>
        <w:t>未发生重大食品安全事件，</w:t>
      </w:r>
      <w:r>
        <w:rPr>
          <w:rStyle w:val="53"/>
          <w:rFonts w:hint="default" w:ascii="Times New Roman" w:hAnsi="Times New Roman" w:cs="Times New Roman"/>
          <w:color w:val="auto"/>
          <w:highlight w:val="none"/>
          <w:lang w:val="en-US" w:eastAsia="zh-CN"/>
        </w:rPr>
        <w:t>完成率100%</w:t>
      </w:r>
      <w:r>
        <w:rPr>
          <w:rStyle w:val="53"/>
          <w:rFonts w:hint="default" w:ascii="Times New Roman" w:hAnsi="Times New Roman" w:eastAsia="仿宋_GB2312" w:cs="Times New Roman"/>
          <w:color w:val="auto"/>
          <w:highlight w:val="none"/>
          <w:lang w:val="en-US" w:eastAsia="zh-CN"/>
        </w:rPr>
        <w:t>，偏差率0%。</w:t>
      </w:r>
    </w:p>
    <w:p>
      <w:pPr>
        <w:pageBreakBefore w:val="0"/>
        <w:numPr>
          <w:ilvl w:val="0"/>
          <w:numId w:val="0"/>
        </w:numPr>
        <w:kinsoku/>
        <w:wordWrap/>
        <w:overflowPunct/>
        <w:topLinePunct w:val="0"/>
        <w:autoSpaceDE/>
        <w:bidi w:val="0"/>
        <w:adjustRightInd/>
        <w:snapToGrid/>
        <w:spacing w:line="560" w:lineRule="exact"/>
        <w:ind w:firstLine="640" w:firstLineChars="200"/>
        <w:textAlignment w:val="auto"/>
        <w:rPr>
          <w:rStyle w:val="53"/>
          <w:rFonts w:hint="default" w:ascii="Times New Roman" w:hAnsi="Times New Roman" w:cs="Times New Roman"/>
          <w:color w:val="auto"/>
          <w:highlight w:val="none"/>
          <w:lang w:val="en-US" w:eastAsia="zh-CN"/>
        </w:rPr>
      </w:pPr>
      <w:r>
        <w:rPr>
          <w:rStyle w:val="53"/>
          <w:rFonts w:hint="default" w:ascii="Times New Roman" w:hAnsi="Times New Roman" w:cs="Times New Roman"/>
          <w:color w:val="auto"/>
          <w:highlight w:val="none"/>
          <w:lang w:val="en-US" w:eastAsia="zh-CN"/>
        </w:rPr>
        <w:t>满意度指标方面：</w:t>
      </w:r>
    </w:p>
    <w:p>
      <w:pPr>
        <w:pageBreakBefore w:val="0"/>
        <w:numPr>
          <w:ilvl w:val="0"/>
          <w:numId w:val="0"/>
        </w:numPr>
        <w:kinsoku/>
        <w:wordWrap/>
        <w:overflowPunct/>
        <w:topLinePunct w:val="0"/>
        <w:autoSpaceDE/>
        <w:bidi w:val="0"/>
        <w:adjustRightInd/>
        <w:snapToGrid/>
        <w:spacing w:line="560" w:lineRule="exact"/>
        <w:ind w:firstLine="640" w:firstLineChars="200"/>
        <w:textAlignment w:val="auto"/>
        <w:rPr>
          <w:rStyle w:val="53"/>
          <w:rFonts w:hint="default" w:ascii="Times New Roman" w:hAnsi="Times New Roman" w:eastAsia="仿宋_GB2312" w:cs="Times New Roman"/>
          <w:color w:val="auto"/>
          <w:highlight w:val="none"/>
          <w:lang w:val="en-US" w:eastAsia="zh-CN"/>
        </w:rPr>
      </w:pPr>
      <w:r>
        <w:rPr>
          <w:rStyle w:val="53"/>
          <w:rFonts w:hint="default" w:ascii="Times New Roman" w:hAnsi="Times New Roman" w:cs="Times New Roman"/>
          <w:color w:val="auto"/>
          <w:highlight w:val="none"/>
          <w:lang w:val="en-US" w:eastAsia="zh-CN"/>
        </w:rPr>
        <w:t>满意度指标，</w:t>
      </w:r>
      <w:r>
        <w:rPr>
          <w:rStyle w:val="53"/>
          <w:rFonts w:hint="default" w:ascii="Times New Roman" w:hAnsi="Times New Roman" w:eastAsia="仿宋_GB2312" w:cs="Times New Roman"/>
          <w:color w:val="auto"/>
          <w:highlight w:val="none"/>
          <w:lang w:val="en-US" w:eastAsia="zh-CN"/>
        </w:rPr>
        <w:t>指标值为设备操作人员对仪器设备使用满意度大于等于90%，</w:t>
      </w:r>
      <w:r>
        <w:rPr>
          <w:rStyle w:val="53"/>
          <w:rFonts w:hint="eastAsia" w:ascii="Times New Roman" w:hAnsi="Times New Roman" w:eastAsia="仿宋_GB2312" w:cs="Times New Roman"/>
          <w:color w:val="auto"/>
          <w:highlight w:val="none"/>
          <w:lang w:val="en-US" w:eastAsia="zh-CN"/>
        </w:rPr>
        <w:t>实际工作中，</w:t>
      </w:r>
      <w:r>
        <w:rPr>
          <w:rStyle w:val="53"/>
          <w:rFonts w:hint="default" w:ascii="Times New Roman" w:hAnsi="Times New Roman" w:cs="Times New Roman"/>
          <w:color w:val="auto"/>
          <w:highlight w:val="none"/>
          <w:lang w:val="en-US" w:eastAsia="zh-CN"/>
        </w:rPr>
        <w:t>设备操作人员对仪器设备使用满意度</w:t>
      </w:r>
      <w:r>
        <w:rPr>
          <w:rStyle w:val="53"/>
          <w:rFonts w:hint="default" w:ascii="Times New Roman" w:hAnsi="Times New Roman" w:eastAsia="仿宋_GB2312" w:cs="Times New Roman"/>
          <w:color w:val="auto"/>
          <w:highlight w:val="none"/>
          <w:lang w:val="en-US" w:eastAsia="zh-CN"/>
        </w:rPr>
        <w:t>为100%。</w:t>
      </w:r>
    </w:p>
    <w:p>
      <w:pPr>
        <w:pageBreakBefore w:val="0"/>
        <w:kinsoku/>
        <w:wordWrap/>
        <w:overflowPunct/>
        <w:topLinePunct w:val="0"/>
        <w:autoSpaceDE/>
        <w:bidi w:val="0"/>
        <w:adjustRightInd/>
        <w:snapToGrid/>
        <w:spacing w:line="560" w:lineRule="exact"/>
        <w:ind w:firstLine="640" w:firstLineChars="200"/>
        <w:textAlignment w:val="auto"/>
        <w:rPr>
          <w:rStyle w:val="53"/>
          <w:rFonts w:hint="default" w:ascii="Times New Roman" w:hAnsi="Times New Roman" w:cs="Times New Roman"/>
          <w:color w:val="auto"/>
          <w:highlight w:val="none"/>
        </w:rPr>
      </w:pPr>
      <w:r>
        <w:rPr>
          <w:rFonts w:hint="default" w:ascii="Times New Roman" w:hAnsi="Times New Roman" w:eastAsia="黑体" w:cs="Times New Roman"/>
          <w:sz w:val="32"/>
          <w:szCs w:val="32"/>
          <w:highlight w:val="none"/>
        </w:rPr>
        <w:t>五、主要经验及做法、存在的问题及原因分析</w:t>
      </w:r>
    </w:p>
    <w:p>
      <w:pPr>
        <w:pageBreakBefore w:val="0"/>
        <w:kinsoku/>
        <w:wordWrap/>
        <w:overflowPunct/>
        <w:topLinePunct w:val="0"/>
        <w:autoSpaceDE/>
        <w:bidi w:val="0"/>
        <w:adjustRightInd/>
        <w:snapToGrid/>
        <w:spacing w:line="560" w:lineRule="exact"/>
        <w:ind w:firstLine="626" w:firstLineChars="200"/>
        <w:textAlignment w:val="auto"/>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pPr>
        <w:pageBreakBefore w:val="0"/>
        <w:kinsoku/>
        <w:wordWrap/>
        <w:overflowPunct/>
        <w:topLinePunct w:val="0"/>
        <w:autoSpaceDE/>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为确保项目顺利进行，</w:t>
      </w:r>
      <w:r>
        <w:rPr>
          <w:rFonts w:hint="default" w:ascii="Times New Roman" w:hAnsi="Times New Roman" w:eastAsia="仿宋_GB2312" w:cs="Times New Roman"/>
          <w:sz w:val="32"/>
          <w:szCs w:val="32"/>
          <w:highlight w:val="none"/>
          <w:lang w:eastAsia="zh-CN"/>
        </w:rPr>
        <w:t>我所</w:t>
      </w:r>
      <w:r>
        <w:rPr>
          <w:rFonts w:hint="default" w:ascii="Times New Roman" w:hAnsi="Times New Roman" w:eastAsia="仿宋_GB2312" w:cs="Times New Roman"/>
          <w:sz w:val="32"/>
          <w:szCs w:val="32"/>
          <w:highlight w:val="none"/>
        </w:rPr>
        <w:t>提前做好项目规划，将所列计划再三审核。在项目实施过程中做好定期监督检查，严格按照项目管理规范进行，</w:t>
      </w:r>
      <w:r>
        <w:rPr>
          <w:rFonts w:hint="default" w:ascii="Times New Roman" w:hAnsi="Times New Roman" w:eastAsia="仿宋_GB2312" w:cs="Times New Roman"/>
          <w:sz w:val="32"/>
          <w:szCs w:val="32"/>
          <w:highlight w:val="none"/>
          <w:lang w:eastAsia="zh-CN"/>
        </w:rPr>
        <w:t>按时上报工作进度，</w:t>
      </w:r>
      <w:r>
        <w:rPr>
          <w:rFonts w:hint="default" w:ascii="Times New Roman" w:hAnsi="Times New Roman" w:eastAsia="仿宋_GB2312" w:cs="Times New Roman"/>
          <w:sz w:val="32"/>
          <w:szCs w:val="32"/>
          <w:highlight w:val="none"/>
        </w:rPr>
        <w:t>在项目资金使用过程中，严格落实把关，按照项目资金使用范围做好审核工作，让项目资金落于实处。在项目完成后，做好民意调查及项目防范工作。</w:t>
      </w:r>
    </w:p>
    <w:p>
      <w:pPr>
        <w:pageBreakBefore w:val="0"/>
        <w:kinsoku/>
        <w:wordWrap/>
        <w:overflowPunct/>
        <w:topLinePunct w:val="0"/>
        <w:autoSpaceDE/>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kinsoku/>
        <w:wordWrap/>
        <w:overflowPunct/>
        <w:topLinePunct w:val="0"/>
        <w:autoSpaceDE/>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项目任务按照要求及时完成并上报，对于不合格</w:t>
      </w:r>
      <w:r>
        <w:rPr>
          <w:rFonts w:hint="eastAsia" w:ascii="Times New Roman" w:hAnsi="Times New Roman" w:eastAsia="仿宋_GB2312" w:cs="Times New Roman"/>
          <w:sz w:val="32"/>
          <w:szCs w:val="32"/>
          <w:highlight w:val="none"/>
          <w:lang w:val="en-US" w:eastAsia="zh-CN"/>
        </w:rPr>
        <w:t>产品</w:t>
      </w:r>
      <w:r>
        <w:rPr>
          <w:rFonts w:hint="default" w:ascii="Times New Roman" w:hAnsi="Times New Roman" w:eastAsia="仿宋_GB2312" w:cs="Times New Roman"/>
          <w:sz w:val="32"/>
          <w:szCs w:val="32"/>
          <w:highlight w:val="none"/>
        </w:rPr>
        <w:t>及时报送行政主管部门，项目资金按照要求专款专用、合理安排。</w:t>
      </w:r>
    </w:p>
    <w:p>
      <w:pPr>
        <w:keepNext/>
        <w:keepLines/>
        <w:pageBreakBefore w:val="0"/>
        <w:numPr>
          <w:ilvl w:val="0"/>
          <w:numId w:val="6"/>
        </w:numPr>
        <w:kinsoku/>
        <w:wordWrap/>
        <w:overflowPunct/>
        <w:topLinePunct w:val="0"/>
        <w:autoSpaceDE/>
        <w:bidi w:val="0"/>
        <w:adjustRightInd/>
        <w:snapToGrid/>
        <w:spacing w:line="560" w:lineRule="exact"/>
        <w:ind w:firstLine="642" w:firstLineChars="200"/>
        <w:textAlignment w:val="auto"/>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pPr>
        <w:pageBreakBefore w:val="0"/>
        <w:kinsoku/>
        <w:wordWrap/>
        <w:overflowPunct/>
        <w:topLinePunct w:val="0"/>
        <w:autoSpaceDE/>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预算绩效评价规范程度不够。</w:t>
      </w:r>
      <w:r>
        <w:rPr>
          <w:rFonts w:hint="eastAsia" w:ascii="Times New Roman" w:hAnsi="Times New Roman" w:eastAsia="仿宋_GB2312" w:cs="Times New Roman"/>
          <w:sz w:val="32"/>
          <w:szCs w:val="32"/>
          <w:highlight w:val="none"/>
          <w:lang w:eastAsia="zh-CN"/>
        </w:rPr>
        <w:t>主要原因一是绩效评价人员专业能力不足，影响评价质量；二是缺乏对评价人员的培训，难以适应新要求。应</w:t>
      </w:r>
      <w:r>
        <w:rPr>
          <w:rFonts w:hint="default" w:ascii="Times New Roman" w:hAnsi="Times New Roman" w:eastAsia="仿宋_GB2312" w:cs="Times New Roman"/>
          <w:sz w:val="32"/>
          <w:szCs w:val="32"/>
          <w:highlight w:val="none"/>
          <w:lang w:eastAsia="zh-CN"/>
        </w:rPr>
        <w:t>在今后加强相关方面的培训。</w:t>
      </w:r>
    </w:p>
    <w:p>
      <w:pPr>
        <w:pageBreakBefore w:val="0"/>
        <w:numPr>
          <w:ilvl w:val="0"/>
          <w:numId w:val="7"/>
        </w:numPr>
        <w:kinsoku/>
        <w:wordWrap/>
        <w:overflowPunct/>
        <w:topLinePunct w:val="0"/>
        <w:autoSpaceDE/>
        <w:bidi w:val="0"/>
        <w:adjustRightInd/>
        <w:snapToGrid/>
        <w:spacing w:line="560" w:lineRule="exact"/>
        <w:ind w:firstLine="640" w:firstLineChars="200"/>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有关建议</w:t>
      </w:r>
    </w:p>
    <w:p>
      <w:pPr>
        <w:pageBreakBefore w:val="0"/>
        <w:kinsoku/>
        <w:wordWrap/>
        <w:overflowPunct/>
        <w:topLinePunct w:val="0"/>
        <w:autoSpaceDE/>
        <w:bidi w:val="0"/>
        <w:adjustRightInd/>
        <w:snapToGrid/>
        <w:spacing w:line="560" w:lineRule="exact"/>
        <w:ind w:firstLine="640" w:firstLineChars="200"/>
        <w:textAlignment w:val="auto"/>
        <w:rPr>
          <w:rFonts w:hint="default" w:ascii="Times New Roman" w:hAnsi="Times New Roman" w:eastAsia="仿宋_GB2312" w:cs="Times New Roman"/>
          <w:sz w:val="32"/>
          <w:szCs w:val="28"/>
          <w:highlight w:val="none"/>
        </w:rPr>
      </w:pPr>
      <w:r>
        <w:rPr>
          <w:rFonts w:hint="eastAsia" w:eastAsia="仿宋_GB2312" w:cs="Times New Roman"/>
          <w:sz w:val="32"/>
          <w:szCs w:val="28"/>
          <w:highlight w:val="none"/>
          <w:lang w:val="en-US" w:eastAsia="zh-CN"/>
        </w:rPr>
        <w:t>1、</w:t>
      </w:r>
      <w:r>
        <w:rPr>
          <w:rFonts w:hint="default" w:ascii="Times New Roman" w:hAnsi="Times New Roman" w:eastAsia="仿宋_GB2312" w:cs="Times New Roman"/>
          <w:sz w:val="32"/>
          <w:szCs w:val="28"/>
          <w:highlight w:val="none"/>
        </w:rPr>
        <w:t>进一步加强对绩效管理工作的组织领导，提高对预算绩效管理工作重要性的认识，总结经验查找问题，抓紧研究制定更全面更完善的绩效评价管理办法。</w:t>
      </w:r>
    </w:p>
    <w:p>
      <w:pPr>
        <w:pageBreakBefore w:val="0"/>
        <w:kinsoku/>
        <w:wordWrap/>
        <w:overflowPunct/>
        <w:topLinePunct w:val="0"/>
        <w:autoSpaceDE/>
        <w:bidi w:val="0"/>
        <w:adjustRightInd/>
        <w:snapToGrid/>
        <w:spacing w:line="560" w:lineRule="exact"/>
        <w:ind w:firstLine="640" w:firstLineChars="200"/>
        <w:textAlignment w:val="auto"/>
        <w:rPr>
          <w:rFonts w:hint="default" w:ascii="Times New Roman" w:hAnsi="Times New Roman" w:cs="Times New Roman"/>
          <w:highlight w:val="none"/>
        </w:rPr>
      </w:pPr>
      <w:r>
        <w:rPr>
          <w:rFonts w:hint="eastAsia" w:eastAsia="仿宋_GB2312" w:cs="Times New Roman"/>
          <w:sz w:val="32"/>
          <w:szCs w:val="28"/>
          <w:highlight w:val="none"/>
          <w:lang w:val="en-US" w:eastAsia="zh-CN"/>
        </w:rPr>
        <w:t>2、</w:t>
      </w:r>
      <w:r>
        <w:rPr>
          <w:rFonts w:hint="default" w:ascii="Times New Roman" w:hAnsi="Times New Roman" w:eastAsia="仿宋_GB2312" w:cs="Times New Roman"/>
          <w:sz w:val="32"/>
          <w:szCs w:val="28"/>
          <w:highlight w:val="none"/>
        </w:rPr>
        <w:t>结合食品安全考核建立绩效工作考核制度，加大对全面实施预算绩效管理和绩效</w:t>
      </w:r>
      <w:r>
        <w:rPr>
          <w:rFonts w:hint="eastAsia" w:eastAsia="仿宋_GB2312" w:cs="Times New Roman"/>
          <w:sz w:val="32"/>
          <w:szCs w:val="28"/>
          <w:highlight w:val="none"/>
          <w:lang w:eastAsia="zh-CN"/>
        </w:rPr>
        <w:t>评价</w:t>
      </w:r>
      <w:r>
        <w:rPr>
          <w:rFonts w:hint="default" w:ascii="Times New Roman" w:hAnsi="Times New Roman" w:eastAsia="仿宋_GB2312" w:cs="Times New Roman"/>
          <w:sz w:val="32"/>
          <w:szCs w:val="28"/>
          <w:highlight w:val="none"/>
        </w:rPr>
        <w:t>工作的</w:t>
      </w:r>
      <w:r>
        <w:rPr>
          <w:rFonts w:hint="eastAsia" w:eastAsia="仿宋_GB2312" w:cs="Times New Roman"/>
          <w:sz w:val="32"/>
          <w:szCs w:val="28"/>
          <w:highlight w:val="none"/>
          <w:lang w:eastAsia="zh-CN"/>
        </w:rPr>
        <w:t>培训</w:t>
      </w:r>
      <w:r>
        <w:rPr>
          <w:rFonts w:hint="default" w:ascii="Times New Roman" w:hAnsi="Times New Roman" w:eastAsia="仿宋_GB2312" w:cs="Times New Roman"/>
          <w:sz w:val="32"/>
          <w:szCs w:val="28"/>
          <w:highlight w:val="none"/>
        </w:rPr>
        <w:t>学习力度，让“花钱必问效，无效必问责”的理念深入工作每个环节。</w:t>
      </w:r>
    </w:p>
    <w:p>
      <w:pPr>
        <w:pageBreakBefore w:val="0"/>
        <w:numPr>
          <w:ilvl w:val="0"/>
          <w:numId w:val="7"/>
        </w:numPr>
        <w:kinsoku/>
        <w:wordWrap/>
        <w:overflowPunct/>
        <w:topLinePunct w:val="0"/>
        <w:autoSpaceDE/>
        <w:bidi w:val="0"/>
        <w:adjustRightInd/>
        <w:snapToGrid/>
        <w:spacing w:line="560" w:lineRule="exact"/>
        <w:ind w:firstLine="640" w:firstLineChars="200"/>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其他需要说</w:t>
      </w:r>
      <w:bookmarkStart w:id="1" w:name="page8"/>
      <w:bookmarkEnd w:id="1"/>
      <w:r>
        <w:rPr>
          <w:rFonts w:hint="default" w:ascii="Times New Roman" w:hAnsi="Times New Roman" w:eastAsia="黑体" w:cs="Times New Roman"/>
          <w:sz w:val="32"/>
          <w:szCs w:val="32"/>
          <w:highlight w:val="none"/>
        </w:rPr>
        <w:t>明的问题</w:t>
      </w:r>
    </w:p>
    <w:p>
      <w:pPr>
        <w:pStyle w:val="21"/>
        <w:pageBreakBefore w:val="0"/>
        <w:kinsoku/>
        <w:wordWrap/>
        <w:overflowPunct/>
        <w:topLinePunct w:val="0"/>
        <w:autoSpaceDE/>
        <w:bidi w:val="0"/>
        <w:adjustRightInd/>
        <w:snapToGrid/>
        <w:spacing w:line="560" w:lineRule="exact"/>
        <w:ind w:left="0" w:leftChars="0" w:firstLine="640" w:firstLineChars="200"/>
        <w:textAlignment w:val="auto"/>
        <w:rPr>
          <w:rFonts w:hint="eastAsia" w:ascii="Times New Roman" w:hAnsi="Times New Roman" w:eastAsia="仿宋_GB2312" w:cs="Times New Roman"/>
          <w:kern w:val="2"/>
          <w:sz w:val="32"/>
          <w:szCs w:val="28"/>
          <w:highlight w:val="none"/>
          <w:lang w:val="en-US" w:eastAsia="zh-CN" w:bidi="ar-SA"/>
        </w:rPr>
      </w:pPr>
      <w:r>
        <w:rPr>
          <w:rFonts w:hint="eastAsia" w:ascii="Times New Roman" w:hAnsi="Times New Roman" w:eastAsia="仿宋_GB2312" w:cs="Times New Roman"/>
          <w:kern w:val="2"/>
          <w:sz w:val="32"/>
          <w:szCs w:val="28"/>
          <w:highlight w:val="none"/>
          <w:lang w:val="en-US" w:eastAsia="zh-CN" w:bidi="ar-SA"/>
        </w:rPr>
        <w:t>无</w:t>
      </w:r>
    </w:p>
    <w:p>
      <w:pPr>
        <w:pStyle w:val="21"/>
        <w:pageBreakBefore w:val="0"/>
        <w:kinsoku/>
        <w:wordWrap/>
        <w:overflowPunct/>
        <w:topLinePunct w:val="0"/>
        <w:autoSpaceDE/>
        <w:bidi w:val="0"/>
        <w:adjustRightInd/>
        <w:snapToGrid/>
        <w:spacing w:line="560" w:lineRule="exact"/>
        <w:ind w:left="0" w:leftChars="0" w:firstLine="640" w:firstLineChars="200"/>
        <w:textAlignment w:val="auto"/>
        <w:rPr>
          <w:rFonts w:hint="eastAsia" w:ascii="Times New Roman" w:hAnsi="Times New Roman" w:eastAsia="仿宋_GB2312" w:cs="Times New Roman"/>
          <w:kern w:val="2"/>
          <w:sz w:val="32"/>
          <w:szCs w:val="28"/>
          <w:highlight w:val="none"/>
          <w:lang w:val="en-US" w:eastAsia="zh-CN" w:bidi="ar-SA"/>
        </w:rPr>
      </w:pPr>
    </w:p>
    <w:p>
      <w:pPr>
        <w:pStyle w:val="21"/>
        <w:pageBreakBefore w:val="0"/>
        <w:kinsoku/>
        <w:wordWrap/>
        <w:overflowPunct/>
        <w:topLinePunct w:val="0"/>
        <w:autoSpaceDE/>
        <w:bidi w:val="0"/>
        <w:adjustRightInd/>
        <w:snapToGrid/>
        <w:spacing w:line="560" w:lineRule="exact"/>
        <w:ind w:left="0" w:leftChars="0" w:firstLine="640" w:firstLineChars="200"/>
        <w:textAlignment w:val="auto"/>
        <w:rPr>
          <w:rFonts w:hint="eastAsia" w:ascii="Times New Roman" w:hAnsi="Times New Roman" w:eastAsia="仿宋_GB2312" w:cs="Times New Roman"/>
          <w:kern w:val="2"/>
          <w:sz w:val="32"/>
          <w:szCs w:val="28"/>
          <w:highlight w:val="none"/>
          <w:lang w:val="en-US" w:eastAsia="zh-CN" w:bidi="ar-SA"/>
        </w:rPr>
      </w:pPr>
    </w:p>
    <w:p>
      <w:pPr>
        <w:pStyle w:val="21"/>
        <w:pageBreakBefore w:val="0"/>
        <w:kinsoku/>
        <w:wordWrap/>
        <w:overflowPunct/>
        <w:topLinePunct w:val="0"/>
        <w:autoSpaceDE/>
        <w:bidi w:val="0"/>
        <w:adjustRightInd/>
        <w:snapToGrid/>
        <w:spacing w:line="560" w:lineRule="exact"/>
        <w:ind w:left="0" w:leftChars="0" w:firstLine="640" w:firstLineChars="200"/>
        <w:textAlignment w:val="auto"/>
        <w:rPr>
          <w:rFonts w:hint="eastAsia" w:ascii="华文中宋" w:hAnsi="华文中宋" w:eastAsia="华文中宋" w:cs="华文中宋"/>
          <w:b/>
          <w:bCs/>
          <w:i w:val="0"/>
          <w:iCs w:val="0"/>
          <w:color w:val="000000"/>
          <w:kern w:val="0"/>
          <w:sz w:val="40"/>
          <w:szCs w:val="40"/>
          <w:highlight w:val="none"/>
          <w:u w:val="none"/>
          <w:lang w:val="en-US" w:eastAsia="zh-CN" w:bidi="ar"/>
        </w:rPr>
      </w:pPr>
      <w:r>
        <w:rPr>
          <w:rFonts w:hint="eastAsia" w:ascii="Times New Roman" w:hAnsi="Times New Roman" w:eastAsia="仿宋_GB2312" w:cs="Times New Roman"/>
          <w:kern w:val="2"/>
          <w:sz w:val="32"/>
          <w:szCs w:val="28"/>
          <w:highlight w:val="none"/>
          <w:lang w:val="en-US" w:eastAsia="zh-CN" w:bidi="ar-SA"/>
        </w:rPr>
        <w:t>附件1：</w:t>
      </w:r>
      <w:r>
        <w:rPr>
          <w:rFonts w:hint="eastAsia" w:ascii="华文中宋" w:hAnsi="华文中宋" w:eastAsia="华文中宋" w:cs="华文中宋"/>
          <w:b/>
          <w:bCs/>
          <w:i w:val="0"/>
          <w:iCs w:val="0"/>
          <w:color w:val="000000"/>
          <w:kern w:val="0"/>
          <w:sz w:val="40"/>
          <w:szCs w:val="40"/>
          <w:highlight w:val="none"/>
          <w:u w:val="none"/>
          <w:lang w:val="en-US" w:eastAsia="zh-CN" w:bidi="ar"/>
        </w:rPr>
        <w:t>项目支出绩效自评表</w:t>
      </w:r>
    </w:p>
    <w:p>
      <w:pPr>
        <w:pStyle w:val="21"/>
        <w:pageBreakBefore w:val="0"/>
        <w:kinsoku/>
        <w:wordWrap/>
        <w:overflowPunct/>
        <w:topLinePunct w:val="0"/>
        <w:autoSpaceDE/>
        <w:bidi w:val="0"/>
        <w:adjustRightInd/>
        <w:snapToGrid/>
        <w:spacing w:line="560" w:lineRule="exact"/>
        <w:ind w:left="0" w:leftChars="0" w:firstLine="800" w:firstLineChars="200"/>
        <w:textAlignment w:val="auto"/>
        <w:rPr>
          <w:rFonts w:hint="eastAsia" w:ascii="华文中宋" w:hAnsi="华文中宋" w:eastAsia="华文中宋" w:cs="华文中宋"/>
          <w:b/>
          <w:bCs/>
          <w:i w:val="0"/>
          <w:iCs w:val="0"/>
          <w:color w:val="000000"/>
          <w:kern w:val="0"/>
          <w:sz w:val="40"/>
          <w:szCs w:val="40"/>
          <w:highlight w:val="none"/>
          <w:u w:val="none"/>
          <w:lang w:val="en-US" w:eastAsia="zh-CN" w:bidi="ar"/>
        </w:rPr>
      </w:pPr>
    </w:p>
    <w:p>
      <w:pPr>
        <w:pStyle w:val="21"/>
        <w:pageBreakBefore w:val="0"/>
        <w:kinsoku/>
        <w:wordWrap/>
        <w:overflowPunct/>
        <w:topLinePunct w:val="0"/>
        <w:autoSpaceDE/>
        <w:bidi w:val="0"/>
        <w:adjustRightInd/>
        <w:snapToGrid/>
        <w:spacing w:line="560" w:lineRule="exact"/>
        <w:ind w:left="0" w:leftChars="0" w:firstLine="800" w:firstLineChars="200"/>
        <w:textAlignment w:val="auto"/>
        <w:rPr>
          <w:rFonts w:hint="default" w:ascii="华文中宋" w:hAnsi="华文中宋" w:eastAsia="华文中宋" w:cs="华文中宋"/>
          <w:b/>
          <w:bCs/>
          <w:i w:val="0"/>
          <w:iCs w:val="0"/>
          <w:color w:val="000000"/>
          <w:kern w:val="0"/>
          <w:sz w:val="40"/>
          <w:szCs w:val="40"/>
          <w:highlight w:val="none"/>
          <w:u w:val="none"/>
          <w:lang w:val="en-US" w:eastAsia="zh-CN" w:bidi="ar"/>
        </w:rPr>
        <w:sectPr>
          <w:footerReference r:id="rId3" w:type="default"/>
          <w:pgSz w:w="11906" w:h="16838"/>
          <w:pgMar w:top="1440" w:right="1558" w:bottom="1440" w:left="1800" w:header="851" w:footer="992" w:gutter="0"/>
          <w:pgBorders>
            <w:top w:val="none" w:sz="0" w:space="0"/>
            <w:left w:val="none" w:sz="0" w:space="0"/>
            <w:bottom w:val="none" w:sz="0" w:space="0"/>
            <w:right w:val="none" w:sz="0" w:space="0"/>
          </w:pgBorders>
          <w:cols w:space="425" w:num="1"/>
          <w:docGrid w:type="lines" w:linePitch="312" w:charSpace="0"/>
        </w:sectPr>
      </w:pPr>
    </w:p>
    <w:tbl>
      <w:tblPr>
        <w:tblStyle w:val="22"/>
        <w:tblW w:w="14952" w:type="dxa"/>
        <w:tblInd w:w="-49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0"/>
        <w:gridCol w:w="168"/>
        <w:gridCol w:w="504"/>
        <w:gridCol w:w="612"/>
        <w:gridCol w:w="1042"/>
        <w:gridCol w:w="1886"/>
        <w:gridCol w:w="1272"/>
        <w:gridCol w:w="1032"/>
        <w:gridCol w:w="960"/>
        <w:gridCol w:w="312"/>
        <w:gridCol w:w="396"/>
        <w:gridCol w:w="744"/>
        <w:gridCol w:w="984"/>
        <w:gridCol w:w="780"/>
        <w:gridCol w:w="180"/>
        <w:gridCol w:w="756"/>
        <w:gridCol w:w="252"/>
        <w:gridCol w:w="720"/>
        <w:gridCol w:w="600"/>
        <w:gridCol w:w="9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14952" w:type="dxa"/>
            <w:gridSpan w:val="20"/>
            <w:tcBorders>
              <w:top w:val="nil"/>
              <w:left w:val="nil"/>
              <w:bottom w:val="nil"/>
              <w:right w:val="nil"/>
            </w:tcBorders>
            <w:shd w:val="clear" w:color="auto" w:fill="auto"/>
            <w:vAlign w:val="center"/>
          </w:tcPr>
          <w:p>
            <w:pP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附件1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4952" w:type="dxa"/>
            <w:gridSpan w:val="2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华文中宋" w:hAnsi="华文中宋" w:eastAsia="华文中宋" w:cs="华文中宋"/>
                <w:b/>
                <w:bCs/>
                <w:i w:val="0"/>
                <w:iCs w:val="0"/>
                <w:color w:val="000000"/>
                <w:sz w:val="40"/>
                <w:szCs w:val="40"/>
                <w:highlight w:val="none"/>
                <w:u w:val="none"/>
              </w:rPr>
            </w:pPr>
            <w:r>
              <w:rPr>
                <w:rFonts w:hint="eastAsia" w:ascii="华文中宋" w:hAnsi="华文中宋" w:eastAsia="华文中宋" w:cs="华文中宋"/>
                <w:b/>
                <w:bCs/>
                <w:i w:val="0"/>
                <w:iCs w:val="0"/>
                <w:color w:val="000000"/>
                <w:kern w:val="0"/>
                <w:sz w:val="40"/>
                <w:szCs w:val="40"/>
                <w:highlight w:val="none"/>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4952" w:type="dxa"/>
            <w:gridSpan w:val="2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项目名称</w:t>
            </w:r>
          </w:p>
        </w:tc>
        <w:tc>
          <w:tcPr>
            <w:tcW w:w="13944"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自治区畜牧业生产发展资金 （兽药饲料检验项目、畜产品质量安全监测）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trPr>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主管部门</w:t>
            </w:r>
          </w:p>
        </w:tc>
        <w:tc>
          <w:tcPr>
            <w:tcW w:w="634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农业农村厅</w:t>
            </w:r>
          </w:p>
        </w:tc>
        <w:tc>
          <w:tcPr>
            <w:tcW w:w="24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p>
        </w:tc>
        <w:tc>
          <w:tcPr>
            <w:tcW w:w="518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新疆维吾尔自治区兽药饲料监察所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00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项目资金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（万元）</w:t>
            </w:r>
          </w:p>
        </w:tc>
        <w:tc>
          <w:tcPr>
            <w:tcW w:w="21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资金来源</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21"/>
                <w:szCs w:val="21"/>
                <w:highlight w:val="none"/>
                <w:u w:val="none"/>
                <w:lang w:val="en-US" w:eastAsia="zh-CN" w:bidi="ar"/>
              </w:rPr>
              <w:t>年初预算数</w:t>
            </w:r>
          </w:p>
        </w:tc>
        <w:tc>
          <w:tcPr>
            <w:tcW w:w="23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1"/>
                <w:szCs w:val="21"/>
                <w:highlight w:val="none"/>
                <w:u w:val="none"/>
                <w:lang w:val="en-US" w:eastAsia="zh-CN" w:bidi="ar"/>
              </w:rPr>
              <w:t>全年预算数</w:t>
            </w:r>
          </w:p>
        </w:tc>
        <w:tc>
          <w:tcPr>
            <w:tcW w:w="24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1"/>
                <w:szCs w:val="21"/>
                <w:highlight w:val="none"/>
                <w:u w:val="none"/>
                <w:lang w:val="en-US" w:eastAsia="zh-CN" w:bidi="ar"/>
              </w:rPr>
              <w:t>全年执行数</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1"/>
                <w:szCs w:val="21"/>
                <w:highlight w:val="none"/>
                <w:u w:val="none"/>
                <w:lang w:val="en-US" w:eastAsia="zh-CN" w:bidi="ar"/>
              </w:rPr>
              <w:t>分值权重</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1"/>
                <w:szCs w:val="21"/>
                <w:highlight w:val="none"/>
                <w:u w:val="none"/>
                <w:lang w:val="en-US" w:eastAsia="zh-CN" w:bidi="ar"/>
              </w:rPr>
              <w:t>执行率</w:t>
            </w:r>
          </w:p>
        </w:tc>
        <w:tc>
          <w:tcPr>
            <w:tcW w:w="248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trPr>
        <w:tc>
          <w:tcPr>
            <w:tcW w:w="10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1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年度资金总额</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1"/>
                <w:szCs w:val="21"/>
                <w:highlight w:val="none"/>
                <w:u w:val="none"/>
                <w:lang w:val="en-US" w:eastAsia="zh-CN" w:bidi="ar"/>
              </w:rPr>
              <w:t>325</w:t>
            </w:r>
          </w:p>
        </w:tc>
        <w:tc>
          <w:tcPr>
            <w:tcW w:w="23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1"/>
                <w:szCs w:val="21"/>
                <w:highlight w:val="none"/>
                <w:u w:val="none"/>
                <w:lang w:val="en-US" w:eastAsia="zh-CN" w:bidi="ar"/>
              </w:rPr>
              <w:t>325</w:t>
            </w:r>
          </w:p>
        </w:tc>
        <w:tc>
          <w:tcPr>
            <w:tcW w:w="24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1"/>
                <w:szCs w:val="21"/>
                <w:highlight w:val="none"/>
                <w:u w:val="none"/>
                <w:lang w:val="en-US" w:eastAsia="zh-CN" w:bidi="ar"/>
              </w:rPr>
              <w:t>325</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1"/>
                <w:szCs w:val="21"/>
                <w:highlight w:val="none"/>
                <w:u w:val="none"/>
                <w:lang w:val="en-US" w:eastAsia="zh-CN" w:bidi="ar"/>
              </w:rPr>
              <w:t>100.0%</w:t>
            </w:r>
          </w:p>
        </w:tc>
        <w:tc>
          <w:tcPr>
            <w:tcW w:w="248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1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1"/>
                <w:szCs w:val="11"/>
                <w:highlight w:val="none"/>
                <w:u w:val="none"/>
              </w:rPr>
            </w:pPr>
            <w:r>
              <w:rPr>
                <w:rFonts w:hint="eastAsia" w:ascii="宋体" w:hAnsi="宋体" w:eastAsia="宋体" w:cs="宋体"/>
                <w:i w:val="0"/>
                <w:iCs w:val="0"/>
                <w:color w:val="000000"/>
                <w:kern w:val="0"/>
                <w:sz w:val="21"/>
                <w:szCs w:val="21"/>
                <w:highlight w:val="none"/>
                <w:u w:val="none"/>
                <w:lang w:val="en-US" w:eastAsia="zh-CN" w:bidi="ar"/>
              </w:rPr>
              <w:t>其中：当年财政拨款</w:t>
            </w:r>
          </w:p>
        </w:tc>
        <w:tc>
          <w:tcPr>
            <w:tcW w:w="1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325.00 </w:t>
            </w:r>
          </w:p>
        </w:tc>
        <w:tc>
          <w:tcPr>
            <w:tcW w:w="23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325.00 </w:t>
            </w:r>
          </w:p>
        </w:tc>
        <w:tc>
          <w:tcPr>
            <w:tcW w:w="24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1"/>
                <w:szCs w:val="21"/>
                <w:highlight w:val="none"/>
                <w:u w:val="none"/>
                <w:lang w:val="en-US" w:eastAsia="zh-CN" w:bidi="ar"/>
              </w:rPr>
              <w:t>325</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248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0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158"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1"/>
                <w:szCs w:val="21"/>
                <w:highlight w:val="none"/>
                <w:u w:val="none"/>
                <w:lang w:val="en-US" w:eastAsia="zh-CN" w:bidi="ar"/>
              </w:rPr>
              <w:t>其他资金</w:t>
            </w:r>
          </w:p>
        </w:tc>
        <w:tc>
          <w:tcPr>
            <w:tcW w:w="188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1"/>
                <w:szCs w:val="21"/>
                <w:highlight w:val="none"/>
                <w:u w:val="none"/>
                <w:lang w:val="en-US" w:eastAsia="zh-CN" w:bidi="ar"/>
              </w:rPr>
              <w:t>无</w:t>
            </w:r>
          </w:p>
        </w:tc>
        <w:tc>
          <w:tcPr>
            <w:tcW w:w="230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1"/>
                <w:szCs w:val="21"/>
                <w:highlight w:val="none"/>
                <w:u w:val="none"/>
                <w:lang w:val="en-US" w:eastAsia="zh-CN" w:bidi="ar"/>
              </w:rPr>
              <w:t>无</w:t>
            </w:r>
          </w:p>
        </w:tc>
        <w:tc>
          <w:tcPr>
            <w:tcW w:w="2412"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1"/>
                <w:szCs w:val="21"/>
                <w:highlight w:val="none"/>
                <w:u w:val="none"/>
                <w:lang w:val="en-US" w:eastAsia="zh-CN" w:bidi="ar"/>
              </w:rPr>
              <w:t>无</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248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100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年度总体目标</w:t>
            </w:r>
          </w:p>
        </w:tc>
        <w:tc>
          <w:tcPr>
            <w:tcW w:w="87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总体目标</w:t>
            </w:r>
          </w:p>
        </w:tc>
        <w:tc>
          <w:tcPr>
            <w:tcW w:w="518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2" w:hRule="atLeast"/>
        </w:trPr>
        <w:tc>
          <w:tcPr>
            <w:tcW w:w="10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1"/>
                <w:szCs w:val="21"/>
                <w:highlight w:val="none"/>
                <w:u w:val="none"/>
                <w:lang w:val="en-US" w:eastAsia="zh-CN" w:bidi="ar"/>
              </w:rPr>
              <w:t>根据农业农村部及主管部门下达各项工作计划，坚持问题导向，扭住重点环节和问题多发点，按照“双随机一公开”要求，对我区兽药、饲料、畜产品质量进行监测，不留死角，不留盲区，实现检测的全覆盖，为畜牧业高质量发展提供支撑作用。开展全疆14个地州市兽药、饲料、畜产品质量安全监测工作。涉及生产、经营、使用、养殖、屠宰等环节，同时开展兽药生产企业GMP验收、兽药二维码检查、兽用生物制品批签发等工作。2024年兽药监测达到800批次、饲料质量安全监测达到400批次、畜产品监测批次达到1400批次、动物源细菌耐药性监测达到200批次；动物源细菌耐药性监测、兽药、饲料、畜产品质量安全监测平均成本控制在1000元/批次以内；设备采购成本控制在14.50万元/台；协助行政主管部门承担全疆兽药、兽药生产企业GMP及现场审查工作；购买设备数量达到12台；监测数据准确率达到100%；政府采购率达到100%；设备质量合格率达到100%；设备验收合格率达到100%；检测按期完成率达到90%以上（包含90%）；设备采购按期完成率达到98%以上（包含98%）；实验设备利用率达到90%以上（包含90%）；确保无重大食品安全事件发生；实验设备使用人员满意度达到90%以上（包含90%）。</w:t>
            </w:r>
          </w:p>
        </w:tc>
        <w:tc>
          <w:tcPr>
            <w:tcW w:w="63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1"/>
                <w:szCs w:val="21"/>
                <w:highlight w:val="none"/>
                <w:u w:val="none"/>
                <w:lang w:val="en-US" w:eastAsia="zh-CN" w:bidi="ar"/>
              </w:rPr>
              <w:t>开展全疆14个地州市兽药、饲料、畜产品质量安全监测工作。涉及生产、经营、使用、养殖、屠宰等环节，同时开展兽药生产企业GMP验收、兽药二维码检查、畜产品检疫证号检查、兽用生物制品批签发等工作。2024年完成兽药质量监测800批次、动物源细菌耐药性监测工作200批次、饲料质量安全监测400批次、畜产品质量安全监测1400批次；动物源细菌耐药性监测、兽药、饲料、畜产品质量安全监测平均成本控制在1000元/批次以内；设备采购成本控制在14.42万元/台。协助行政主管部门承担全疆兽药、兽药生产企业GMP及现场审查工作；完成批签发抽样41次，合计354批次。购买设备数量达到</w:t>
            </w:r>
            <w:r>
              <w:rPr>
                <w:rStyle w:val="54"/>
                <w:sz w:val="21"/>
                <w:szCs w:val="21"/>
                <w:highlight w:val="none"/>
                <w:lang w:val="en-US" w:eastAsia="zh-CN" w:bidi="ar"/>
              </w:rPr>
              <w:t>12</w:t>
            </w:r>
            <w:r>
              <w:rPr>
                <w:rStyle w:val="55"/>
                <w:sz w:val="21"/>
                <w:szCs w:val="21"/>
                <w:highlight w:val="none"/>
                <w:lang w:val="en-US" w:eastAsia="zh-CN" w:bidi="ar"/>
              </w:rPr>
              <w:t>台；监测数据准确率达到100%；政府采购率达到100%；设备质量合格率达到100%；设备验收合格率达到100%；检测按期完成率达到100%；设备采购按期完成率达到100%；实验设备利用率达到95%；无重大食品安全事件发生；设备操作人员对仪器设备使用满意度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6"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一级指标</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2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指标值设置依据</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上年完成值</w:t>
            </w: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指标分值权重</w:t>
            </w:r>
          </w:p>
        </w:tc>
        <w:tc>
          <w:tcPr>
            <w:tcW w:w="1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指标赋分规则</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佐证资料</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指标实际完成值</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完成率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指标得分</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年度绩效指标完成情况</w:t>
            </w:r>
          </w:p>
        </w:tc>
        <w:tc>
          <w:tcPr>
            <w:tcW w:w="6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兽药、饲料、畜产品质量监测批次</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&gt;=2600批次</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2600批次</w:t>
            </w: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6</w:t>
            </w:r>
          </w:p>
        </w:tc>
        <w:tc>
          <w:tcPr>
            <w:tcW w:w="1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2600批次</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6</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动物源细菌耐药性监测批次</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&gt;=200批次</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200批次</w:t>
            </w: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1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200批次</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设备采购数量</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&gt;=12台</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1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监测覆盖范围</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=14个地州</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w:t>
            </w: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1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14个地州</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监测数据准确率</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1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设备质量合格率</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5</w:t>
            </w:r>
          </w:p>
        </w:tc>
        <w:tc>
          <w:tcPr>
            <w:tcW w:w="1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5</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设备验收合格率</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5</w:t>
            </w:r>
          </w:p>
        </w:tc>
        <w:tc>
          <w:tcPr>
            <w:tcW w:w="1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5</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检测按期完成率</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5</w:t>
            </w:r>
          </w:p>
        </w:tc>
        <w:tc>
          <w:tcPr>
            <w:tcW w:w="1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5</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设备采购按期完成率</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&gt;=98%</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动物源细菌耐药性监测平均成本</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&lt;=1000元/批</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预算支出标准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1000元/批</w:t>
            </w: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1000元/批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兽药、饲料、畜产品质量安全监测平均成本</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&lt;=1000元/批</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预算支出标准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1000元/批</w:t>
            </w: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1000元/批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8"/>
                <w:szCs w:val="18"/>
                <w:highlight w:val="none"/>
                <w:u w:val="none"/>
                <w:lang w:val="en-US" w:eastAsia="zh-CN" w:bidi="ar"/>
              </w:rPr>
              <w:t>设备采购成本控制数</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&lt;=14.50万元/台</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预算支出标准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8.98</w:t>
            </w:r>
            <w:r>
              <w:rPr>
                <w:rFonts w:hint="eastAsia" w:ascii="宋体" w:hAnsi="宋体" w:eastAsia="宋体" w:cs="宋体"/>
                <w:i w:val="0"/>
                <w:iCs w:val="0"/>
                <w:color w:val="000000"/>
                <w:kern w:val="0"/>
                <w:sz w:val="18"/>
                <w:szCs w:val="18"/>
                <w:highlight w:val="none"/>
                <w:u w:val="none"/>
                <w:lang w:val="en-US" w:eastAsia="zh-CN" w:bidi="ar"/>
              </w:rPr>
              <w:t>万元/台</w:t>
            </w: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14.42万元/台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实验设备利用率</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w:t>
            </w: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无重大食品安全事件</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有效确保</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无重大食品安全事件</w:t>
            </w: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1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无重大食品安全事件</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实验设备使用人员满意度</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1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052" w:type="dxa"/>
            <w:gridSpan w:val="6"/>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总分</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32" w:type="dxa"/>
            <w:tcBorders>
              <w:top w:val="single" w:color="000000" w:sz="4" w:space="0"/>
              <w:left w:val="nil"/>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r>
    </w:tbl>
    <w:p>
      <w:pPr>
        <w:spacing w:line="600" w:lineRule="exact"/>
        <w:rPr>
          <w:rFonts w:hint="eastAsia" w:ascii="Times New Roman" w:hAnsi="Times New Roman" w:eastAsia="宋体" w:cs="Times New Roman"/>
          <w:bCs/>
          <w:sz w:val="32"/>
          <w:szCs w:val="32"/>
          <w:highlight w:val="none"/>
          <w:lang w:eastAsia="zh-CN"/>
        </w:rPr>
      </w:pPr>
      <w:r>
        <w:rPr>
          <w:rFonts w:hint="default" w:ascii="Times New Roman" w:hAnsi="Times New Roman" w:cs="Times New Roman"/>
          <w:bCs/>
          <w:sz w:val="32"/>
          <w:szCs w:val="32"/>
          <w:highlight w:val="none"/>
        </w:rPr>
        <w:t>附件</w:t>
      </w:r>
      <w:r>
        <w:rPr>
          <w:rFonts w:hint="eastAsia" w:cs="Times New Roman"/>
          <w:bCs/>
          <w:sz w:val="32"/>
          <w:szCs w:val="32"/>
          <w:highlight w:val="none"/>
          <w:lang w:val="en-US" w:eastAsia="zh-CN"/>
        </w:rPr>
        <w:t>2</w:t>
      </w:r>
    </w:p>
    <w:tbl>
      <w:tblPr>
        <w:tblStyle w:val="22"/>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一级指标</w:t>
            </w:r>
          </w:p>
        </w:tc>
        <w:tc>
          <w:tcPr>
            <w:tcW w:w="767"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二级指标</w:t>
            </w:r>
          </w:p>
        </w:tc>
        <w:tc>
          <w:tcPr>
            <w:tcW w:w="873"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三级指标</w:t>
            </w:r>
          </w:p>
        </w:tc>
        <w:tc>
          <w:tcPr>
            <w:tcW w:w="2353"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指标解释</w:t>
            </w:r>
          </w:p>
        </w:tc>
        <w:tc>
          <w:tcPr>
            <w:tcW w:w="5188"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指标说明</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权重</w:t>
            </w:r>
          </w:p>
        </w:tc>
        <w:tc>
          <w:tcPr>
            <w:tcW w:w="1363"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决策　</w:t>
            </w:r>
          </w:p>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　</w:t>
            </w:r>
          </w:p>
          <w:p>
            <w:pPr>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　</w:t>
            </w:r>
          </w:p>
        </w:tc>
        <w:tc>
          <w:tcPr>
            <w:tcW w:w="767"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项目立项　</w:t>
            </w: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立项依据</w:t>
            </w:r>
          </w:p>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充分性</w:t>
            </w:r>
          </w:p>
        </w:tc>
        <w:tc>
          <w:tcPr>
            <w:tcW w:w="2353" w:type="dxa"/>
            <w:shd w:val="clear" w:color="auto"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项目立项是否符合法律法规、相关政策、发展规划以及部门职责，用以反映和考核项目立项依据情况。</w:t>
            </w:r>
          </w:p>
        </w:tc>
        <w:tc>
          <w:tcPr>
            <w:tcW w:w="5188"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评价要点：</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①项目立项是否符合国家法律法规、国民经济发展规划和相关政策；</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②项目立项是否符合行业发展规划和政策要求；</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③项目立项是否与部门职责范围相符，属于部门履职所需；</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④项目是否属于公共财政支持范围，是否符合中央、地方事权支出责任划分原则；</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000000"/>
                <w:kern w:val="0"/>
                <w:sz w:val="22"/>
                <w:szCs w:val="22"/>
                <w:highlight w:val="none"/>
                <w:lang w:eastAsia="zh-CN"/>
              </w:rPr>
            </w:pPr>
            <w:r>
              <w:rPr>
                <w:rFonts w:hint="default" w:ascii="Times New Roman" w:hAnsi="Times New Roman" w:cs="Times New Roman"/>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highlight w:val="none"/>
              </w:rPr>
            </w:pPr>
          </w:p>
        </w:tc>
        <w:tc>
          <w:tcPr>
            <w:tcW w:w="767"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立项程序</w:t>
            </w:r>
          </w:p>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规范性</w:t>
            </w:r>
          </w:p>
        </w:tc>
        <w:tc>
          <w:tcPr>
            <w:tcW w:w="2353" w:type="dxa"/>
            <w:shd w:val="clear" w:color="auto"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项目申请、设立过程是否符合相关要求，用以反映和考核项目立项的规范情况。</w:t>
            </w:r>
          </w:p>
        </w:tc>
        <w:tc>
          <w:tcPr>
            <w:tcW w:w="5188"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评价要点：</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①项目是否按照规定的程序申请设立；</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②审批文件、材料是否符合相关要求；</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000000"/>
                <w:kern w:val="0"/>
                <w:sz w:val="22"/>
                <w:szCs w:val="22"/>
                <w:highlight w:val="none"/>
                <w:lang w:eastAsia="zh-CN"/>
              </w:rPr>
            </w:pPr>
            <w:r>
              <w:rPr>
                <w:rFonts w:hint="default" w:ascii="Times New Roman" w:hAnsi="Times New Roman" w:cs="Times New Roman"/>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highlight w:val="none"/>
              </w:rPr>
            </w:pPr>
          </w:p>
        </w:tc>
        <w:tc>
          <w:tcPr>
            <w:tcW w:w="7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绩效目标　</w:t>
            </w: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绩效目标</w:t>
            </w:r>
          </w:p>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合理性</w:t>
            </w:r>
          </w:p>
        </w:tc>
        <w:tc>
          <w:tcPr>
            <w:tcW w:w="2353" w:type="dxa"/>
            <w:shd w:val="clear" w:color="000000"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项目所设定的绩效目标是否依据充分，是否符合客观实际，用以反映和考核项目绩效目标与项目实施的相符情况。</w:t>
            </w:r>
          </w:p>
        </w:tc>
        <w:tc>
          <w:tcPr>
            <w:tcW w:w="5188" w:type="dxa"/>
            <w:shd w:val="clear" w:color="000000" w:fill="FFFFFF"/>
            <w:vAlign w:val="center"/>
          </w:tcPr>
          <w:p>
            <w:pPr>
              <w:widowControl/>
              <w:spacing w:line="0" w:lineRule="atLeast"/>
              <w:jc w:val="lef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评价要点：</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（如未设定预算绩效目标，也可考核其他工作任务目标）</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①项目是否有绩效目标；</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②项目绩效目标与实际工作内容是否具有相关性；</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③项目预期产出效益和效果是否符合正常的业绩水平；</w:t>
            </w:r>
          </w:p>
          <w:p>
            <w:pPr>
              <w:widowControl/>
              <w:spacing w:line="0" w:lineRule="atLeast"/>
              <w:jc w:val="lef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④是否与预算确定的项目投资额或资金量相匹配。</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000000"/>
                <w:kern w:val="0"/>
                <w:sz w:val="22"/>
                <w:szCs w:val="22"/>
                <w:highlight w:val="none"/>
                <w:lang w:eastAsia="zh-CN"/>
              </w:rPr>
            </w:pPr>
            <w:r>
              <w:rPr>
                <w:rFonts w:hint="default" w:ascii="Times New Roman" w:hAnsi="Times New Roman" w:cs="Times New Roman"/>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决策　</w:t>
            </w:r>
          </w:p>
        </w:tc>
        <w:tc>
          <w:tcPr>
            <w:tcW w:w="7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绩效目标</w:t>
            </w: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绩效指标</w:t>
            </w:r>
          </w:p>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明确性</w:t>
            </w:r>
          </w:p>
        </w:tc>
        <w:tc>
          <w:tcPr>
            <w:tcW w:w="2353" w:type="dxa"/>
            <w:shd w:val="clear" w:color="000000"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依据绩效目标设定的绩效指标是否清晰、细化、可衡量等，用以反映和考核项目绩效目标的明细化情况。</w:t>
            </w:r>
          </w:p>
        </w:tc>
        <w:tc>
          <w:tcPr>
            <w:tcW w:w="5188" w:type="dxa"/>
            <w:shd w:val="clear" w:color="000000"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评价要点：</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①是否将项目绩效目标细化分解为具体的绩效指标；</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②是否通过清晰、可衡量的指标值予以体现；</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③是否与项目目标任务数或计划数相对应。</w:t>
            </w:r>
            <w:r>
              <w:rPr>
                <w:rFonts w:hint="default" w:ascii="Times New Roman" w:hAnsi="Times New Roman" w:cs="Times New Roman"/>
                <w:color w:val="000000"/>
                <w:kern w:val="0"/>
                <w:sz w:val="22"/>
                <w:szCs w:val="22"/>
                <w:highlight w:val="none"/>
              </w:rPr>
              <w:br w:type="textWrapping"/>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highlight w:val="none"/>
              </w:rPr>
            </w:pPr>
          </w:p>
        </w:tc>
        <w:tc>
          <w:tcPr>
            <w:tcW w:w="767"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资金投入</w:t>
            </w:r>
          </w:p>
          <w:p>
            <w:pPr>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　</w:t>
            </w: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预算编制</w:t>
            </w:r>
          </w:p>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科学性</w:t>
            </w:r>
          </w:p>
        </w:tc>
        <w:tc>
          <w:tcPr>
            <w:tcW w:w="2353" w:type="dxa"/>
            <w:shd w:val="clear" w:color="auto"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评价要点：</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①预算编制是否经过科学论证；</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②预算内容与项目内容是否匹配；</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③预算额度测算依据是否充分，是否按照标准编制；</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000000"/>
                <w:kern w:val="0"/>
                <w:sz w:val="22"/>
                <w:szCs w:val="22"/>
                <w:highlight w:val="none"/>
                <w:lang w:eastAsia="zh-CN"/>
              </w:rPr>
            </w:pPr>
            <w:r>
              <w:rPr>
                <w:rFonts w:hint="default" w:ascii="Times New Roman" w:hAnsi="Times New Roman" w:cs="Times New Roman"/>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767"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资金分配</w:t>
            </w:r>
          </w:p>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合理性</w:t>
            </w:r>
          </w:p>
        </w:tc>
        <w:tc>
          <w:tcPr>
            <w:tcW w:w="2353" w:type="dxa"/>
            <w:shd w:val="clear" w:color="auto"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评价要点：</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①预算资金分配依据是否充分；</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000000"/>
                <w:kern w:val="0"/>
                <w:sz w:val="22"/>
                <w:szCs w:val="22"/>
                <w:highlight w:val="none"/>
                <w:lang w:eastAsia="zh-CN"/>
              </w:rPr>
            </w:pPr>
            <w:r>
              <w:rPr>
                <w:rFonts w:hint="default" w:ascii="Times New Roman" w:hAnsi="Times New Roman" w:cs="Times New Roman"/>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pPr>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过程</w:t>
            </w:r>
          </w:p>
        </w:tc>
        <w:tc>
          <w:tcPr>
            <w:tcW w:w="767"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资金管理</w:t>
            </w: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资金到位率</w:t>
            </w:r>
          </w:p>
        </w:tc>
        <w:tc>
          <w:tcPr>
            <w:tcW w:w="2353" w:type="dxa"/>
            <w:shd w:val="clear" w:color="000000"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实际到位资金与预算资金的比率，用以反映和考核资金落实情况对项目实施的总体保障程度。</w:t>
            </w:r>
          </w:p>
        </w:tc>
        <w:tc>
          <w:tcPr>
            <w:tcW w:w="5188" w:type="dxa"/>
            <w:shd w:val="clear" w:color="000000"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资金到位率=（实际到位资金/预算资金）×100%。</w:t>
            </w:r>
          </w:p>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实际到位资金：一定时期（本年度或项目期）内落实到具体项目的资金。</w:t>
            </w:r>
          </w:p>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000000"/>
                <w:kern w:val="0"/>
                <w:sz w:val="22"/>
                <w:szCs w:val="22"/>
                <w:highlight w:val="none"/>
                <w:lang w:eastAsia="zh-CN"/>
              </w:rPr>
            </w:pPr>
            <w:r>
              <w:rPr>
                <w:rFonts w:hint="default" w:ascii="Times New Roman" w:hAnsi="Times New Roman" w:cs="Times New Roman"/>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highlight w:val="none"/>
              </w:rPr>
            </w:pPr>
          </w:p>
        </w:tc>
        <w:tc>
          <w:tcPr>
            <w:tcW w:w="767"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highlight w:val="none"/>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预算执行率</w:t>
            </w:r>
          </w:p>
        </w:tc>
        <w:tc>
          <w:tcPr>
            <w:tcW w:w="2353" w:type="dxa"/>
            <w:shd w:val="clear" w:color="auto"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项目预算资金是否按照计划执行，用以反映或考核项目预算执行情况。</w:t>
            </w:r>
          </w:p>
        </w:tc>
        <w:tc>
          <w:tcPr>
            <w:tcW w:w="5188" w:type="dxa"/>
            <w:shd w:val="clear" w:color="auto"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预算执行率=（实际支出资金/实际到位资金）×100%。</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000000"/>
                <w:kern w:val="0"/>
                <w:sz w:val="22"/>
                <w:szCs w:val="22"/>
                <w:highlight w:val="none"/>
                <w:lang w:eastAsia="zh-CN"/>
              </w:rPr>
            </w:pPr>
            <w:r>
              <w:rPr>
                <w:rFonts w:hint="default" w:ascii="Times New Roman" w:hAnsi="Times New Roman" w:cs="Times New Roman"/>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　</w:t>
            </w:r>
          </w:p>
          <w:p>
            <w:pPr>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过程　</w:t>
            </w:r>
          </w:p>
        </w:tc>
        <w:tc>
          <w:tcPr>
            <w:tcW w:w="7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资金管理</w:t>
            </w: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资金使用</w:t>
            </w:r>
          </w:p>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合规性</w:t>
            </w:r>
          </w:p>
        </w:tc>
        <w:tc>
          <w:tcPr>
            <w:tcW w:w="2353" w:type="dxa"/>
            <w:shd w:val="clear" w:color="000000"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项目资金使用是否符合相关的财务管理制度规定，用以反映和考核项目资金的规范运行情况。</w:t>
            </w:r>
          </w:p>
        </w:tc>
        <w:tc>
          <w:tcPr>
            <w:tcW w:w="5188" w:type="dxa"/>
            <w:shd w:val="clear" w:color="000000"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评价要点：</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①是否符合国家财经法规和财务管理制度以及有关专项资金管理办法的规定；</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②资金的拨付是否有完整的审批程序和手续；</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③是否符合项目预算批复或合同规定的用途；</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④是否存在截留、挤占、挪用、虚列支出等情况。</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000000"/>
                <w:kern w:val="0"/>
                <w:sz w:val="22"/>
                <w:szCs w:val="22"/>
                <w:highlight w:val="none"/>
                <w:lang w:eastAsia="zh-CN"/>
              </w:rPr>
            </w:pPr>
            <w:r>
              <w:rPr>
                <w:rFonts w:hint="default" w:ascii="Times New Roman" w:hAnsi="Times New Roman" w:cs="Times New Roman"/>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highlight w:val="none"/>
              </w:rPr>
            </w:pPr>
          </w:p>
        </w:tc>
        <w:tc>
          <w:tcPr>
            <w:tcW w:w="767"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组织实施</w:t>
            </w:r>
          </w:p>
          <w:p>
            <w:pPr>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　</w:t>
            </w: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管理制度</w:t>
            </w:r>
          </w:p>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健全性</w:t>
            </w:r>
          </w:p>
        </w:tc>
        <w:tc>
          <w:tcPr>
            <w:tcW w:w="2353" w:type="dxa"/>
            <w:shd w:val="clear" w:color="000000"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项目实施单位的财务和业务管理制度是否健全，用以反映和考核财务和业务管理制度对项目顺利实施的保障情况。</w:t>
            </w:r>
          </w:p>
        </w:tc>
        <w:tc>
          <w:tcPr>
            <w:tcW w:w="5188" w:type="dxa"/>
            <w:shd w:val="clear" w:color="000000"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评价要点：</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①是否已制定或具有相应的财务和业务管理制度；</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②财务和业务管理制度是否合法、合规、完整。</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000000"/>
                <w:kern w:val="0"/>
                <w:sz w:val="22"/>
                <w:szCs w:val="22"/>
                <w:highlight w:val="none"/>
                <w:lang w:eastAsia="zh-CN"/>
              </w:rPr>
            </w:pPr>
            <w:r>
              <w:rPr>
                <w:rFonts w:hint="default" w:ascii="Times New Roman" w:hAnsi="Times New Roman" w:cs="Times New Roman"/>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767"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制度执行</w:t>
            </w:r>
          </w:p>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有效性</w:t>
            </w:r>
          </w:p>
        </w:tc>
        <w:tc>
          <w:tcPr>
            <w:tcW w:w="2353" w:type="dxa"/>
            <w:shd w:val="clear" w:color="000000"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项目实施是否符合相关管理规定，用以反映和考核相关管理制度的有效执行情况。</w:t>
            </w:r>
          </w:p>
        </w:tc>
        <w:tc>
          <w:tcPr>
            <w:tcW w:w="5188" w:type="dxa"/>
            <w:shd w:val="clear" w:color="000000"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评价要点：</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①是否遵守相关法律法规和相关管理规定；</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②项目调整及支出调整手续是否完备；</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③项目合同书、验收报告、技术鉴定等资料是否齐全并及时归档；</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000000"/>
                <w:kern w:val="0"/>
                <w:sz w:val="22"/>
                <w:szCs w:val="22"/>
                <w:highlight w:val="none"/>
                <w:lang w:eastAsia="zh-CN"/>
              </w:rPr>
            </w:pPr>
            <w:r>
              <w:rPr>
                <w:rFonts w:hint="default" w:ascii="Times New Roman" w:hAnsi="Times New Roman" w:cs="Times New Roman"/>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产出</w:t>
            </w:r>
          </w:p>
        </w:tc>
        <w:tc>
          <w:tcPr>
            <w:tcW w:w="7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产出数量</w:t>
            </w: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实际完成率</w:t>
            </w:r>
          </w:p>
        </w:tc>
        <w:tc>
          <w:tcPr>
            <w:tcW w:w="2353" w:type="dxa"/>
            <w:shd w:val="clear" w:color="000000"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项目实施的实际产出数与计划产出数的比率，用以反映和考核项目产出数量目标的实现程度。</w:t>
            </w:r>
          </w:p>
        </w:tc>
        <w:tc>
          <w:tcPr>
            <w:tcW w:w="5188" w:type="dxa"/>
            <w:shd w:val="clear" w:color="000000"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实际完成率=（实际产出数/计划产出数）×100%。</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实际产出数：一定时期（本年度或项目期）内项目实际产出的产品或提供的服务数量。</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000000"/>
                <w:kern w:val="0"/>
                <w:sz w:val="22"/>
                <w:szCs w:val="22"/>
                <w:highlight w:val="none"/>
                <w:lang w:val="en-US" w:eastAsia="zh-CN"/>
              </w:rPr>
            </w:pPr>
            <w:r>
              <w:rPr>
                <w:rFonts w:hint="default" w:ascii="Times New Roman" w:hAnsi="Times New Roman" w:cs="Times New Roman"/>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产出</w:t>
            </w:r>
          </w:p>
        </w:tc>
        <w:tc>
          <w:tcPr>
            <w:tcW w:w="7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产出质量</w:t>
            </w: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质量达标率</w:t>
            </w:r>
          </w:p>
        </w:tc>
        <w:tc>
          <w:tcPr>
            <w:tcW w:w="2353" w:type="dxa"/>
            <w:shd w:val="clear" w:color="000000"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项目完成的质量达标产出数与实际产出数的比率，用以反映和考核项目产出质量目标的实现程度。</w:t>
            </w:r>
          </w:p>
        </w:tc>
        <w:tc>
          <w:tcPr>
            <w:tcW w:w="5188" w:type="dxa"/>
            <w:shd w:val="clear" w:color="000000"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质量达标率=（质量达标产出数/实际产出数）×100%。</w:t>
            </w:r>
          </w:p>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000000"/>
                <w:kern w:val="0"/>
                <w:sz w:val="22"/>
                <w:szCs w:val="22"/>
                <w:highlight w:val="none"/>
                <w:lang w:val="en-US" w:eastAsia="zh-CN"/>
              </w:rPr>
            </w:pPr>
            <w:r>
              <w:rPr>
                <w:rFonts w:hint="default" w:ascii="Times New Roman" w:hAnsi="Times New Roman" w:cs="Times New Roman"/>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highlight w:val="none"/>
              </w:rPr>
            </w:pPr>
          </w:p>
        </w:tc>
        <w:tc>
          <w:tcPr>
            <w:tcW w:w="767" w:type="dxa"/>
            <w:shd w:val="clear" w:color="auto" w:fill="FFFFFF"/>
            <w:vAlign w:val="center"/>
          </w:tcPr>
          <w:p>
            <w:pPr>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产出时效</w:t>
            </w: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完成及时性</w:t>
            </w:r>
          </w:p>
        </w:tc>
        <w:tc>
          <w:tcPr>
            <w:tcW w:w="2353" w:type="dxa"/>
            <w:shd w:val="clear" w:color="000000"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项目实际完成时间与计划完成时间的比较，用以反映和考核项目产出时效目标的实现程度。</w:t>
            </w:r>
          </w:p>
        </w:tc>
        <w:tc>
          <w:tcPr>
            <w:tcW w:w="5188" w:type="dxa"/>
            <w:shd w:val="clear" w:color="000000"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实际完成时间：项目实施单位完成该项目实际所耗用的时间。</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000000"/>
                <w:kern w:val="0"/>
                <w:sz w:val="22"/>
                <w:szCs w:val="22"/>
                <w:highlight w:val="none"/>
                <w:lang w:val="en-US" w:eastAsia="zh-CN"/>
              </w:rPr>
            </w:pPr>
            <w:r>
              <w:rPr>
                <w:rFonts w:hint="default" w:ascii="Times New Roman" w:hAnsi="Times New Roman" w:cs="Times New Roman"/>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7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产出成本</w:t>
            </w: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成本节约率</w:t>
            </w:r>
          </w:p>
        </w:tc>
        <w:tc>
          <w:tcPr>
            <w:tcW w:w="2353" w:type="dxa"/>
            <w:shd w:val="clear" w:color="000000"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完成项目计划工作目标的实际节约成本与计划成本的比率，用以反映和考核项目的成本节约程度。</w:t>
            </w:r>
          </w:p>
        </w:tc>
        <w:tc>
          <w:tcPr>
            <w:tcW w:w="5188" w:type="dxa"/>
            <w:shd w:val="clear" w:color="000000"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成本节约率=[（计划成本-实际成本）/计划成本]×100%。</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实际成本：项目实施单位如期、保质、保量完成既定工作目标实际所耗费的支出。</w:t>
            </w:r>
            <w:r>
              <w:rPr>
                <w:rFonts w:hint="default" w:ascii="Times New Roman" w:hAnsi="Times New Roman" w:cs="Times New Roman"/>
                <w:color w:val="000000"/>
                <w:kern w:val="0"/>
                <w:sz w:val="22"/>
                <w:szCs w:val="22"/>
                <w:highlight w:val="none"/>
              </w:rPr>
              <w:br w:type="textWrapping"/>
            </w:r>
            <w:r>
              <w:rPr>
                <w:rFonts w:hint="default" w:ascii="Times New Roman" w:hAnsi="Times New Roman" w:cs="Times New Roman"/>
                <w:color w:val="000000"/>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000000"/>
                <w:kern w:val="0"/>
                <w:sz w:val="22"/>
                <w:szCs w:val="22"/>
                <w:highlight w:val="none"/>
                <w:lang w:val="en-US" w:eastAsia="zh-CN"/>
              </w:rPr>
            </w:pPr>
            <w:r>
              <w:rPr>
                <w:rFonts w:hint="default" w:ascii="Times New Roman" w:hAnsi="Times New Roman" w:cs="Times New Roman"/>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效益　</w:t>
            </w:r>
          </w:p>
        </w:tc>
        <w:tc>
          <w:tcPr>
            <w:tcW w:w="767"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项目效益　</w:t>
            </w: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实施效益</w:t>
            </w:r>
          </w:p>
        </w:tc>
        <w:tc>
          <w:tcPr>
            <w:tcW w:w="2353"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项目实施所产生的效益。</w:t>
            </w:r>
          </w:p>
        </w:tc>
        <w:tc>
          <w:tcPr>
            <w:tcW w:w="5188" w:type="dxa"/>
            <w:shd w:val="clear" w:color="auto"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15</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000000"/>
                <w:kern w:val="0"/>
                <w:sz w:val="22"/>
                <w:szCs w:val="22"/>
                <w:highlight w:val="none"/>
                <w:lang w:val="en-US" w:eastAsia="zh-CN"/>
              </w:rPr>
            </w:pPr>
            <w:r>
              <w:rPr>
                <w:rFonts w:hint="default" w:ascii="Times New Roman" w:hAnsi="Times New Roman" w:cs="Times New Roman"/>
                <w:b/>
                <w:bCs/>
                <w:color w:val="000000"/>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767"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满意度</w:t>
            </w:r>
          </w:p>
        </w:tc>
        <w:tc>
          <w:tcPr>
            <w:tcW w:w="2353" w:type="dxa"/>
            <w:shd w:val="clear" w:color="000000"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社会公众或服务对象对项目实施效果的满意程度。</w:t>
            </w:r>
          </w:p>
        </w:tc>
        <w:tc>
          <w:tcPr>
            <w:tcW w:w="5188" w:type="dxa"/>
            <w:shd w:val="clear" w:color="000000" w:fill="FFFFFF"/>
            <w:vAlign w:val="center"/>
          </w:tcPr>
          <w:p>
            <w:pPr>
              <w:widowControl/>
              <w:spacing w:line="0" w:lineRule="atLeast"/>
              <w:rPr>
                <w:rFonts w:hint="default" w:ascii="Times New Roman" w:hAnsi="Times New Roman" w:cs="Times New Roman"/>
                <w:color w:val="000000"/>
                <w:kern w:val="0"/>
                <w:sz w:val="22"/>
                <w:szCs w:val="22"/>
                <w:highlight w:val="none"/>
              </w:rPr>
            </w:pPr>
            <w:r>
              <w:rPr>
                <w:rFonts w:hint="default" w:ascii="Times New Roman" w:hAnsi="Times New Roman" w:cs="Times New Roman"/>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highlight w:val="none"/>
              </w:rPr>
            </w:pPr>
            <w:r>
              <w:rPr>
                <w:rFonts w:hint="default" w:ascii="Times New Roman" w:hAnsi="Times New Roman" w:cs="Times New Roman"/>
                <w:b/>
                <w:bCs/>
                <w:color w:val="000000"/>
                <w:kern w:val="0"/>
                <w:sz w:val="22"/>
                <w:szCs w:val="22"/>
                <w:highlight w:val="none"/>
              </w:rPr>
              <w:t>5</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000000"/>
                <w:kern w:val="0"/>
                <w:sz w:val="22"/>
                <w:szCs w:val="22"/>
                <w:highlight w:val="none"/>
                <w:lang w:eastAsia="zh-CN"/>
              </w:rPr>
            </w:pPr>
            <w:r>
              <w:rPr>
                <w:rFonts w:hint="default" w:ascii="Times New Roman" w:hAnsi="Times New Roman" w:cs="Times New Roman"/>
                <w:b/>
                <w:bCs/>
                <w:color w:val="000000"/>
                <w:kern w:val="0"/>
                <w:sz w:val="22"/>
                <w:szCs w:val="22"/>
                <w:highlight w:val="none"/>
                <w:lang w:val="en-US" w:eastAsia="zh-CN"/>
              </w:rPr>
              <w:t>5</w:t>
            </w:r>
          </w:p>
        </w:tc>
      </w:tr>
    </w:tbl>
    <w:p>
      <w:pPr>
        <w:spacing w:line="540" w:lineRule="exact"/>
        <w:rPr>
          <w:rStyle w:val="24"/>
          <w:rFonts w:hint="default" w:ascii="Times New Roman" w:hAnsi="Times New Roman" w:eastAsia="仿宋" w:cs="Times New Roman"/>
          <w:b w:val="0"/>
          <w:spacing w:val="-4"/>
          <w:sz w:val="32"/>
          <w:szCs w:val="32"/>
          <w:highlight w:val="none"/>
        </w:rPr>
      </w:pPr>
    </w:p>
    <w:sectPr>
      <w:pgSz w:w="16838" w:h="11906" w:orient="landscape"/>
      <w:pgMar w:top="1066" w:right="1440" w:bottom="482"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moder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altName w:val="方正仿宋_GBK"/>
    <w:panose1 w:val="02010609030101010101"/>
    <w:charset w:val="86"/>
    <w:family w:val="modern"/>
    <w:pitch w:val="default"/>
    <w:sig w:usb0="00000000" w:usb1="00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楷体_GB2312">
    <w:altName w:val="方正楷体_GBK"/>
    <w:panose1 w:val="02010609030101010101"/>
    <w:charset w:val="86"/>
    <w:family w:val="auto"/>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 w:name="汉仪中宋简">
    <w:panose1 w:val="02010600000101010101"/>
    <w:charset w:val="86"/>
    <w:family w:val="auto"/>
    <w:pitch w:val="default"/>
    <w:sig w:usb0="00000001" w:usb1="080E0800" w:usb2="00000002"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pPr>
        <w:r>
          <w:fldChar w:fldCharType="begin"/>
        </w:r>
        <w:r>
          <w:instrText xml:space="preserve">PAGE   \* MERGEFORMAT</w:instrText>
        </w:r>
        <w:r>
          <w:fldChar w:fldCharType="separate"/>
        </w:r>
        <w:r>
          <w:rPr>
            <w:lang w:val="zh-CN"/>
          </w:rPr>
          <w:t>17</w:t>
        </w:r>
        <w:r>
          <w:fldChar w:fldCharType="end"/>
        </w:r>
      </w:p>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83853AE"/>
    <w:multiLevelType w:val="singleLevel"/>
    <w:tmpl w:val="E83853AE"/>
    <w:lvl w:ilvl="0" w:tentative="0">
      <w:start w:val="2"/>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38F0C646"/>
    <w:multiLevelType w:val="singleLevel"/>
    <w:tmpl w:val="38F0C646"/>
    <w:lvl w:ilvl="0" w:tentative="0">
      <w:start w:val="1"/>
      <w:numFmt w:val="decimal"/>
      <w:suff w:val="nothing"/>
      <w:lvlText w:val="%1、"/>
      <w:lvlJc w:val="left"/>
    </w:lvl>
  </w:abstractNum>
  <w:num w:numId="1">
    <w:abstractNumId w:val="2"/>
  </w:num>
  <w:num w:numId="2">
    <w:abstractNumId w:val="1"/>
  </w:num>
  <w:num w:numId="3">
    <w:abstractNumId w:val="5"/>
  </w:num>
  <w:num w:numId="4">
    <w:abstractNumId w:val="6"/>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4NzhiNWU2NzVmNWIxNTdhMDYwYWQ3MDg0MmI4ZmM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29D33DC"/>
    <w:rsid w:val="038C12F2"/>
    <w:rsid w:val="039667A9"/>
    <w:rsid w:val="051A56F5"/>
    <w:rsid w:val="05500244"/>
    <w:rsid w:val="05E01D30"/>
    <w:rsid w:val="060E0879"/>
    <w:rsid w:val="066D6EAA"/>
    <w:rsid w:val="06DC1681"/>
    <w:rsid w:val="06F84345"/>
    <w:rsid w:val="07F65A68"/>
    <w:rsid w:val="08793FA4"/>
    <w:rsid w:val="08A454C4"/>
    <w:rsid w:val="08C662D4"/>
    <w:rsid w:val="093C2C9A"/>
    <w:rsid w:val="09694018"/>
    <w:rsid w:val="09BD4D95"/>
    <w:rsid w:val="0A821835"/>
    <w:rsid w:val="0B0F58D6"/>
    <w:rsid w:val="0CF77AEC"/>
    <w:rsid w:val="0E54536A"/>
    <w:rsid w:val="0F2C7FC2"/>
    <w:rsid w:val="0F8D41CB"/>
    <w:rsid w:val="0FEE2F21"/>
    <w:rsid w:val="100B407B"/>
    <w:rsid w:val="1041184B"/>
    <w:rsid w:val="11BB6C8F"/>
    <w:rsid w:val="11C75270"/>
    <w:rsid w:val="12637CC3"/>
    <w:rsid w:val="12E657C5"/>
    <w:rsid w:val="13280F21"/>
    <w:rsid w:val="133C6E2A"/>
    <w:rsid w:val="139D1924"/>
    <w:rsid w:val="147F6DAD"/>
    <w:rsid w:val="14A40D29"/>
    <w:rsid w:val="14E530ED"/>
    <w:rsid w:val="15086DDB"/>
    <w:rsid w:val="151D2886"/>
    <w:rsid w:val="1570522D"/>
    <w:rsid w:val="164976AB"/>
    <w:rsid w:val="167C7687"/>
    <w:rsid w:val="168B3546"/>
    <w:rsid w:val="1697741D"/>
    <w:rsid w:val="17AD4997"/>
    <w:rsid w:val="1A2374E0"/>
    <w:rsid w:val="1B043BA1"/>
    <w:rsid w:val="1C317CE2"/>
    <w:rsid w:val="1CFC5477"/>
    <w:rsid w:val="1DD45808"/>
    <w:rsid w:val="1DED42AC"/>
    <w:rsid w:val="1F4502F7"/>
    <w:rsid w:val="1FAA535A"/>
    <w:rsid w:val="20005763"/>
    <w:rsid w:val="20FB313D"/>
    <w:rsid w:val="220B4804"/>
    <w:rsid w:val="22DB758F"/>
    <w:rsid w:val="25FA451E"/>
    <w:rsid w:val="276460F3"/>
    <w:rsid w:val="278B653F"/>
    <w:rsid w:val="27B34984"/>
    <w:rsid w:val="282475E3"/>
    <w:rsid w:val="284A4D73"/>
    <w:rsid w:val="29A05869"/>
    <w:rsid w:val="29E421D9"/>
    <w:rsid w:val="29EC6874"/>
    <w:rsid w:val="2B1E480B"/>
    <w:rsid w:val="2B2142FB"/>
    <w:rsid w:val="2B7462A4"/>
    <w:rsid w:val="2C6100C1"/>
    <w:rsid w:val="2D3177BA"/>
    <w:rsid w:val="2D546C0A"/>
    <w:rsid w:val="2D8D3ECA"/>
    <w:rsid w:val="2D8F7C42"/>
    <w:rsid w:val="2E2C5491"/>
    <w:rsid w:val="2F520F27"/>
    <w:rsid w:val="2F860BD0"/>
    <w:rsid w:val="3235157C"/>
    <w:rsid w:val="3264220D"/>
    <w:rsid w:val="32A83563"/>
    <w:rsid w:val="337551E4"/>
    <w:rsid w:val="342804A8"/>
    <w:rsid w:val="35DC154A"/>
    <w:rsid w:val="35ED7BFB"/>
    <w:rsid w:val="361433EF"/>
    <w:rsid w:val="36B9188B"/>
    <w:rsid w:val="38366B24"/>
    <w:rsid w:val="383D41FD"/>
    <w:rsid w:val="38872456"/>
    <w:rsid w:val="38FE7A29"/>
    <w:rsid w:val="39517F42"/>
    <w:rsid w:val="3963178C"/>
    <w:rsid w:val="39BC3B6C"/>
    <w:rsid w:val="3AF15A98"/>
    <w:rsid w:val="3B567FF1"/>
    <w:rsid w:val="3BA5236D"/>
    <w:rsid w:val="3BAE2FF9"/>
    <w:rsid w:val="3C805325"/>
    <w:rsid w:val="3CED0699"/>
    <w:rsid w:val="3D1E68EC"/>
    <w:rsid w:val="3D323CC5"/>
    <w:rsid w:val="3D4A5933"/>
    <w:rsid w:val="3EA14DB1"/>
    <w:rsid w:val="3EB02FD6"/>
    <w:rsid w:val="3F133A85"/>
    <w:rsid w:val="3F626F64"/>
    <w:rsid w:val="4134674D"/>
    <w:rsid w:val="41CC2676"/>
    <w:rsid w:val="421D53C4"/>
    <w:rsid w:val="43973589"/>
    <w:rsid w:val="439B2A45"/>
    <w:rsid w:val="44656358"/>
    <w:rsid w:val="44957494"/>
    <w:rsid w:val="44B244EA"/>
    <w:rsid w:val="46764E21"/>
    <w:rsid w:val="46B21672"/>
    <w:rsid w:val="47482FB0"/>
    <w:rsid w:val="47C42721"/>
    <w:rsid w:val="48CC18F2"/>
    <w:rsid w:val="49A40179"/>
    <w:rsid w:val="49D51330"/>
    <w:rsid w:val="4A381B21"/>
    <w:rsid w:val="4C7725C7"/>
    <w:rsid w:val="4CD314A1"/>
    <w:rsid w:val="4D96420E"/>
    <w:rsid w:val="4EEF1E97"/>
    <w:rsid w:val="4F530C0F"/>
    <w:rsid w:val="4F552460"/>
    <w:rsid w:val="4FCC6863"/>
    <w:rsid w:val="4FFE5AE3"/>
    <w:rsid w:val="50045CBF"/>
    <w:rsid w:val="500A214A"/>
    <w:rsid w:val="501E2A33"/>
    <w:rsid w:val="5126559C"/>
    <w:rsid w:val="522105B9"/>
    <w:rsid w:val="522D604D"/>
    <w:rsid w:val="52432C25"/>
    <w:rsid w:val="5297585E"/>
    <w:rsid w:val="52AD7D6F"/>
    <w:rsid w:val="533B38FC"/>
    <w:rsid w:val="53B67639"/>
    <w:rsid w:val="54DA43B5"/>
    <w:rsid w:val="551337A9"/>
    <w:rsid w:val="5549519D"/>
    <w:rsid w:val="5557596B"/>
    <w:rsid w:val="556C0536"/>
    <w:rsid w:val="56095F34"/>
    <w:rsid w:val="56D303A0"/>
    <w:rsid w:val="57B62B6C"/>
    <w:rsid w:val="57D76345"/>
    <w:rsid w:val="582160BE"/>
    <w:rsid w:val="58E40592"/>
    <w:rsid w:val="591744C4"/>
    <w:rsid w:val="5995799A"/>
    <w:rsid w:val="5A623DFE"/>
    <w:rsid w:val="5A7F5A14"/>
    <w:rsid w:val="5B596DFC"/>
    <w:rsid w:val="5BD13050"/>
    <w:rsid w:val="5C3F26AF"/>
    <w:rsid w:val="5C86208C"/>
    <w:rsid w:val="5DAE6D00"/>
    <w:rsid w:val="5DF03945"/>
    <w:rsid w:val="5F03526B"/>
    <w:rsid w:val="5F842877"/>
    <w:rsid w:val="612D2387"/>
    <w:rsid w:val="61406582"/>
    <w:rsid w:val="61FE26C5"/>
    <w:rsid w:val="62125BED"/>
    <w:rsid w:val="62E515AF"/>
    <w:rsid w:val="637C2815"/>
    <w:rsid w:val="64195594"/>
    <w:rsid w:val="64F01F89"/>
    <w:rsid w:val="6525230A"/>
    <w:rsid w:val="65E04199"/>
    <w:rsid w:val="666B4FDC"/>
    <w:rsid w:val="67DA14DE"/>
    <w:rsid w:val="67FF13C8"/>
    <w:rsid w:val="682144B7"/>
    <w:rsid w:val="696E0A9A"/>
    <w:rsid w:val="69AC2A06"/>
    <w:rsid w:val="6A3D3FA6"/>
    <w:rsid w:val="6A9C0AFB"/>
    <w:rsid w:val="6B503F77"/>
    <w:rsid w:val="6B53250E"/>
    <w:rsid w:val="6BC9013A"/>
    <w:rsid w:val="6BE96194"/>
    <w:rsid w:val="6C9A748E"/>
    <w:rsid w:val="6CAD5413"/>
    <w:rsid w:val="6E311968"/>
    <w:rsid w:val="6E5042A8"/>
    <w:rsid w:val="6E624BDE"/>
    <w:rsid w:val="6E761835"/>
    <w:rsid w:val="70D14F18"/>
    <w:rsid w:val="70DD1A5F"/>
    <w:rsid w:val="71600CA6"/>
    <w:rsid w:val="71DB506A"/>
    <w:rsid w:val="72C36C5D"/>
    <w:rsid w:val="72D65BBC"/>
    <w:rsid w:val="733D0C11"/>
    <w:rsid w:val="75A1363B"/>
    <w:rsid w:val="75CA7AAF"/>
    <w:rsid w:val="77097833"/>
    <w:rsid w:val="777A3593"/>
    <w:rsid w:val="777C7EBC"/>
    <w:rsid w:val="77E617D9"/>
    <w:rsid w:val="78520C1D"/>
    <w:rsid w:val="78BB7BE1"/>
    <w:rsid w:val="79140DD9"/>
    <w:rsid w:val="792409F5"/>
    <w:rsid w:val="7A2B3E1B"/>
    <w:rsid w:val="7A353D0B"/>
    <w:rsid w:val="7B9B1FB8"/>
    <w:rsid w:val="7C0E4280"/>
    <w:rsid w:val="7CB927D8"/>
    <w:rsid w:val="7D2E5047"/>
    <w:rsid w:val="7D3A5E2F"/>
    <w:rsid w:val="7F6864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7"/>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8"/>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9"/>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0"/>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1"/>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2"/>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3"/>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4"/>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3">
    <w:name w:val="Default Paragraph Font"/>
    <w:unhideWhenUsed/>
    <w:qFormat/>
    <w:uiPriority w:val="1"/>
  </w:style>
  <w:style w:type="table" w:default="1" w:styleId="22">
    <w:name w:val="Normal Table"/>
    <w:unhideWhenUsed/>
    <w:qFormat/>
    <w:uiPriority w:val="99"/>
    <w:tblPr>
      <w:tblCellMar>
        <w:top w:w="0" w:type="dxa"/>
        <w:left w:w="108" w:type="dxa"/>
        <w:bottom w:w="0" w:type="dxa"/>
        <w:right w:w="108" w:type="dxa"/>
      </w:tblCellMar>
    </w:tblPr>
  </w:style>
  <w:style w:type="paragraph" w:styleId="2">
    <w:name w:val="toc 1"/>
    <w:basedOn w:val="1"/>
    <w:next w:val="1"/>
    <w:qFormat/>
    <w:uiPriority w:val="0"/>
    <w:rPr>
      <w:rFonts w:ascii="Calibri" w:hAnsi="Calibri" w:eastAsia="宋体" w:cs="Times New Roman"/>
    </w:rPr>
  </w:style>
  <w:style w:type="paragraph" w:styleId="12">
    <w:name w:val="Body Text"/>
    <w:basedOn w:val="1"/>
    <w:qFormat/>
    <w:uiPriority w:val="0"/>
    <w:pPr>
      <w:spacing w:after="120"/>
    </w:pPr>
  </w:style>
  <w:style w:type="paragraph" w:styleId="13">
    <w:name w:val="Body Text Indent"/>
    <w:basedOn w:val="1"/>
    <w:qFormat/>
    <w:uiPriority w:val="0"/>
    <w:pPr>
      <w:spacing w:after="120"/>
      <w:ind w:left="420" w:leftChars="200"/>
    </w:pPr>
    <w:rPr>
      <w:rFonts w:ascii="Calibri" w:hAnsi="Calibri"/>
    </w:rPr>
  </w:style>
  <w:style w:type="paragraph" w:styleId="14">
    <w:name w:val="Balloon Text"/>
    <w:basedOn w:val="1"/>
    <w:link w:val="51"/>
    <w:unhideWhenUsed/>
    <w:qFormat/>
    <w:uiPriority w:val="99"/>
    <w:rPr>
      <w:sz w:val="18"/>
      <w:szCs w:val="18"/>
    </w:rPr>
  </w:style>
  <w:style w:type="paragraph" w:styleId="15">
    <w:name w:val="footer"/>
    <w:basedOn w:val="1"/>
    <w:link w:val="50"/>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6"/>
    <w:qFormat/>
    <w:uiPriority w:val="11"/>
    <w:pPr>
      <w:widowControl/>
      <w:spacing w:after="60"/>
      <w:jc w:val="center"/>
      <w:outlineLvl w:val="1"/>
    </w:pPr>
    <w:rPr>
      <w:rFonts w:asciiTheme="majorHAnsi" w:hAnsiTheme="majorHAnsi" w:eastAsiaTheme="majorEastAsia"/>
      <w:kern w:val="0"/>
      <w:sz w:val="24"/>
    </w:rPr>
  </w:style>
  <w:style w:type="paragraph" w:styleId="18">
    <w:name w:val="toc 2"/>
    <w:basedOn w:val="1"/>
    <w:next w:val="1"/>
    <w:qFormat/>
    <w:uiPriority w:val="0"/>
    <w:pPr>
      <w:ind w:left="420" w:leftChars="200"/>
    </w:pPr>
  </w:style>
  <w:style w:type="paragraph" w:styleId="19">
    <w:name w:val="Title"/>
    <w:basedOn w:val="1"/>
    <w:next w:val="1"/>
    <w:link w:val="35"/>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20">
    <w:name w:val="Body Text First Indent"/>
    <w:basedOn w:val="12"/>
    <w:qFormat/>
    <w:uiPriority w:val="0"/>
    <w:pPr>
      <w:spacing w:after="0"/>
      <w:ind w:firstLine="200" w:firstLineChars="200"/>
    </w:pPr>
  </w:style>
  <w:style w:type="paragraph" w:styleId="21">
    <w:name w:val="Body Text First Indent 2"/>
    <w:basedOn w:val="13"/>
    <w:qFormat/>
    <w:uiPriority w:val="0"/>
    <w:pPr>
      <w:ind w:firstLine="420" w:firstLineChars="200"/>
    </w:pPr>
  </w:style>
  <w:style w:type="character" w:styleId="24">
    <w:name w:val="Strong"/>
    <w:basedOn w:val="23"/>
    <w:qFormat/>
    <w:uiPriority w:val="0"/>
    <w:rPr>
      <w:b/>
      <w:bCs/>
    </w:rPr>
  </w:style>
  <w:style w:type="character" w:styleId="25">
    <w:name w:val="Emphasis"/>
    <w:basedOn w:val="23"/>
    <w:qFormat/>
    <w:uiPriority w:val="20"/>
    <w:rPr>
      <w:rFonts w:asciiTheme="minorHAnsi" w:hAnsiTheme="minorHAnsi"/>
      <w:b/>
      <w:i/>
      <w:iCs/>
    </w:rPr>
  </w:style>
  <w:style w:type="character" w:customStyle="1" w:styleId="26">
    <w:name w:val="标题 1 字符"/>
    <w:basedOn w:val="23"/>
    <w:link w:val="3"/>
    <w:qFormat/>
    <w:uiPriority w:val="9"/>
    <w:rPr>
      <w:rFonts w:asciiTheme="majorHAnsi" w:hAnsiTheme="majorHAnsi" w:eastAsiaTheme="majorEastAsia"/>
      <w:b/>
      <w:bCs/>
      <w:kern w:val="32"/>
      <w:sz w:val="32"/>
      <w:szCs w:val="32"/>
    </w:rPr>
  </w:style>
  <w:style w:type="character" w:customStyle="1" w:styleId="27">
    <w:name w:val="标题 2 字符"/>
    <w:basedOn w:val="23"/>
    <w:link w:val="4"/>
    <w:semiHidden/>
    <w:qFormat/>
    <w:uiPriority w:val="9"/>
    <w:rPr>
      <w:rFonts w:asciiTheme="majorHAnsi" w:hAnsiTheme="majorHAnsi" w:eastAsiaTheme="majorEastAsia"/>
      <w:b/>
      <w:bCs/>
      <w:i/>
      <w:iCs/>
      <w:sz w:val="28"/>
      <w:szCs w:val="28"/>
    </w:rPr>
  </w:style>
  <w:style w:type="character" w:customStyle="1" w:styleId="28">
    <w:name w:val="标题 3 字符"/>
    <w:basedOn w:val="23"/>
    <w:link w:val="5"/>
    <w:semiHidden/>
    <w:qFormat/>
    <w:uiPriority w:val="9"/>
    <w:rPr>
      <w:rFonts w:asciiTheme="majorHAnsi" w:hAnsiTheme="majorHAnsi" w:eastAsiaTheme="majorEastAsia"/>
      <w:b/>
      <w:bCs/>
      <w:sz w:val="26"/>
      <w:szCs w:val="26"/>
    </w:rPr>
  </w:style>
  <w:style w:type="character" w:customStyle="1" w:styleId="29">
    <w:name w:val="标题 4 字符"/>
    <w:basedOn w:val="23"/>
    <w:link w:val="6"/>
    <w:semiHidden/>
    <w:qFormat/>
    <w:uiPriority w:val="9"/>
    <w:rPr>
      <w:b/>
      <w:bCs/>
      <w:sz w:val="28"/>
      <w:szCs w:val="28"/>
    </w:rPr>
  </w:style>
  <w:style w:type="character" w:customStyle="1" w:styleId="30">
    <w:name w:val="标题 5 字符"/>
    <w:basedOn w:val="23"/>
    <w:link w:val="7"/>
    <w:semiHidden/>
    <w:qFormat/>
    <w:uiPriority w:val="9"/>
    <w:rPr>
      <w:b/>
      <w:bCs/>
      <w:i/>
      <w:iCs/>
      <w:sz w:val="26"/>
      <w:szCs w:val="26"/>
    </w:rPr>
  </w:style>
  <w:style w:type="character" w:customStyle="1" w:styleId="31">
    <w:name w:val="标题 6 字符"/>
    <w:basedOn w:val="23"/>
    <w:link w:val="8"/>
    <w:semiHidden/>
    <w:qFormat/>
    <w:uiPriority w:val="9"/>
    <w:rPr>
      <w:b/>
      <w:bCs/>
    </w:rPr>
  </w:style>
  <w:style w:type="character" w:customStyle="1" w:styleId="32">
    <w:name w:val="标题 7 字符"/>
    <w:basedOn w:val="23"/>
    <w:link w:val="9"/>
    <w:semiHidden/>
    <w:qFormat/>
    <w:uiPriority w:val="9"/>
    <w:rPr>
      <w:sz w:val="24"/>
      <w:szCs w:val="24"/>
    </w:rPr>
  </w:style>
  <w:style w:type="character" w:customStyle="1" w:styleId="33">
    <w:name w:val="标题 8 字符"/>
    <w:basedOn w:val="23"/>
    <w:link w:val="10"/>
    <w:semiHidden/>
    <w:qFormat/>
    <w:uiPriority w:val="9"/>
    <w:rPr>
      <w:i/>
      <w:iCs/>
      <w:sz w:val="24"/>
      <w:szCs w:val="24"/>
    </w:rPr>
  </w:style>
  <w:style w:type="character" w:customStyle="1" w:styleId="34">
    <w:name w:val="标题 9 字符"/>
    <w:basedOn w:val="23"/>
    <w:link w:val="11"/>
    <w:semiHidden/>
    <w:qFormat/>
    <w:uiPriority w:val="9"/>
    <w:rPr>
      <w:rFonts w:asciiTheme="majorHAnsi" w:hAnsiTheme="majorHAnsi" w:eastAsiaTheme="majorEastAsia"/>
    </w:rPr>
  </w:style>
  <w:style w:type="character" w:customStyle="1" w:styleId="35">
    <w:name w:val="标题 字符"/>
    <w:basedOn w:val="23"/>
    <w:link w:val="19"/>
    <w:qFormat/>
    <w:uiPriority w:val="10"/>
    <w:rPr>
      <w:rFonts w:asciiTheme="majorHAnsi" w:hAnsiTheme="majorHAnsi" w:eastAsiaTheme="majorEastAsia"/>
      <w:b/>
      <w:bCs/>
      <w:kern w:val="28"/>
      <w:sz w:val="32"/>
      <w:szCs w:val="32"/>
    </w:rPr>
  </w:style>
  <w:style w:type="character" w:customStyle="1" w:styleId="36">
    <w:name w:val="副标题 字符"/>
    <w:basedOn w:val="23"/>
    <w:link w:val="17"/>
    <w:qFormat/>
    <w:uiPriority w:val="11"/>
    <w:rPr>
      <w:rFonts w:asciiTheme="majorHAnsi" w:hAnsiTheme="majorHAnsi" w:eastAsiaTheme="majorEastAsia"/>
      <w:sz w:val="24"/>
      <w:szCs w:val="24"/>
    </w:rPr>
  </w:style>
  <w:style w:type="paragraph" w:customStyle="1" w:styleId="37">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8">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9">
    <w:name w:val="Quote"/>
    <w:basedOn w:val="1"/>
    <w:next w:val="1"/>
    <w:link w:val="40"/>
    <w:qFormat/>
    <w:uiPriority w:val="29"/>
    <w:pPr>
      <w:widowControl/>
      <w:jc w:val="left"/>
    </w:pPr>
    <w:rPr>
      <w:rFonts w:asciiTheme="minorHAnsi" w:hAnsiTheme="minorHAnsi" w:eastAsiaTheme="minorEastAsia"/>
      <w:i/>
      <w:kern w:val="0"/>
      <w:sz w:val="24"/>
    </w:rPr>
  </w:style>
  <w:style w:type="character" w:customStyle="1" w:styleId="40">
    <w:name w:val="引用 字符"/>
    <w:basedOn w:val="23"/>
    <w:link w:val="39"/>
    <w:qFormat/>
    <w:uiPriority w:val="29"/>
    <w:rPr>
      <w:i/>
      <w:sz w:val="24"/>
      <w:szCs w:val="24"/>
    </w:rPr>
  </w:style>
  <w:style w:type="paragraph" w:customStyle="1" w:styleId="41">
    <w:name w:val="Intense Quote"/>
    <w:basedOn w:val="1"/>
    <w:next w:val="1"/>
    <w:link w:val="42"/>
    <w:qFormat/>
    <w:uiPriority w:val="30"/>
    <w:pPr>
      <w:widowControl/>
      <w:ind w:left="720" w:right="720"/>
      <w:jc w:val="left"/>
    </w:pPr>
    <w:rPr>
      <w:rFonts w:asciiTheme="minorHAnsi" w:hAnsiTheme="minorHAnsi" w:eastAsiaTheme="minorEastAsia"/>
      <w:b/>
      <w:i/>
      <w:kern w:val="0"/>
      <w:sz w:val="24"/>
      <w:szCs w:val="22"/>
    </w:rPr>
  </w:style>
  <w:style w:type="character" w:customStyle="1" w:styleId="42">
    <w:name w:val="明显引用 字符"/>
    <w:basedOn w:val="23"/>
    <w:link w:val="41"/>
    <w:qFormat/>
    <w:uiPriority w:val="30"/>
    <w:rPr>
      <w:b/>
      <w:i/>
      <w:sz w:val="24"/>
    </w:rPr>
  </w:style>
  <w:style w:type="character" w:customStyle="1" w:styleId="43">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4">
    <w:name w:val="明显强调1"/>
    <w:basedOn w:val="23"/>
    <w:qFormat/>
    <w:uiPriority w:val="21"/>
    <w:rPr>
      <w:b/>
      <w:i/>
      <w:sz w:val="24"/>
      <w:szCs w:val="24"/>
      <w:u w:val="single"/>
    </w:rPr>
  </w:style>
  <w:style w:type="character" w:customStyle="1" w:styleId="45">
    <w:name w:val="不明显参考1"/>
    <w:basedOn w:val="23"/>
    <w:qFormat/>
    <w:uiPriority w:val="31"/>
    <w:rPr>
      <w:sz w:val="24"/>
      <w:szCs w:val="24"/>
      <w:u w:val="single"/>
    </w:rPr>
  </w:style>
  <w:style w:type="character" w:customStyle="1" w:styleId="46">
    <w:name w:val="明显参考1"/>
    <w:basedOn w:val="23"/>
    <w:qFormat/>
    <w:uiPriority w:val="32"/>
    <w:rPr>
      <w:b/>
      <w:sz w:val="24"/>
      <w:u w:val="single"/>
    </w:rPr>
  </w:style>
  <w:style w:type="character" w:customStyle="1" w:styleId="47">
    <w:name w:val="书籍标题1"/>
    <w:basedOn w:val="23"/>
    <w:qFormat/>
    <w:uiPriority w:val="33"/>
    <w:rPr>
      <w:rFonts w:asciiTheme="majorHAnsi" w:hAnsiTheme="majorHAnsi" w:eastAsiaTheme="majorEastAsia"/>
      <w:b/>
      <w:i/>
      <w:sz w:val="24"/>
      <w:szCs w:val="24"/>
    </w:rPr>
  </w:style>
  <w:style w:type="paragraph" w:customStyle="1" w:styleId="48">
    <w:name w:val="TOC 标题1"/>
    <w:basedOn w:val="3"/>
    <w:next w:val="1"/>
    <w:unhideWhenUsed/>
    <w:qFormat/>
    <w:uiPriority w:val="39"/>
    <w:pPr>
      <w:outlineLvl w:val="9"/>
    </w:pPr>
    <w:rPr>
      <w:lang w:eastAsia="en-US" w:bidi="en-US"/>
    </w:rPr>
  </w:style>
  <w:style w:type="character" w:customStyle="1" w:styleId="49">
    <w:name w:val="页眉 字符"/>
    <w:basedOn w:val="23"/>
    <w:link w:val="16"/>
    <w:qFormat/>
    <w:uiPriority w:val="99"/>
    <w:rPr>
      <w:rFonts w:ascii="Calibri" w:hAnsi="Calibri" w:eastAsia="宋体"/>
      <w:kern w:val="2"/>
      <w:sz w:val="18"/>
      <w:szCs w:val="18"/>
    </w:rPr>
  </w:style>
  <w:style w:type="character" w:customStyle="1" w:styleId="50">
    <w:name w:val="页脚 字符"/>
    <w:basedOn w:val="23"/>
    <w:link w:val="15"/>
    <w:qFormat/>
    <w:uiPriority w:val="99"/>
    <w:rPr>
      <w:rFonts w:ascii="Calibri" w:hAnsi="Calibri" w:eastAsia="宋体"/>
      <w:kern w:val="2"/>
      <w:sz w:val="18"/>
      <w:szCs w:val="18"/>
    </w:rPr>
  </w:style>
  <w:style w:type="character" w:customStyle="1" w:styleId="51">
    <w:name w:val="批注框文本 字符"/>
    <w:basedOn w:val="23"/>
    <w:link w:val="14"/>
    <w:semiHidden/>
    <w:qFormat/>
    <w:uiPriority w:val="99"/>
    <w:rPr>
      <w:rFonts w:ascii="Times New Roman" w:hAnsi="Times New Roman" w:eastAsia="宋体"/>
      <w:kern w:val="2"/>
      <w:sz w:val="18"/>
      <w:szCs w:val="18"/>
    </w:rPr>
  </w:style>
  <w:style w:type="paragraph" w:customStyle="1" w:styleId="52">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3">
    <w:name w:val="fontstyle01"/>
    <w:qFormat/>
    <w:uiPriority w:val="0"/>
    <w:rPr>
      <w:rFonts w:ascii="仿宋_GB2312" w:hAnsi="仿宋_GB2312" w:eastAsia="仿宋_GB2312" w:cs="仿宋_GB2312"/>
      <w:color w:val="000000"/>
      <w:sz w:val="32"/>
      <w:szCs w:val="32"/>
    </w:rPr>
  </w:style>
  <w:style w:type="character" w:customStyle="1" w:styleId="54">
    <w:name w:val="font81"/>
    <w:basedOn w:val="23"/>
    <w:qFormat/>
    <w:uiPriority w:val="0"/>
    <w:rPr>
      <w:rFonts w:hint="eastAsia" w:ascii="宋体" w:hAnsi="宋体" w:eastAsia="宋体" w:cs="宋体"/>
      <w:color w:val="000000"/>
      <w:sz w:val="18"/>
      <w:szCs w:val="18"/>
      <w:u w:val="none"/>
    </w:rPr>
  </w:style>
  <w:style w:type="character" w:customStyle="1" w:styleId="55">
    <w:name w:val="font41"/>
    <w:basedOn w:val="23"/>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10040</Words>
  <Characters>10972</Characters>
  <Lines>50</Lines>
  <Paragraphs>14</Paragraphs>
  <TotalTime>11</TotalTime>
  <ScaleCrop>false</ScaleCrop>
  <LinksUpToDate>false</LinksUpToDate>
  <CharactersWithSpaces>11012</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2020-07-04T16:35:00Z</dcterms:created>
  <dc:creator>赵 恺（预算处）</dc:creator>
  <cp:lastModifiedBy>user</cp:lastModifiedBy>
  <cp:lastPrinted>2023-01-13T16:43:00Z</cp:lastPrinted>
  <dcterms:modified xsi:type="dcterms:W3CDTF">2025-09-01T18:20:23Z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918E29B70D8B4D67A6A240282F995666_13</vt:lpwstr>
  </property>
  <property fmtid="{D5CDD505-2E9C-101B-9397-08002B2CF9AE}" pid="4" name="KSOSaveFontToCloudKey">
    <vt:lpwstr>0_btnclosed</vt:lpwstr>
  </property>
  <property fmtid="{D5CDD505-2E9C-101B-9397-08002B2CF9AE}" pid="5" name="KSOTemplateDocerSaveRecord">
    <vt:lpwstr>eyJoZGlkIjoiMWIxZDI1M2VjOWIyMmNhOWM5ZGFkYmZlYzQ2YzY3YzAiLCJ1c2VySWQiOiIyNjY4MDk2NTIifQ==</vt:lpwstr>
  </property>
</Properties>
</file>