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before="0" w:beforeLines="0" w:beforeAutospacing="0" w:after="0" w:afterLines="0" w:afterAutospacing="0" w:line="240" w:lineRule="auto"/>
        <w:jc w:val="left"/>
        <w:rPr>
          <w:rFonts w:ascii="宋体" w:eastAsia="宋体"/>
          <w:sz w:val="32"/>
          <w:szCs w:val="32"/>
        </w:rPr>
      </w:pPr>
    </w:p>
    <w:p>
      <w:pPr>
        <w:widowControl/>
        <w:spacing w:before="0" w:beforeLines="0" w:beforeAutospacing="0" w:after="0" w:afterLines="0" w:afterAutospacing="0" w:line="240" w:lineRule="auto"/>
        <w:jc w:val="left"/>
        <w:rPr>
          <w:rFonts w:ascii="宋体" w:eastAsia="宋体"/>
          <w:sz w:val="44"/>
          <w:szCs w:val="44"/>
        </w:rPr>
      </w:pPr>
    </w:p>
    <w:p>
      <w:pPr>
        <w:widowControl/>
        <w:spacing w:before="0" w:beforeLines="0" w:beforeAutospacing="0" w:after="0" w:afterLines="0" w:afterAutospacing="0" w:line="240" w:lineRule="auto"/>
        <w:jc w:val="left"/>
        <w:rPr>
          <w:rFonts w:ascii="宋体" w:eastAsia="宋体"/>
          <w:sz w:val="44"/>
          <w:szCs w:val="44"/>
        </w:rPr>
      </w:pPr>
    </w:p>
    <w:p>
      <w:pPr>
        <w:widowControl/>
        <w:spacing w:before="0" w:beforeLines="0" w:beforeAutospacing="0" w:after="0" w:afterLines="0" w:afterAutospacing="0" w:line="240" w:lineRule="auto"/>
        <w:jc w:val="left"/>
        <w:rPr>
          <w:rFonts w:ascii="宋体" w:eastAsia="宋体"/>
          <w:sz w:val="44"/>
          <w:szCs w:val="44"/>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s="Times New Roman"/>
          <w:kern w:val="2"/>
          <w:sz w:val="44"/>
          <w:szCs w:val="44"/>
          <w:highlight w:val="none"/>
          <w:lang w:val="en-US" w:eastAsia="zh-CN" w:bidi="ar-SA"/>
        </w:rPr>
      </w:pPr>
      <w:r>
        <w:rPr>
          <w:rFonts w:hint="eastAsia" w:ascii="方正小标宋_GBK" w:hAnsi="宋体" w:eastAsia="方正小标宋_GBK" w:cs="Times New Roman"/>
          <w:kern w:val="2"/>
          <w:sz w:val="44"/>
          <w:szCs w:val="44"/>
          <w:highlight w:val="none"/>
          <w:lang w:val="en-US" w:eastAsia="zh-CN" w:bidi="ar-SA"/>
        </w:rPr>
        <w:t>新疆维吾尔自治区兽药饲料监察所</w:t>
      </w: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s="Times New Roman"/>
          <w:kern w:val="2"/>
          <w:sz w:val="44"/>
          <w:szCs w:val="44"/>
          <w:highlight w:val="none"/>
          <w:lang w:val="en-US" w:eastAsia="zh-CN" w:bidi="ar-SA"/>
        </w:rPr>
      </w:pPr>
      <w:r>
        <w:rPr>
          <w:rFonts w:hint="eastAsia" w:ascii="方正小标宋_GBK" w:hAnsi="宋体" w:eastAsia="方正小标宋_GBK" w:cs="Times New Roman"/>
          <w:kern w:val="2"/>
          <w:sz w:val="44"/>
          <w:szCs w:val="44"/>
          <w:highlight w:val="none"/>
          <w:lang w:val="en-US" w:eastAsia="zh-CN" w:bidi="ar-SA"/>
        </w:rPr>
        <w:t>2024年度部门决算公开说明</w:t>
      </w:r>
    </w:p>
    <w:p>
      <w:pPr>
        <w:widowControl/>
        <w:rPr>
          <w:highlight w:val="none"/>
        </w:rPr>
      </w:pPr>
      <w:r>
        <w:rPr>
          <w:b w:val="0"/>
          <w:sz w:val="0"/>
          <w:szCs w:val="0"/>
          <w:highlight w:val="none"/>
        </w:rPr>
        <w:br w:type="page"/>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仿宋_GB2312" w:hAnsi="仿宋_GB2312" w:eastAsia="仿宋_GB2312" w:cs="仿宋_GB2312"/>
          <w:b/>
          <w:bCs w:val="0"/>
          <w:kern w:val="0"/>
          <w:sz w:val="36"/>
          <w:szCs w:val="36"/>
          <w:highlight w:val="none"/>
          <w:lang w:val="en-US" w:eastAsia="zh-CN" w:bidi="ar-SA"/>
        </w:rPr>
      </w:pPr>
      <w:r>
        <w:rPr>
          <w:rFonts w:hint="eastAsia" w:ascii="仿宋_GB2312" w:hAnsi="仿宋_GB2312" w:eastAsia="仿宋_GB2312" w:cs="仿宋_GB2312"/>
          <w:b/>
          <w:bCs w:val="0"/>
          <w:kern w:val="0"/>
          <w:sz w:val="36"/>
          <w:szCs w:val="36"/>
          <w:highlight w:val="none"/>
          <w:lang w:val="en-US" w:eastAsia="zh-CN" w:bidi="ar-SA"/>
        </w:rPr>
        <w:t>目录</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240" w:lineRule="auto"/>
        <w:ind w:left="0" w:leftChars="0" w:right="0" w:rightChars="0" w:firstLine="0" w:firstLineChars="0"/>
        <w:jc w:val="left"/>
        <w:textAlignment w:val="auto"/>
        <w:outlineLvl w:val="9"/>
        <w:rPr>
          <w:rFonts w:ascii="仿宋_GB2312" w:eastAsia="仿宋_GB2312"/>
          <w:sz w:val="32"/>
          <w:szCs w:val="32"/>
          <w:highlight w:val="none"/>
        </w:rPr>
      </w:pPr>
      <w:r>
        <w:rPr>
          <w:rFonts w:ascii="仿宋_GB2312" w:eastAsia="仿宋_GB2312"/>
          <w:b/>
          <w:sz w:val="32"/>
          <w:szCs w:val="32"/>
          <w:highlight w:val="none"/>
        </w:rPr>
        <w:t>第一部分单位概况</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240" w:lineRule="auto"/>
        <w:ind w:left="0" w:leftChars="0" w:right="0" w:rightChars="0" w:firstLine="0" w:firstLineChars="0"/>
        <w:jc w:val="left"/>
        <w:textAlignment w:val="auto"/>
        <w:outlineLvl w:val="9"/>
        <w:rPr>
          <w:rFonts w:ascii="仿宋_GB2312" w:eastAsia="仿宋_GB2312"/>
          <w:sz w:val="32"/>
          <w:szCs w:val="32"/>
          <w:highlight w:val="none"/>
        </w:rPr>
      </w:pPr>
      <w:r>
        <w:rPr>
          <w:rFonts w:ascii="仿宋_GB2312" w:eastAsia="仿宋_GB2312"/>
          <w:b w:val="0"/>
          <w:sz w:val="32"/>
          <w:szCs w:val="32"/>
          <w:highlight w:val="none"/>
        </w:rPr>
        <w:t>一、主要职能</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240" w:lineRule="auto"/>
        <w:ind w:left="0" w:leftChars="0" w:right="0" w:rightChars="0" w:firstLine="0" w:firstLineChars="0"/>
        <w:jc w:val="left"/>
        <w:textAlignment w:val="auto"/>
        <w:outlineLvl w:val="9"/>
        <w:rPr>
          <w:rFonts w:ascii="仿宋_GB2312" w:eastAsia="仿宋_GB2312"/>
          <w:sz w:val="32"/>
          <w:szCs w:val="32"/>
          <w:highlight w:val="none"/>
        </w:rPr>
      </w:pPr>
      <w:r>
        <w:rPr>
          <w:rFonts w:ascii="仿宋_GB2312" w:eastAsia="仿宋_GB2312"/>
          <w:b w:val="0"/>
          <w:sz w:val="32"/>
          <w:szCs w:val="32"/>
          <w:highlight w:val="none"/>
        </w:rPr>
        <w:t>二、机构设置及人员情况</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240" w:lineRule="auto"/>
        <w:ind w:left="0" w:leftChars="0" w:right="0" w:rightChars="0" w:firstLine="0" w:firstLineChars="0"/>
        <w:jc w:val="left"/>
        <w:textAlignment w:val="auto"/>
        <w:outlineLvl w:val="9"/>
        <w:rPr>
          <w:rFonts w:ascii="仿宋_GB2312" w:eastAsia="仿宋_GB2312"/>
          <w:sz w:val="32"/>
          <w:szCs w:val="32"/>
          <w:highlight w:val="none"/>
        </w:rPr>
      </w:pPr>
      <w:r>
        <w:rPr>
          <w:rFonts w:ascii="仿宋_GB2312" w:eastAsia="仿宋_GB2312"/>
          <w:b/>
          <w:sz w:val="32"/>
          <w:szCs w:val="32"/>
          <w:highlight w:val="none"/>
        </w:rPr>
        <w:t>第二部分部门决算情况说明</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240" w:lineRule="auto"/>
        <w:ind w:left="0" w:leftChars="0" w:right="0" w:rightChars="0" w:firstLine="0" w:firstLineChars="0"/>
        <w:jc w:val="left"/>
        <w:textAlignment w:val="auto"/>
        <w:outlineLvl w:val="9"/>
        <w:rPr>
          <w:rFonts w:ascii="仿宋_GB2312" w:eastAsia="仿宋_GB2312"/>
          <w:sz w:val="32"/>
          <w:szCs w:val="32"/>
          <w:highlight w:val="none"/>
        </w:rPr>
      </w:pPr>
      <w:r>
        <w:rPr>
          <w:rFonts w:ascii="仿宋_GB2312" w:eastAsia="仿宋_GB2312"/>
          <w:b w:val="0"/>
          <w:sz w:val="32"/>
          <w:szCs w:val="32"/>
          <w:highlight w:val="none"/>
        </w:rPr>
        <w:t>一、收入支出决算总体情况说明</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240" w:lineRule="auto"/>
        <w:ind w:left="0" w:leftChars="0" w:right="0" w:rightChars="0" w:firstLine="0" w:firstLineChars="0"/>
        <w:jc w:val="left"/>
        <w:textAlignment w:val="auto"/>
        <w:outlineLvl w:val="9"/>
        <w:rPr>
          <w:rFonts w:ascii="仿宋_GB2312" w:eastAsia="仿宋_GB2312"/>
          <w:sz w:val="32"/>
          <w:szCs w:val="32"/>
          <w:highlight w:val="none"/>
        </w:rPr>
      </w:pPr>
      <w:r>
        <w:rPr>
          <w:rFonts w:ascii="仿宋_GB2312" w:eastAsia="仿宋_GB2312"/>
          <w:b w:val="0"/>
          <w:sz w:val="32"/>
          <w:szCs w:val="32"/>
          <w:highlight w:val="none"/>
        </w:rPr>
        <w:t>二、收入决算情况说明</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240" w:lineRule="auto"/>
        <w:ind w:left="0" w:leftChars="0" w:right="0" w:rightChars="0" w:firstLine="0" w:firstLineChars="0"/>
        <w:jc w:val="left"/>
        <w:textAlignment w:val="auto"/>
        <w:outlineLvl w:val="9"/>
        <w:rPr>
          <w:rFonts w:ascii="仿宋_GB2312" w:eastAsia="仿宋_GB2312"/>
          <w:sz w:val="32"/>
          <w:szCs w:val="32"/>
          <w:highlight w:val="none"/>
        </w:rPr>
      </w:pPr>
      <w:r>
        <w:rPr>
          <w:rFonts w:ascii="仿宋_GB2312" w:eastAsia="仿宋_GB2312"/>
          <w:b w:val="0"/>
          <w:sz w:val="32"/>
          <w:szCs w:val="32"/>
          <w:highlight w:val="none"/>
        </w:rPr>
        <w:t>三、支出决算情况说明</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240" w:lineRule="auto"/>
        <w:ind w:left="0" w:leftChars="0" w:right="0" w:rightChars="0" w:firstLine="0" w:firstLineChars="0"/>
        <w:jc w:val="left"/>
        <w:textAlignment w:val="auto"/>
        <w:outlineLvl w:val="9"/>
        <w:rPr>
          <w:rFonts w:ascii="仿宋_GB2312" w:eastAsia="仿宋_GB2312"/>
          <w:sz w:val="32"/>
          <w:szCs w:val="32"/>
          <w:highlight w:val="none"/>
        </w:rPr>
      </w:pPr>
      <w:r>
        <w:rPr>
          <w:rFonts w:ascii="仿宋_GB2312" w:eastAsia="仿宋_GB2312"/>
          <w:b w:val="0"/>
          <w:sz w:val="32"/>
          <w:szCs w:val="32"/>
          <w:highlight w:val="none"/>
        </w:rPr>
        <w:t>四、财政拨款收入支出决算总体情况说明</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240" w:lineRule="auto"/>
        <w:ind w:left="0" w:leftChars="0" w:right="0" w:rightChars="0" w:firstLine="0" w:firstLineChars="0"/>
        <w:jc w:val="left"/>
        <w:textAlignment w:val="auto"/>
        <w:outlineLvl w:val="9"/>
        <w:rPr>
          <w:rFonts w:ascii="仿宋_GB2312" w:eastAsia="仿宋_GB2312"/>
          <w:sz w:val="32"/>
          <w:szCs w:val="32"/>
          <w:highlight w:val="none"/>
        </w:rPr>
      </w:pPr>
      <w:r>
        <w:rPr>
          <w:rFonts w:ascii="仿宋_GB2312" w:eastAsia="仿宋_GB2312"/>
          <w:b w:val="0"/>
          <w:sz w:val="32"/>
          <w:szCs w:val="32"/>
          <w:highlight w:val="none"/>
        </w:rPr>
        <w:t>五、一般公共预算财政拨款支出决算情况说明</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240" w:lineRule="auto"/>
        <w:ind w:left="0" w:leftChars="0" w:right="0" w:rightChars="0" w:firstLine="0" w:firstLineChars="0"/>
        <w:jc w:val="left"/>
        <w:textAlignment w:val="auto"/>
        <w:outlineLvl w:val="9"/>
        <w:rPr>
          <w:rFonts w:ascii="仿宋_GB2312" w:eastAsia="仿宋_GB2312"/>
          <w:sz w:val="32"/>
          <w:szCs w:val="32"/>
          <w:highlight w:val="none"/>
        </w:rPr>
      </w:pPr>
      <w:r>
        <w:rPr>
          <w:rFonts w:ascii="仿宋_GB2312" w:eastAsia="仿宋_GB2312"/>
          <w:b w:val="0"/>
          <w:sz w:val="32"/>
          <w:szCs w:val="32"/>
          <w:highlight w:val="none"/>
        </w:rPr>
        <w:t>（一）一般公共预算财政拨款支出决算总体情况</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240" w:lineRule="auto"/>
        <w:ind w:left="0" w:leftChars="0" w:right="0" w:rightChars="0" w:firstLine="0" w:firstLineChars="0"/>
        <w:jc w:val="left"/>
        <w:textAlignment w:val="auto"/>
        <w:outlineLvl w:val="9"/>
        <w:rPr>
          <w:rFonts w:ascii="仿宋_GB2312" w:eastAsia="仿宋_GB2312"/>
          <w:sz w:val="32"/>
          <w:szCs w:val="32"/>
          <w:highlight w:val="none"/>
        </w:rPr>
      </w:pPr>
      <w:r>
        <w:rPr>
          <w:rFonts w:ascii="仿宋_GB2312" w:eastAsia="仿宋_GB2312"/>
          <w:b w:val="0"/>
          <w:sz w:val="32"/>
          <w:szCs w:val="32"/>
          <w:highlight w:val="none"/>
        </w:rPr>
        <w:t>（二）一般公共预算财政拨款支出决算结构情况</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240" w:lineRule="auto"/>
        <w:ind w:left="0" w:leftChars="0" w:right="0" w:rightChars="0" w:firstLine="0" w:firstLineChars="0"/>
        <w:jc w:val="left"/>
        <w:textAlignment w:val="auto"/>
        <w:outlineLvl w:val="9"/>
        <w:rPr>
          <w:rFonts w:ascii="仿宋_GB2312" w:eastAsia="仿宋_GB2312"/>
          <w:sz w:val="32"/>
          <w:szCs w:val="32"/>
          <w:highlight w:val="none"/>
        </w:rPr>
      </w:pPr>
      <w:r>
        <w:rPr>
          <w:rFonts w:ascii="仿宋_GB2312" w:eastAsia="仿宋_GB2312"/>
          <w:b w:val="0"/>
          <w:sz w:val="32"/>
          <w:szCs w:val="32"/>
          <w:highlight w:val="none"/>
        </w:rPr>
        <w:t>（三）一般公共预算财政拨款支出决算具体情况</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240" w:lineRule="auto"/>
        <w:ind w:left="0" w:leftChars="0" w:right="0" w:rightChars="0" w:firstLine="0" w:firstLineChars="0"/>
        <w:jc w:val="left"/>
        <w:textAlignment w:val="auto"/>
        <w:outlineLvl w:val="9"/>
        <w:rPr>
          <w:rFonts w:ascii="仿宋_GB2312" w:eastAsia="仿宋_GB2312"/>
          <w:sz w:val="32"/>
          <w:szCs w:val="32"/>
          <w:highlight w:val="none"/>
        </w:rPr>
      </w:pPr>
      <w:r>
        <w:rPr>
          <w:rFonts w:ascii="仿宋_GB2312" w:eastAsia="仿宋_GB2312"/>
          <w:b w:val="0"/>
          <w:sz w:val="32"/>
          <w:szCs w:val="32"/>
          <w:highlight w:val="none"/>
        </w:rPr>
        <w:t>六、一般公共预算财政拨款基本支出决算情况说明</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240" w:lineRule="auto"/>
        <w:ind w:left="0" w:leftChars="0" w:right="0" w:rightChars="0" w:firstLine="0" w:firstLineChars="0"/>
        <w:jc w:val="left"/>
        <w:textAlignment w:val="auto"/>
        <w:outlineLvl w:val="9"/>
        <w:rPr>
          <w:rFonts w:ascii="仿宋_GB2312" w:eastAsia="仿宋_GB2312"/>
          <w:sz w:val="32"/>
          <w:szCs w:val="32"/>
          <w:highlight w:val="none"/>
        </w:rPr>
      </w:pPr>
      <w:r>
        <w:rPr>
          <w:rFonts w:ascii="仿宋_GB2312" w:eastAsia="仿宋_GB2312"/>
          <w:b w:val="0"/>
          <w:sz w:val="32"/>
          <w:szCs w:val="32"/>
          <w:highlight w:val="none"/>
        </w:rPr>
        <w:t>七、政府性基金预算财政拨款收入支出决算情况说明</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240" w:lineRule="auto"/>
        <w:ind w:left="0" w:leftChars="0" w:right="0" w:rightChars="0" w:firstLine="0" w:firstLineChars="0"/>
        <w:jc w:val="left"/>
        <w:textAlignment w:val="auto"/>
        <w:outlineLvl w:val="9"/>
        <w:rPr>
          <w:rFonts w:ascii="仿宋_GB2312" w:eastAsia="仿宋_GB2312"/>
          <w:sz w:val="32"/>
          <w:szCs w:val="32"/>
          <w:highlight w:val="none"/>
        </w:rPr>
      </w:pPr>
      <w:r>
        <w:rPr>
          <w:rFonts w:ascii="仿宋_GB2312" w:eastAsia="仿宋_GB2312"/>
          <w:b w:val="0"/>
          <w:sz w:val="32"/>
          <w:szCs w:val="32"/>
          <w:highlight w:val="none"/>
        </w:rPr>
        <w:t>八、国有资本经营预算财政拨款收入支出决算情况说明</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240" w:lineRule="auto"/>
        <w:ind w:left="0" w:leftChars="0" w:right="0" w:rightChars="0" w:firstLine="0" w:firstLineChars="0"/>
        <w:jc w:val="left"/>
        <w:textAlignment w:val="auto"/>
        <w:outlineLvl w:val="9"/>
        <w:rPr>
          <w:rFonts w:ascii="仿宋_GB2312" w:eastAsia="仿宋_GB2312"/>
          <w:sz w:val="32"/>
          <w:szCs w:val="32"/>
          <w:highlight w:val="none"/>
        </w:rPr>
      </w:pPr>
      <w:r>
        <w:rPr>
          <w:rFonts w:ascii="仿宋_GB2312" w:eastAsia="仿宋_GB2312"/>
          <w:b w:val="0"/>
          <w:sz w:val="32"/>
          <w:szCs w:val="32"/>
          <w:highlight w:val="none"/>
        </w:rPr>
        <w:t>九、财政拨款“三公”经费支出决算情况说明</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240" w:lineRule="auto"/>
        <w:ind w:left="0" w:leftChars="0" w:right="0" w:rightChars="0" w:firstLine="0" w:firstLineChars="0"/>
        <w:jc w:val="left"/>
        <w:textAlignment w:val="auto"/>
        <w:outlineLvl w:val="9"/>
        <w:rPr>
          <w:rFonts w:ascii="仿宋_GB2312" w:eastAsia="仿宋_GB2312"/>
          <w:sz w:val="32"/>
          <w:szCs w:val="32"/>
          <w:highlight w:val="none"/>
        </w:rPr>
      </w:pPr>
      <w:r>
        <w:rPr>
          <w:rFonts w:ascii="仿宋_GB2312" w:eastAsia="仿宋_GB2312"/>
          <w:b w:val="0"/>
          <w:sz w:val="32"/>
          <w:szCs w:val="32"/>
          <w:highlight w:val="none"/>
        </w:rPr>
        <w:t>十、其他重要事项的情况说明</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240" w:lineRule="auto"/>
        <w:ind w:left="0" w:leftChars="0" w:right="0" w:rightChars="0" w:firstLine="0" w:firstLineChars="0"/>
        <w:jc w:val="left"/>
        <w:textAlignment w:val="auto"/>
        <w:outlineLvl w:val="9"/>
        <w:rPr>
          <w:rFonts w:ascii="仿宋_GB2312" w:eastAsia="仿宋_GB2312"/>
          <w:sz w:val="32"/>
          <w:szCs w:val="32"/>
          <w:highlight w:val="none"/>
        </w:rPr>
      </w:pPr>
      <w:r>
        <w:rPr>
          <w:rFonts w:ascii="仿宋_GB2312" w:eastAsia="仿宋_GB2312"/>
          <w:b w:val="0"/>
          <w:sz w:val="32"/>
          <w:szCs w:val="32"/>
          <w:highlight w:val="none"/>
        </w:rPr>
        <w:t>（一）机关运行经费及公用经费支出情况</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240" w:lineRule="auto"/>
        <w:ind w:left="0" w:leftChars="0" w:right="0" w:rightChars="0" w:firstLine="0" w:firstLineChars="0"/>
        <w:jc w:val="left"/>
        <w:textAlignment w:val="auto"/>
        <w:outlineLvl w:val="9"/>
        <w:rPr>
          <w:rFonts w:ascii="仿宋_GB2312" w:eastAsia="仿宋_GB2312"/>
          <w:sz w:val="32"/>
          <w:szCs w:val="32"/>
          <w:highlight w:val="none"/>
        </w:rPr>
      </w:pPr>
      <w:r>
        <w:rPr>
          <w:rFonts w:ascii="仿宋_GB2312" w:eastAsia="仿宋_GB2312"/>
          <w:b w:val="0"/>
          <w:sz w:val="32"/>
          <w:szCs w:val="32"/>
          <w:highlight w:val="none"/>
        </w:rPr>
        <w:t>（二）政府采购情况</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240" w:lineRule="auto"/>
        <w:ind w:left="0" w:leftChars="0" w:right="0" w:rightChars="0" w:firstLine="0" w:firstLineChars="0"/>
        <w:jc w:val="left"/>
        <w:textAlignment w:val="auto"/>
        <w:outlineLvl w:val="9"/>
        <w:rPr>
          <w:rFonts w:ascii="仿宋_GB2312" w:eastAsia="仿宋_GB2312"/>
          <w:sz w:val="32"/>
          <w:szCs w:val="32"/>
          <w:highlight w:val="none"/>
        </w:rPr>
      </w:pPr>
      <w:r>
        <w:rPr>
          <w:rFonts w:ascii="仿宋_GB2312" w:eastAsia="仿宋_GB2312"/>
          <w:b w:val="0"/>
          <w:sz w:val="32"/>
          <w:szCs w:val="32"/>
          <w:highlight w:val="none"/>
        </w:rPr>
        <w:t>（三）国有资产占用情况说明</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240" w:lineRule="auto"/>
        <w:ind w:left="0" w:leftChars="0" w:right="0" w:rightChars="0" w:firstLine="0" w:firstLineChars="0"/>
        <w:jc w:val="left"/>
        <w:textAlignment w:val="auto"/>
        <w:outlineLvl w:val="9"/>
        <w:rPr>
          <w:rFonts w:ascii="仿宋_GB2312" w:eastAsia="仿宋_GB2312"/>
          <w:sz w:val="32"/>
          <w:szCs w:val="32"/>
          <w:highlight w:val="none"/>
        </w:rPr>
      </w:pPr>
      <w:r>
        <w:rPr>
          <w:rFonts w:ascii="仿宋_GB2312" w:eastAsia="仿宋_GB2312"/>
          <w:b w:val="0"/>
          <w:sz w:val="32"/>
          <w:szCs w:val="32"/>
          <w:highlight w:val="none"/>
        </w:rPr>
        <w:t>十一、预算绩效的情况说明</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240" w:lineRule="auto"/>
        <w:ind w:left="0" w:leftChars="0" w:right="0" w:rightChars="0" w:firstLine="0" w:firstLineChars="0"/>
        <w:jc w:val="left"/>
        <w:textAlignment w:val="auto"/>
        <w:outlineLvl w:val="9"/>
        <w:rPr>
          <w:rFonts w:ascii="仿宋_GB2312" w:eastAsia="仿宋_GB2312"/>
          <w:sz w:val="32"/>
          <w:szCs w:val="32"/>
          <w:highlight w:val="none"/>
        </w:rPr>
      </w:pPr>
      <w:r>
        <w:rPr>
          <w:rFonts w:ascii="仿宋_GB2312" w:eastAsia="仿宋_GB2312"/>
          <w:b w:val="0"/>
          <w:sz w:val="32"/>
          <w:szCs w:val="32"/>
          <w:highlight w:val="none"/>
        </w:rPr>
        <w:t>十二、其他需说明的事项</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240" w:lineRule="auto"/>
        <w:ind w:left="0" w:leftChars="0" w:right="0" w:rightChars="0" w:firstLine="0" w:firstLineChars="0"/>
        <w:jc w:val="left"/>
        <w:textAlignment w:val="auto"/>
        <w:outlineLvl w:val="9"/>
        <w:rPr>
          <w:rFonts w:ascii="仿宋_GB2312" w:eastAsia="仿宋_GB2312"/>
          <w:sz w:val="32"/>
          <w:szCs w:val="32"/>
          <w:highlight w:val="none"/>
        </w:rPr>
      </w:pPr>
      <w:r>
        <w:rPr>
          <w:rFonts w:ascii="仿宋_GB2312" w:eastAsia="仿宋_GB2312"/>
          <w:b/>
          <w:sz w:val="32"/>
          <w:szCs w:val="32"/>
          <w:highlight w:val="none"/>
        </w:rPr>
        <w:t>第三部分专业名词解释</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240" w:lineRule="auto"/>
        <w:ind w:left="0" w:leftChars="0" w:right="0" w:rightChars="0" w:firstLine="0" w:firstLineChars="0"/>
        <w:jc w:val="left"/>
        <w:textAlignment w:val="auto"/>
        <w:outlineLvl w:val="9"/>
        <w:rPr>
          <w:rFonts w:ascii="仿宋_GB2312" w:eastAsia="仿宋_GB2312"/>
          <w:sz w:val="32"/>
          <w:szCs w:val="32"/>
          <w:highlight w:val="none"/>
        </w:rPr>
      </w:pPr>
      <w:r>
        <w:rPr>
          <w:rFonts w:ascii="仿宋_GB2312" w:eastAsia="仿宋_GB2312"/>
          <w:b/>
          <w:sz w:val="32"/>
          <w:szCs w:val="32"/>
          <w:highlight w:val="none"/>
        </w:rPr>
        <w:t>第四部分部门决算报表（见附表）</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240" w:lineRule="auto"/>
        <w:ind w:left="0" w:leftChars="0" w:right="0" w:rightChars="0" w:firstLine="0" w:firstLineChars="0"/>
        <w:jc w:val="left"/>
        <w:textAlignment w:val="auto"/>
        <w:outlineLvl w:val="9"/>
        <w:rPr>
          <w:rFonts w:ascii="仿宋_GB2312" w:eastAsia="仿宋_GB2312"/>
          <w:sz w:val="32"/>
          <w:szCs w:val="32"/>
          <w:highlight w:val="none"/>
        </w:rPr>
      </w:pPr>
      <w:r>
        <w:rPr>
          <w:rFonts w:ascii="仿宋_GB2312" w:eastAsia="仿宋_GB2312"/>
          <w:b w:val="0"/>
          <w:sz w:val="32"/>
          <w:szCs w:val="32"/>
          <w:highlight w:val="none"/>
        </w:rPr>
        <w:t>一、《收入支出决算总表》</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240" w:lineRule="auto"/>
        <w:ind w:left="0" w:leftChars="0" w:right="0" w:rightChars="0" w:firstLine="0" w:firstLineChars="0"/>
        <w:jc w:val="left"/>
        <w:textAlignment w:val="auto"/>
        <w:outlineLvl w:val="9"/>
        <w:rPr>
          <w:rFonts w:ascii="仿宋_GB2312" w:eastAsia="仿宋_GB2312"/>
          <w:sz w:val="32"/>
          <w:szCs w:val="32"/>
          <w:highlight w:val="none"/>
        </w:rPr>
      </w:pPr>
      <w:r>
        <w:rPr>
          <w:rFonts w:ascii="仿宋_GB2312" w:eastAsia="仿宋_GB2312"/>
          <w:b w:val="0"/>
          <w:sz w:val="32"/>
          <w:szCs w:val="32"/>
          <w:highlight w:val="none"/>
        </w:rPr>
        <w:t>二、《收入决算表》</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240" w:lineRule="auto"/>
        <w:ind w:left="0" w:leftChars="0" w:right="0" w:rightChars="0" w:firstLine="0" w:firstLineChars="0"/>
        <w:jc w:val="left"/>
        <w:textAlignment w:val="auto"/>
        <w:outlineLvl w:val="9"/>
        <w:rPr>
          <w:rFonts w:ascii="仿宋_GB2312" w:eastAsia="仿宋_GB2312"/>
          <w:sz w:val="32"/>
          <w:szCs w:val="32"/>
          <w:highlight w:val="none"/>
        </w:rPr>
      </w:pPr>
      <w:r>
        <w:rPr>
          <w:rFonts w:ascii="仿宋_GB2312" w:eastAsia="仿宋_GB2312"/>
          <w:b w:val="0"/>
          <w:sz w:val="32"/>
          <w:szCs w:val="32"/>
          <w:highlight w:val="none"/>
        </w:rPr>
        <w:t>三、《支出决算表》</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240" w:lineRule="auto"/>
        <w:ind w:left="0" w:leftChars="0" w:right="0" w:rightChars="0" w:firstLine="0" w:firstLineChars="0"/>
        <w:jc w:val="left"/>
        <w:textAlignment w:val="auto"/>
        <w:outlineLvl w:val="9"/>
        <w:rPr>
          <w:rFonts w:ascii="仿宋_GB2312" w:eastAsia="仿宋_GB2312"/>
          <w:sz w:val="32"/>
          <w:szCs w:val="32"/>
          <w:highlight w:val="none"/>
        </w:rPr>
      </w:pPr>
      <w:r>
        <w:rPr>
          <w:rFonts w:ascii="仿宋_GB2312" w:eastAsia="仿宋_GB2312"/>
          <w:b w:val="0"/>
          <w:sz w:val="32"/>
          <w:szCs w:val="32"/>
          <w:highlight w:val="none"/>
        </w:rPr>
        <w:t>四、《财政拨款收入支出决算总表》</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240" w:lineRule="auto"/>
        <w:ind w:left="0" w:leftChars="0" w:right="0" w:rightChars="0" w:firstLine="0" w:firstLineChars="0"/>
        <w:jc w:val="left"/>
        <w:textAlignment w:val="auto"/>
        <w:outlineLvl w:val="9"/>
        <w:rPr>
          <w:rFonts w:ascii="仿宋_GB2312" w:eastAsia="仿宋_GB2312"/>
          <w:sz w:val="32"/>
          <w:szCs w:val="32"/>
          <w:highlight w:val="none"/>
        </w:rPr>
      </w:pPr>
      <w:r>
        <w:rPr>
          <w:rFonts w:ascii="仿宋_GB2312" w:eastAsia="仿宋_GB2312"/>
          <w:b w:val="0"/>
          <w:sz w:val="32"/>
          <w:szCs w:val="32"/>
          <w:highlight w:val="none"/>
        </w:rPr>
        <w:t>五、《一般公共预算财政拨款支出决算表》</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240" w:lineRule="auto"/>
        <w:ind w:left="0" w:leftChars="0" w:right="0" w:rightChars="0" w:firstLine="0" w:firstLineChars="0"/>
        <w:jc w:val="left"/>
        <w:textAlignment w:val="auto"/>
        <w:outlineLvl w:val="9"/>
        <w:rPr>
          <w:rFonts w:ascii="仿宋_GB2312" w:eastAsia="仿宋_GB2312"/>
          <w:sz w:val="32"/>
          <w:szCs w:val="32"/>
          <w:highlight w:val="none"/>
        </w:rPr>
      </w:pPr>
      <w:r>
        <w:rPr>
          <w:rFonts w:ascii="仿宋_GB2312" w:eastAsia="仿宋_GB2312"/>
          <w:b w:val="0"/>
          <w:sz w:val="32"/>
          <w:szCs w:val="32"/>
          <w:highlight w:val="none"/>
        </w:rPr>
        <w:t>六、《一般公共预算财政拨款基本支出决算表》</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240" w:lineRule="auto"/>
        <w:ind w:left="0" w:leftChars="0" w:right="0" w:rightChars="0" w:firstLine="0" w:firstLineChars="0"/>
        <w:jc w:val="left"/>
        <w:textAlignment w:val="auto"/>
        <w:outlineLvl w:val="9"/>
        <w:rPr>
          <w:rFonts w:ascii="仿宋_GB2312" w:eastAsia="仿宋_GB2312"/>
          <w:sz w:val="32"/>
          <w:szCs w:val="32"/>
          <w:highlight w:val="none"/>
        </w:rPr>
      </w:pPr>
      <w:r>
        <w:rPr>
          <w:rFonts w:ascii="仿宋_GB2312" w:eastAsia="仿宋_GB2312"/>
          <w:b w:val="0"/>
          <w:sz w:val="32"/>
          <w:szCs w:val="32"/>
          <w:highlight w:val="none"/>
        </w:rPr>
        <w:t>七、《政府性基金预算财政拨款收入支出决算表》</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240" w:lineRule="auto"/>
        <w:ind w:left="0" w:leftChars="0" w:right="0" w:rightChars="0" w:firstLine="0" w:firstLineChars="0"/>
        <w:jc w:val="left"/>
        <w:textAlignment w:val="auto"/>
        <w:outlineLvl w:val="9"/>
        <w:rPr>
          <w:rFonts w:ascii="仿宋_GB2312" w:eastAsia="仿宋_GB2312"/>
          <w:sz w:val="32"/>
          <w:szCs w:val="32"/>
          <w:highlight w:val="none"/>
        </w:rPr>
      </w:pPr>
      <w:r>
        <w:rPr>
          <w:rFonts w:ascii="仿宋_GB2312" w:eastAsia="仿宋_GB2312"/>
          <w:b w:val="0"/>
          <w:sz w:val="32"/>
          <w:szCs w:val="32"/>
          <w:highlight w:val="none"/>
        </w:rPr>
        <w:t>八、《国有资本经营预算财政拨款收入支出决算表》</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240" w:lineRule="auto"/>
        <w:ind w:left="0" w:leftChars="0" w:right="0" w:rightChars="0" w:firstLine="0" w:firstLineChars="0"/>
        <w:jc w:val="left"/>
        <w:textAlignment w:val="auto"/>
        <w:outlineLvl w:val="9"/>
        <w:rPr>
          <w:rFonts w:ascii="仿宋_GB2312" w:eastAsia="仿宋_GB2312"/>
          <w:sz w:val="32"/>
          <w:szCs w:val="32"/>
          <w:highlight w:val="none"/>
        </w:rPr>
      </w:pPr>
      <w:r>
        <w:rPr>
          <w:rFonts w:ascii="仿宋_GB2312" w:eastAsia="仿宋_GB2312"/>
          <w:b w:val="0"/>
          <w:sz w:val="32"/>
          <w:szCs w:val="32"/>
          <w:highlight w:val="none"/>
        </w:rPr>
        <w:t>九、《财政拨款“三公”经费支出决算表》</w:t>
      </w:r>
    </w:p>
    <w:p>
      <w:pPr>
        <w:widowControl/>
        <w:rPr>
          <w:highlight w:val="none"/>
        </w:rPr>
      </w:pPr>
      <w:r>
        <w:rPr>
          <w:b w:val="0"/>
          <w:sz w:val="0"/>
          <w:szCs w:val="0"/>
          <w:highlight w:val="none"/>
        </w:rPr>
        <w:br w:type="page"/>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0"/>
        <w:rPr>
          <w:rFonts w:hint="eastAsia" w:ascii="黑体" w:hAnsi="黑体" w:eastAsia="黑体" w:cs="Times New Roman"/>
          <w:kern w:val="2"/>
          <w:sz w:val="32"/>
          <w:szCs w:val="32"/>
          <w:highlight w:val="none"/>
          <w:lang w:val="en-US" w:eastAsia="zh-CN" w:bidi="ar-SA"/>
        </w:rPr>
      </w:pPr>
      <w:r>
        <w:rPr>
          <w:rFonts w:hint="eastAsia" w:ascii="黑体" w:hAnsi="黑体" w:eastAsia="黑体" w:cs="Times New Roman"/>
          <w:kern w:val="2"/>
          <w:sz w:val="32"/>
          <w:szCs w:val="32"/>
          <w:highlight w:val="none"/>
          <w:lang w:val="en-US" w:eastAsia="zh-CN" w:bidi="ar-SA"/>
        </w:rPr>
        <w:t>第一部分单位概况</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40" w:firstLineChars="200"/>
        <w:jc w:val="both"/>
        <w:textAlignment w:val="auto"/>
        <w:outlineLvl w:val="1"/>
        <w:rPr>
          <w:rFonts w:hint="eastAsia" w:ascii="黑体" w:hAnsi="黑体" w:eastAsia="黑体" w:cs="宋体"/>
          <w:bCs/>
          <w:kern w:val="0"/>
          <w:sz w:val="32"/>
          <w:szCs w:val="32"/>
          <w:highlight w:val="none"/>
          <w:lang w:val="en-US" w:eastAsia="zh-CN" w:bidi="ar-SA"/>
        </w:rPr>
      </w:pPr>
      <w:r>
        <w:rPr>
          <w:rFonts w:hint="eastAsia" w:ascii="黑体" w:hAnsi="黑体" w:eastAsia="黑体" w:cs="宋体"/>
          <w:bCs/>
          <w:kern w:val="0"/>
          <w:sz w:val="32"/>
          <w:szCs w:val="32"/>
          <w:highlight w:val="none"/>
          <w:lang w:val="en-US" w:eastAsia="zh-CN" w:bidi="ar-SA"/>
        </w:rPr>
        <w:t>一、主要职能</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40" w:firstLineChars="200"/>
        <w:jc w:val="both"/>
        <w:textAlignment w:val="auto"/>
        <w:outlineLvl w:val="9"/>
        <w:rPr>
          <w:rFonts w:hint="eastAsia" w:ascii="仿宋_GB2312" w:hAnsi="Times New Roman" w:eastAsia="仿宋_GB2312" w:cs="Times New Roman"/>
          <w:kern w:val="2"/>
          <w:sz w:val="32"/>
          <w:szCs w:val="32"/>
          <w:highlight w:val="none"/>
          <w:lang w:val="en-US" w:eastAsia="zh-CN" w:bidi="ar-SA"/>
        </w:rPr>
      </w:pPr>
      <w:r>
        <w:rPr>
          <w:rFonts w:hint="eastAsia" w:ascii="仿宋_GB2312" w:hAnsi="Times New Roman" w:eastAsia="仿宋_GB2312" w:cs="Times New Roman"/>
          <w:kern w:val="2"/>
          <w:sz w:val="32"/>
          <w:szCs w:val="32"/>
          <w:highlight w:val="none"/>
          <w:lang w:val="en-US" w:eastAsia="zh-CN" w:bidi="ar-SA"/>
        </w:rPr>
        <w:t>（1）承担国家和自治区行业主管部门安排的畜禽产品、兽药、饲料及饲料添加剂质量安全检验检测，动物源细菌耐药性检测评估；</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40" w:firstLineChars="200"/>
        <w:jc w:val="both"/>
        <w:textAlignment w:val="auto"/>
        <w:outlineLvl w:val="9"/>
        <w:rPr>
          <w:rFonts w:hint="eastAsia" w:ascii="仿宋_GB2312" w:hAnsi="Times New Roman" w:eastAsia="仿宋_GB2312" w:cs="Times New Roman"/>
          <w:kern w:val="2"/>
          <w:sz w:val="32"/>
          <w:szCs w:val="32"/>
          <w:highlight w:val="none"/>
          <w:lang w:val="en-US" w:eastAsia="zh-CN" w:bidi="ar-SA"/>
        </w:rPr>
      </w:pPr>
      <w:r>
        <w:rPr>
          <w:rFonts w:hint="eastAsia" w:ascii="仿宋_GB2312" w:hAnsi="Times New Roman" w:eastAsia="仿宋_GB2312" w:cs="Times New Roman"/>
          <w:kern w:val="2"/>
          <w:sz w:val="32"/>
          <w:szCs w:val="32"/>
          <w:highlight w:val="none"/>
          <w:lang w:val="en-US" w:eastAsia="zh-CN" w:bidi="ar-SA"/>
        </w:rPr>
        <w:t>（2）负责仲裁检验、兽药产品批准文号复核检验；</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40" w:firstLineChars="200"/>
        <w:jc w:val="both"/>
        <w:textAlignment w:val="auto"/>
        <w:outlineLvl w:val="9"/>
        <w:rPr>
          <w:rFonts w:hint="eastAsia" w:ascii="仿宋_GB2312" w:hAnsi="Times New Roman" w:eastAsia="仿宋_GB2312" w:cs="Times New Roman"/>
          <w:kern w:val="2"/>
          <w:sz w:val="32"/>
          <w:szCs w:val="32"/>
          <w:highlight w:val="none"/>
          <w:lang w:val="en-US" w:eastAsia="zh-CN" w:bidi="ar-SA"/>
        </w:rPr>
      </w:pPr>
      <w:r>
        <w:rPr>
          <w:rFonts w:hint="eastAsia" w:ascii="仿宋_GB2312" w:hAnsi="Times New Roman" w:eastAsia="仿宋_GB2312" w:cs="Times New Roman"/>
          <w:kern w:val="2"/>
          <w:sz w:val="32"/>
          <w:szCs w:val="32"/>
          <w:highlight w:val="none"/>
          <w:lang w:val="en-US" w:eastAsia="zh-CN" w:bidi="ar-SA"/>
        </w:rPr>
        <w:t>（3）开展兽药、饲料行政许可技术支撑与现场审核、技术培训；</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40" w:firstLineChars="200"/>
        <w:jc w:val="both"/>
        <w:textAlignment w:val="auto"/>
        <w:outlineLvl w:val="9"/>
        <w:rPr>
          <w:rFonts w:hint="eastAsia" w:ascii="仿宋_GB2312" w:hAnsi="Times New Roman" w:eastAsia="仿宋_GB2312" w:cs="Times New Roman"/>
          <w:kern w:val="2"/>
          <w:sz w:val="32"/>
          <w:szCs w:val="32"/>
          <w:highlight w:val="none"/>
          <w:lang w:val="en-US" w:eastAsia="zh-CN" w:bidi="ar-SA"/>
        </w:rPr>
      </w:pPr>
      <w:r>
        <w:rPr>
          <w:rFonts w:hint="eastAsia" w:ascii="仿宋_GB2312" w:hAnsi="Times New Roman" w:eastAsia="仿宋_GB2312" w:cs="Times New Roman"/>
          <w:kern w:val="2"/>
          <w:sz w:val="32"/>
          <w:szCs w:val="32"/>
          <w:highlight w:val="none"/>
          <w:lang w:val="en-US" w:eastAsia="zh-CN" w:bidi="ar-SA"/>
        </w:rPr>
        <w:t>（4）开展新检测技术和方法以及地方、行业标准的制（修）订等工作。</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40" w:firstLineChars="200"/>
        <w:jc w:val="both"/>
        <w:textAlignment w:val="auto"/>
        <w:outlineLvl w:val="1"/>
        <w:rPr>
          <w:rFonts w:hint="eastAsia" w:ascii="黑体" w:hAnsi="黑体" w:eastAsia="黑体" w:cs="宋体"/>
          <w:bCs/>
          <w:kern w:val="0"/>
          <w:sz w:val="32"/>
          <w:szCs w:val="32"/>
          <w:highlight w:val="none"/>
          <w:lang w:val="en-US" w:eastAsia="zh-CN" w:bidi="ar-SA"/>
        </w:rPr>
      </w:pPr>
      <w:r>
        <w:rPr>
          <w:rFonts w:hint="eastAsia" w:ascii="黑体" w:hAnsi="黑体" w:eastAsia="黑体" w:cs="宋体"/>
          <w:bCs/>
          <w:kern w:val="0"/>
          <w:sz w:val="32"/>
          <w:szCs w:val="32"/>
          <w:highlight w:val="none"/>
          <w:lang w:val="en-US" w:eastAsia="zh-CN" w:bidi="ar-SA"/>
        </w:rPr>
        <w:t>二、机构设置及人员情况</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40" w:firstLineChars="200"/>
        <w:jc w:val="both"/>
        <w:textAlignment w:val="auto"/>
        <w:rPr>
          <w:rFonts w:hint="eastAsia" w:ascii="仿宋_GB2312" w:hAnsi="Times New Roman" w:eastAsia="仿宋_GB2312" w:cs="Times New Roman"/>
          <w:kern w:val="2"/>
          <w:sz w:val="32"/>
          <w:szCs w:val="32"/>
          <w:highlight w:val="none"/>
          <w:lang w:val="en-US" w:eastAsia="zh-CN" w:bidi="ar-SA"/>
        </w:rPr>
      </w:pPr>
      <w:r>
        <w:rPr>
          <w:rFonts w:hint="eastAsia" w:ascii="仿宋_GB2312" w:hAnsi="Times New Roman" w:eastAsia="仿宋_GB2312" w:cs="Times New Roman"/>
          <w:kern w:val="2"/>
          <w:sz w:val="32"/>
          <w:szCs w:val="32"/>
          <w:highlight w:val="none"/>
          <w:lang w:val="en-US" w:eastAsia="zh-CN" w:bidi="ar-SA"/>
        </w:rPr>
        <w:t>新疆维吾尔自治区兽药饲料监察所2024年度，实有人数97人，其中：在职人员57人，减少3人；离休人员0人，较上年无变化；退休人员40人，增加2人。</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40" w:firstLineChars="200"/>
        <w:jc w:val="both"/>
        <w:textAlignment w:val="auto"/>
        <w:rPr>
          <w:rFonts w:hint="eastAsia" w:ascii="仿宋_GB2312" w:hAnsi="Times New Roman" w:eastAsia="仿宋_GB2312" w:cs="Times New Roman"/>
          <w:kern w:val="2"/>
          <w:sz w:val="32"/>
          <w:szCs w:val="32"/>
          <w:highlight w:val="none"/>
          <w:lang w:val="en-US" w:eastAsia="zh-CN" w:bidi="ar-SA"/>
        </w:rPr>
      </w:pPr>
      <w:r>
        <w:rPr>
          <w:rFonts w:hint="eastAsia" w:ascii="仿宋_GB2312" w:hAnsi="Times New Roman" w:eastAsia="仿宋_GB2312" w:cs="Times New Roman"/>
          <w:kern w:val="2"/>
          <w:sz w:val="32"/>
          <w:szCs w:val="32"/>
          <w:highlight w:val="none"/>
          <w:lang w:val="en-US" w:eastAsia="zh-CN" w:bidi="ar-SA"/>
        </w:rPr>
        <w:t>新疆维吾尔自治区兽药饲料监察所无下属预算单位，下设8个科室，分别是：行政办公室、政工科、业务科、技术保障科、食品安全检验室、抗生素检验室、化学药品检验室、饲料检验室。</w:t>
      </w:r>
    </w:p>
    <w:p>
      <w:pPr>
        <w:keepNext w:val="0"/>
        <w:keepLines w:val="0"/>
        <w:pageBreakBefore w:val="0"/>
        <w:widowControl/>
        <w:kinsoku/>
        <w:wordWrap/>
        <w:overflowPunct/>
        <w:topLinePunct w:val="0"/>
        <w:autoSpaceDE/>
        <w:autoSpaceDN/>
        <w:bidi w:val="0"/>
        <w:adjustRightInd/>
        <w:snapToGrid/>
        <w:spacing w:line="240" w:lineRule="auto"/>
        <w:ind w:left="0" w:leftChars="0" w:right="0" w:rightChars="0"/>
        <w:textAlignment w:val="auto"/>
        <w:rPr>
          <w:highlight w:val="none"/>
        </w:rPr>
      </w:pPr>
      <w:r>
        <w:rPr>
          <w:b w:val="0"/>
          <w:sz w:val="0"/>
          <w:szCs w:val="0"/>
          <w:highlight w:val="none"/>
        </w:rPr>
        <w:br w:type="page"/>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0"/>
        <w:rPr>
          <w:rFonts w:hint="eastAsia" w:ascii="黑体" w:hAnsi="黑体" w:eastAsia="黑体" w:cs="Times New Roman"/>
          <w:kern w:val="2"/>
          <w:sz w:val="32"/>
          <w:szCs w:val="32"/>
          <w:highlight w:val="none"/>
          <w:lang w:val="en-US" w:eastAsia="zh-CN" w:bidi="ar-SA"/>
        </w:rPr>
      </w:pPr>
      <w:r>
        <w:rPr>
          <w:rFonts w:hint="eastAsia" w:ascii="黑体" w:hAnsi="黑体" w:eastAsia="黑体" w:cs="Times New Roman"/>
          <w:kern w:val="2"/>
          <w:sz w:val="32"/>
          <w:szCs w:val="32"/>
          <w:highlight w:val="none"/>
          <w:lang w:val="en-US" w:eastAsia="zh-CN" w:bidi="ar-SA"/>
        </w:rPr>
        <w:t>第二部分部门决算情况说明</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40" w:firstLineChars="200"/>
        <w:jc w:val="both"/>
        <w:textAlignment w:val="auto"/>
        <w:outlineLvl w:val="1"/>
        <w:rPr>
          <w:rFonts w:hint="eastAsia" w:ascii="黑体" w:hAnsi="黑体" w:eastAsia="黑体" w:cs="宋体"/>
          <w:bCs/>
          <w:kern w:val="0"/>
          <w:sz w:val="32"/>
          <w:szCs w:val="32"/>
          <w:highlight w:val="none"/>
          <w:lang w:val="en-US" w:eastAsia="zh-CN" w:bidi="ar-SA"/>
        </w:rPr>
      </w:pPr>
      <w:r>
        <w:rPr>
          <w:rFonts w:hint="eastAsia" w:ascii="黑体" w:hAnsi="黑体" w:eastAsia="黑体" w:cs="宋体"/>
          <w:bCs/>
          <w:kern w:val="0"/>
          <w:sz w:val="32"/>
          <w:szCs w:val="32"/>
          <w:highlight w:val="none"/>
          <w:lang w:val="en-US" w:eastAsia="zh-CN" w:bidi="ar-SA"/>
        </w:rPr>
        <w:t>一、收入支出决算总体情况说明</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240" w:lineRule="auto"/>
        <w:ind w:left="0" w:leftChars="0" w:right="0" w:rightChars="0" w:firstLine="643" w:firstLineChars="200"/>
        <w:jc w:val="both"/>
        <w:textAlignment w:val="auto"/>
        <w:rPr>
          <w:rFonts w:hint="eastAsia" w:ascii="仿宋_GB2312" w:hAnsi="Times New Roman" w:eastAsia="仿宋_GB2312" w:cs="Times New Roman"/>
          <w:kern w:val="2"/>
          <w:sz w:val="32"/>
          <w:szCs w:val="32"/>
          <w:highlight w:val="none"/>
          <w:lang w:val="en-US" w:eastAsia="zh-CN" w:bidi="ar-SA"/>
        </w:rPr>
      </w:pPr>
      <w:r>
        <w:rPr>
          <w:rFonts w:hint="eastAsia" w:ascii="仿宋_GB2312" w:hAnsi="Times New Roman" w:eastAsia="仿宋_GB2312" w:cs="Times New Roman"/>
          <w:b/>
          <w:bCs/>
          <w:spacing w:val="0"/>
          <w:kern w:val="2"/>
          <w:sz w:val="32"/>
          <w:szCs w:val="32"/>
          <w:highlight w:val="none"/>
          <w:lang w:val="en-US" w:eastAsia="zh-CN" w:bidi="ar-SA"/>
        </w:rPr>
        <w:t>2024年度收入总计1,996.98万元，</w:t>
      </w:r>
      <w:r>
        <w:rPr>
          <w:rFonts w:hint="eastAsia" w:ascii="仿宋_GB2312" w:hAnsi="Times New Roman" w:eastAsia="仿宋_GB2312" w:cs="Times New Roman"/>
          <w:kern w:val="2"/>
          <w:sz w:val="32"/>
          <w:szCs w:val="32"/>
          <w:highlight w:val="none"/>
          <w:lang w:val="en-US" w:eastAsia="zh-CN" w:bidi="ar-SA"/>
        </w:rPr>
        <w:t>其中：本年收入合计1,914.61万元，使用非财政拨款结余（含专用结余）0.00万元，年初结转和结余82.37万元。</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240" w:lineRule="auto"/>
        <w:ind w:left="0" w:leftChars="0" w:right="0" w:rightChars="0" w:firstLine="643" w:firstLineChars="200"/>
        <w:jc w:val="both"/>
        <w:textAlignment w:val="auto"/>
        <w:rPr>
          <w:rFonts w:hint="eastAsia" w:ascii="仿宋_GB2312" w:hAnsi="Times New Roman" w:eastAsia="仿宋_GB2312" w:cs="Times New Roman"/>
          <w:kern w:val="2"/>
          <w:sz w:val="32"/>
          <w:szCs w:val="32"/>
          <w:highlight w:val="none"/>
          <w:lang w:val="en-US" w:eastAsia="zh-CN" w:bidi="ar-SA"/>
        </w:rPr>
      </w:pPr>
      <w:r>
        <w:rPr>
          <w:rFonts w:hint="eastAsia" w:ascii="仿宋_GB2312" w:hAnsi="Times New Roman" w:eastAsia="仿宋_GB2312" w:cs="Times New Roman"/>
          <w:b/>
          <w:bCs/>
          <w:spacing w:val="0"/>
          <w:kern w:val="2"/>
          <w:sz w:val="32"/>
          <w:szCs w:val="32"/>
          <w:highlight w:val="none"/>
          <w:lang w:val="en-US" w:eastAsia="zh-CN" w:bidi="ar-SA"/>
        </w:rPr>
        <w:t>2024年度支出总计1,996.98万元，</w:t>
      </w:r>
      <w:r>
        <w:rPr>
          <w:rFonts w:hint="eastAsia" w:ascii="仿宋_GB2312" w:hAnsi="Times New Roman" w:eastAsia="仿宋_GB2312" w:cs="Times New Roman"/>
          <w:kern w:val="2"/>
          <w:sz w:val="32"/>
          <w:szCs w:val="32"/>
          <w:highlight w:val="none"/>
          <w:lang w:val="en-US" w:eastAsia="zh-CN" w:bidi="ar-SA"/>
        </w:rPr>
        <w:t>其中：本年支出合计1,984.86万元，结余分配0.00万元，年末结转和结余12.12万元。</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240" w:lineRule="auto"/>
        <w:ind w:left="0" w:leftChars="0" w:right="0" w:rightChars="0" w:firstLine="643" w:firstLineChars="200"/>
        <w:jc w:val="both"/>
        <w:textAlignment w:val="auto"/>
        <w:rPr>
          <w:rFonts w:hint="eastAsia" w:ascii="仿宋_GB2312" w:hAnsi="Times New Roman" w:eastAsia="仿宋_GB2312" w:cs="Times New Roman"/>
          <w:kern w:val="2"/>
          <w:sz w:val="32"/>
          <w:szCs w:val="32"/>
          <w:highlight w:val="none"/>
          <w:lang w:val="en-US" w:eastAsia="zh-CN" w:bidi="ar-SA"/>
        </w:rPr>
      </w:pPr>
      <w:r>
        <w:rPr>
          <w:rFonts w:hint="eastAsia" w:ascii="仿宋_GB2312" w:hAnsi="仿宋_GB2312" w:eastAsia="仿宋_GB2312" w:cs="仿宋_GB2312"/>
          <w:b/>
          <w:bCs w:val="0"/>
          <w:kern w:val="0"/>
          <w:sz w:val="32"/>
          <w:szCs w:val="32"/>
          <w:highlight w:val="none"/>
          <w:lang w:val="en-US" w:eastAsia="zh-CN" w:bidi="ar-SA"/>
        </w:rPr>
        <w:t>收入支出总体与上年相比，</w:t>
      </w:r>
      <w:r>
        <w:rPr>
          <w:rFonts w:hint="eastAsia" w:ascii="仿宋_GB2312" w:hAnsi="Times New Roman" w:eastAsia="仿宋_GB2312" w:cs="Times New Roman"/>
          <w:kern w:val="2"/>
          <w:sz w:val="32"/>
          <w:szCs w:val="32"/>
          <w:highlight w:val="none"/>
          <w:lang w:val="en-US" w:eastAsia="zh-CN" w:bidi="ar-SA"/>
        </w:rPr>
        <w:t>减少817.47万元，下降29.05%，主要原因是：2024年没有新疆维吾尔自治区兽药质量及兽药残留检测实验室改扩建中央预算项目，收入支出总体较上年减少。</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40" w:firstLineChars="200"/>
        <w:jc w:val="both"/>
        <w:textAlignment w:val="auto"/>
        <w:outlineLvl w:val="1"/>
        <w:rPr>
          <w:rFonts w:hint="eastAsia" w:ascii="黑体" w:hAnsi="黑体" w:eastAsia="黑体" w:cs="宋体"/>
          <w:bCs/>
          <w:kern w:val="0"/>
          <w:sz w:val="32"/>
          <w:szCs w:val="32"/>
          <w:highlight w:val="none"/>
          <w:lang w:val="en-US" w:eastAsia="zh-CN" w:bidi="ar-SA"/>
        </w:rPr>
      </w:pPr>
      <w:r>
        <w:rPr>
          <w:rFonts w:hint="eastAsia" w:ascii="黑体" w:hAnsi="黑体" w:eastAsia="黑体" w:cs="宋体"/>
          <w:bCs/>
          <w:kern w:val="0"/>
          <w:sz w:val="32"/>
          <w:szCs w:val="32"/>
          <w:highlight w:val="none"/>
          <w:lang w:val="en-US" w:eastAsia="zh-CN" w:bidi="ar-SA"/>
        </w:rPr>
        <w:t>二、收入决算情况说明</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240" w:lineRule="auto"/>
        <w:ind w:left="0" w:leftChars="0" w:right="0" w:rightChars="0" w:firstLine="643" w:firstLineChars="200"/>
        <w:jc w:val="both"/>
        <w:textAlignment w:val="auto"/>
        <w:rPr>
          <w:rFonts w:hint="eastAsia" w:ascii="仿宋_GB2312" w:hAnsi="Times New Roman" w:eastAsia="仿宋_GB2312" w:cs="Times New Roman"/>
          <w:kern w:val="2"/>
          <w:sz w:val="32"/>
          <w:szCs w:val="32"/>
          <w:highlight w:val="none"/>
          <w:lang w:val="en-US" w:eastAsia="zh-CN" w:bidi="ar-SA"/>
        </w:rPr>
      </w:pPr>
      <w:r>
        <w:rPr>
          <w:rFonts w:hint="eastAsia" w:ascii="仿宋_GB2312" w:hAnsi="Times New Roman" w:eastAsia="仿宋_GB2312" w:cs="Times New Roman"/>
          <w:b/>
          <w:bCs/>
          <w:kern w:val="2"/>
          <w:sz w:val="32"/>
          <w:szCs w:val="32"/>
          <w:highlight w:val="none"/>
          <w:lang w:val="en-US" w:eastAsia="zh-CN" w:bidi="ar-SA"/>
        </w:rPr>
        <w:t>本年收入1,914.61万元，</w:t>
      </w:r>
      <w:r>
        <w:rPr>
          <w:rFonts w:hint="eastAsia" w:ascii="仿宋_GB2312" w:hAnsi="Times New Roman" w:eastAsia="仿宋_GB2312" w:cs="Times New Roman"/>
          <w:kern w:val="2"/>
          <w:sz w:val="32"/>
          <w:szCs w:val="32"/>
          <w:highlight w:val="none"/>
          <w:lang w:val="en-US" w:eastAsia="zh-CN" w:bidi="ar-SA"/>
        </w:rPr>
        <w:t>其中：财政拨款收入1,914.21万元,占99.98%；上级补助收入0.00万元,占0.00%；事业收入0.00万元，占0.00%；经营收入0.00万元,占0.00%；附属单位上缴收入0.00万元，占0.00%；其他收入0.40万元，占0.02%。</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40" w:firstLineChars="200"/>
        <w:jc w:val="both"/>
        <w:textAlignment w:val="auto"/>
        <w:outlineLvl w:val="1"/>
        <w:rPr>
          <w:rFonts w:hint="eastAsia" w:ascii="黑体" w:hAnsi="黑体" w:eastAsia="黑体" w:cs="宋体"/>
          <w:bCs/>
          <w:kern w:val="0"/>
          <w:sz w:val="32"/>
          <w:szCs w:val="32"/>
          <w:highlight w:val="none"/>
          <w:lang w:val="en-US" w:eastAsia="zh-CN" w:bidi="ar-SA"/>
        </w:rPr>
      </w:pPr>
      <w:r>
        <w:rPr>
          <w:rFonts w:hint="eastAsia" w:ascii="黑体" w:hAnsi="黑体" w:eastAsia="黑体" w:cs="宋体"/>
          <w:bCs/>
          <w:kern w:val="0"/>
          <w:sz w:val="32"/>
          <w:szCs w:val="32"/>
          <w:highlight w:val="none"/>
          <w:lang w:val="en-US" w:eastAsia="zh-CN" w:bidi="ar-SA"/>
        </w:rPr>
        <w:t>三、支出决算情况说明</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43" w:firstLineChars="200"/>
        <w:jc w:val="both"/>
        <w:textAlignment w:val="auto"/>
        <w:outlineLvl w:val="1"/>
        <w:rPr>
          <w:rFonts w:hint="eastAsia" w:ascii="仿宋_GB2312" w:hAnsi="Times New Roman" w:eastAsia="仿宋_GB2312" w:cs="Times New Roman"/>
          <w:kern w:val="2"/>
          <w:sz w:val="32"/>
          <w:szCs w:val="32"/>
          <w:highlight w:val="none"/>
          <w:lang w:val="en-US" w:eastAsia="zh-CN" w:bidi="ar-SA"/>
        </w:rPr>
      </w:pPr>
      <w:r>
        <w:rPr>
          <w:rFonts w:hint="eastAsia" w:ascii="仿宋_GB2312" w:hAnsi="Times New Roman" w:eastAsia="仿宋_GB2312" w:cs="Times New Roman"/>
          <w:b/>
          <w:bCs/>
          <w:kern w:val="2"/>
          <w:sz w:val="32"/>
          <w:szCs w:val="32"/>
          <w:highlight w:val="none"/>
          <w:lang w:val="en-US" w:eastAsia="zh-CN" w:bidi="ar-SA"/>
        </w:rPr>
        <w:t>本年支出1,984.86万元，</w:t>
      </w:r>
      <w:r>
        <w:rPr>
          <w:rFonts w:hint="eastAsia" w:ascii="仿宋_GB2312" w:hAnsi="Times New Roman" w:eastAsia="仿宋_GB2312" w:cs="Times New Roman"/>
          <w:kern w:val="2"/>
          <w:sz w:val="32"/>
          <w:szCs w:val="32"/>
          <w:highlight w:val="none"/>
          <w:lang w:val="en-US" w:eastAsia="zh-CN" w:bidi="ar-SA"/>
        </w:rPr>
        <w:t>其中：基本支出1,494.61万元，占75.30%；项目支出490.25万元，占24.70%；上缴上级支出0.00万元，占0.00%；经营支出0.00万元，占0.00%；对附属单位补助支出0.00万元，占0.00%。</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40" w:firstLineChars="200"/>
        <w:jc w:val="both"/>
        <w:textAlignment w:val="auto"/>
        <w:outlineLvl w:val="1"/>
        <w:rPr>
          <w:rFonts w:hint="eastAsia" w:ascii="黑体" w:hAnsi="黑体" w:eastAsia="黑体" w:cs="宋体"/>
          <w:bCs/>
          <w:kern w:val="0"/>
          <w:sz w:val="32"/>
          <w:szCs w:val="32"/>
          <w:highlight w:val="none"/>
          <w:lang w:val="en-US" w:eastAsia="zh-CN" w:bidi="ar-SA"/>
        </w:rPr>
      </w:pPr>
      <w:r>
        <w:rPr>
          <w:rFonts w:hint="eastAsia" w:ascii="黑体" w:hAnsi="黑体" w:eastAsia="黑体" w:cs="宋体"/>
          <w:bCs/>
          <w:kern w:val="0"/>
          <w:sz w:val="32"/>
          <w:szCs w:val="32"/>
          <w:highlight w:val="none"/>
          <w:lang w:val="en-US" w:eastAsia="zh-CN" w:bidi="ar-SA"/>
        </w:rPr>
        <w:t>四、财政拨款收入支出决算总体情况说明</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240" w:lineRule="auto"/>
        <w:ind w:left="0" w:leftChars="0" w:right="0" w:rightChars="0" w:firstLine="643" w:firstLineChars="200"/>
        <w:jc w:val="both"/>
        <w:textAlignment w:val="auto"/>
        <w:rPr>
          <w:rFonts w:hint="eastAsia" w:ascii="仿宋_GB2312" w:hAnsi="Times New Roman" w:eastAsia="仿宋_GB2312" w:cs="Times New Roman"/>
          <w:kern w:val="2"/>
          <w:sz w:val="32"/>
          <w:szCs w:val="32"/>
          <w:highlight w:val="none"/>
          <w:lang w:val="en-US" w:eastAsia="zh-CN" w:bidi="ar-SA"/>
        </w:rPr>
      </w:pPr>
      <w:r>
        <w:rPr>
          <w:rFonts w:hint="eastAsia" w:ascii="仿宋_GB2312" w:hAnsi="Times New Roman" w:eastAsia="仿宋_GB2312" w:cs="Times New Roman"/>
          <w:b/>
          <w:bCs/>
          <w:spacing w:val="0"/>
          <w:kern w:val="2"/>
          <w:sz w:val="32"/>
          <w:szCs w:val="32"/>
          <w:highlight w:val="none"/>
          <w:lang w:val="en-US" w:eastAsia="zh-CN" w:bidi="ar-SA"/>
        </w:rPr>
        <w:t>2024年度财政拨款收入总计1,914.21万元，</w:t>
      </w:r>
      <w:r>
        <w:rPr>
          <w:rFonts w:hint="eastAsia" w:ascii="仿宋_GB2312" w:hAnsi="Times New Roman" w:eastAsia="仿宋_GB2312" w:cs="Times New Roman"/>
          <w:kern w:val="2"/>
          <w:sz w:val="32"/>
          <w:szCs w:val="32"/>
          <w:highlight w:val="none"/>
          <w:lang w:val="en-US" w:eastAsia="zh-CN" w:bidi="ar-SA"/>
        </w:rPr>
        <w:t>其中：年初财政拨款结转和结余0.00万元，本年财政拨款收入1,914.21万元。</w:t>
      </w:r>
      <w:r>
        <w:rPr>
          <w:rFonts w:hint="eastAsia" w:ascii="仿宋_GB2312" w:hAnsi="Times New Roman" w:eastAsia="仿宋_GB2312" w:cs="Times New Roman"/>
          <w:b/>
          <w:bCs/>
          <w:kern w:val="2"/>
          <w:sz w:val="32"/>
          <w:szCs w:val="32"/>
          <w:highlight w:val="none"/>
          <w:lang w:val="en-US" w:eastAsia="zh-CN" w:bidi="ar-SA"/>
        </w:rPr>
        <w:t>财政拨款支出总计1,914.21万元，</w:t>
      </w:r>
      <w:r>
        <w:rPr>
          <w:rFonts w:hint="eastAsia" w:ascii="仿宋_GB2312" w:hAnsi="Times New Roman" w:eastAsia="仿宋_GB2312" w:cs="Times New Roman"/>
          <w:kern w:val="2"/>
          <w:sz w:val="32"/>
          <w:szCs w:val="32"/>
          <w:highlight w:val="none"/>
          <w:lang w:val="en-US" w:eastAsia="zh-CN" w:bidi="ar-SA"/>
        </w:rPr>
        <w:t>其中：年末财政拨款结转和结余0.00万元，本年财政拨款支出1,914.21万元。</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240" w:lineRule="auto"/>
        <w:ind w:left="0" w:leftChars="0" w:right="0" w:rightChars="0" w:firstLine="643" w:firstLineChars="200"/>
        <w:jc w:val="both"/>
        <w:textAlignment w:val="auto"/>
        <w:rPr>
          <w:rFonts w:hint="eastAsia" w:ascii="仿宋_GB2312" w:eastAsia="仿宋_GB2312"/>
          <w:kern w:val="2"/>
          <w:sz w:val="32"/>
          <w:szCs w:val="32"/>
          <w:highlight w:val="none"/>
          <w:lang w:val="en-US" w:eastAsia="zh-CN" w:bidi="ar-SA"/>
        </w:rPr>
      </w:pPr>
      <w:r>
        <w:rPr>
          <w:rFonts w:hint="eastAsia" w:ascii="仿宋_GB2312" w:hAnsi="仿宋_GB2312" w:eastAsia="仿宋_GB2312" w:cs="仿宋_GB2312"/>
          <w:b/>
          <w:bCs w:val="0"/>
          <w:kern w:val="0"/>
          <w:sz w:val="32"/>
          <w:szCs w:val="32"/>
          <w:highlight w:val="none"/>
          <w:lang w:val="en-US" w:eastAsia="zh-CN" w:bidi="ar-SA"/>
        </w:rPr>
        <w:t>财政拨款收入支出总体与上年相比，</w:t>
      </w:r>
      <w:r>
        <w:rPr>
          <w:rFonts w:hint="eastAsia" w:ascii="仿宋_GB2312" w:hAnsi="Times New Roman" w:eastAsia="仿宋_GB2312" w:cs="Times New Roman"/>
          <w:kern w:val="2"/>
          <w:sz w:val="32"/>
          <w:szCs w:val="32"/>
          <w:highlight w:val="none"/>
          <w:lang w:val="en-US" w:eastAsia="zh-CN" w:bidi="ar-SA"/>
        </w:rPr>
        <w:t>减少623.28万元，下降</w:t>
      </w:r>
      <w:r>
        <w:rPr>
          <w:rFonts w:hint="eastAsia" w:ascii="仿宋_GB2312" w:eastAsia="仿宋_GB2312"/>
          <w:kern w:val="2"/>
          <w:sz w:val="32"/>
          <w:szCs w:val="32"/>
          <w:highlight w:val="none"/>
          <w:lang w:val="en-US" w:eastAsia="zh-CN" w:bidi="ar-SA"/>
        </w:rPr>
        <w:t>24.56%，主要原因是：减少了新疆维吾尔自治区兽药质量及兽药残留检测实验室改扩建项目经费。</w:t>
      </w:r>
      <w:r>
        <w:rPr>
          <w:rFonts w:hint="eastAsia" w:ascii="仿宋_GB2312" w:eastAsia="仿宋_GB2312"/>
          <w:b/>
          <w:bCs/>
          <w:kern w:val="2"/>
          <w:sz w:val="32"/>
          <w:szCs w:val="32"/>
          <w:highlight w:val="none"/>
          <w:lang w:val="en-US" w:eastAsia="zh-CN" w:bidi="ar-SA"/>
        </w:rPr>
        <w:t>与年初预算相比，</w:t>
      </w:r>
      <w:r>
        <w:rPr>
          <w:rFonts w:hint="eastAsia" w:ascii="仿宋_GB2312" w:eastAsia="仿宋_GB2312"/>
          <w:kern w:val="2"/>
          <w:sz w:val="32"/>
          <w:szCs w:val="32"/>
          <w:highlight w:val="none"/>
          <w:lang w:val="en-US" w:eastAsia="zh-CN" w:bidi="ar-SA"/>
        </w:rPr>
        <w:t>年初预算数1,824.99万元，决算数1,914.21万元，预决算差异率4.89%，主要原因是：2024年度追加预算，包括：基本支出中增加2023年年度考核奖（新财农[2024]012号）、丧葬费抚恤金（新财农[2024]014号）、民族团结一家亲结对认亲交通费（新财农[2024]019号）、三季度职业年金（新财农[2024]072号）、调增基本工资（新财农[2024]104号）等人员公用经费预算。</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40" w:firstLineChars="200"/>
        <w:jc w:val="both"/>
        <w:textAlignment w:val="auto"/>
        <w:outlineLvl w:val="1"/>
        <w:rPr>
          <w:rFonts w:hint="eastAsia" w:ascii="黑体" w:hAnsi="黑体" w:eastAsia="黑体" w:cs="宋体"/>
          <w:bCs/>
          <w:kern w:val="0"/>
          <w:sz w:val="32"/>
          <w:szCs w:val="32"/>
          <w:highlight w:val="none"/>
          <w:lang w:val="en-US" w:eastAsia="zh-CN" w:bidi="ar-SA"/>
        </w:rPr>
      </w:pPr>
      <w:r>
        <w:rPr>
          <w:rFonts w:hint="eastAsia" w:ascii="黑体" w:hAnsi="黑体" w:eastAsia="黑体" w:cs="宋体"/>
          <w:bCs/>
          <w:kern w:val="0"/>
          <w:sz w:val="32"/>
          <w:szCs w:val="32"/>
          <w:highlight w:val="none"/>
          <w:lang w:val="en-US" w:eastAsia="zh-CN" w:bidi="ar-SA"/>
        </w:rPr>
        <w:t>五、一般公共预算财政拨款支出决算情况说明</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40" w:firstLineChars="200"/>
        <w:textAlignment w:val="auto"/>
        <w:outlineLvl w:val="2"/>
        <w:rPr>
          <w:rFonts w:hint="eastAsia" w:ascii="黑体" w:hAnsi="黑体" w:eastAsia="黑体" w:cs="Times New Roman"/>
          <w:kern w:val="2"/>
          <w:sz w:val="32"/>
          <w:szCs w:val="32"/>
          <w:highlight w:val="none"/>
          <w:lang w:val="en-US" w:eastAsia="zh-CN" w:bidi="ar-SA"/>
        </w:rPr>
      </w:pPr>
      <w:r>
        <w:rPr>
          <w:rFonts w:hint="eastAsia" w:ascii="黑体" w:hAnsi="黑体" w:eastAsia="黑体" w:cs="Times New Roman"/>
          <w:kern w:val="2"/>
          <w:sz w:val="32"/>
          <w:szCs w:val="32"/>
          <w:highlight w:val="none"/>
          <w:lang w:val="en-US" w:eastAsia="zh-CN" w:bidi="ar-SA"/>
        </w:rPr>
        <w:t>（一）一般公共预算财政拨款支出决算总体情况</w:t>
      </w:r>
    </w:p>
    <w:p>
      <w:pPr>
        <w:keepNext w:val="0"/>
        <w:keepLines w:val="0"/>
        <w:pageBreakBefore w:val="0"/>
        <w:widowControl/>
        <w:kinsoku/>
        <w:wordWrap/>
        <w:overflowPunct/>
        <w:topLinePunct w:val="0"/>
        <w:autoSpaceDE/>
        <w:autoSpaceDN/>
        <w:bidi w:val="0"/>
        <w:adjustRightInd/>
        <w:snapToGrid/>
        <w:spacing w:beforeAutospacing="0" w:afterAutospacing="0" w:line="240" w:lineRule="auto"/>
        <w:ind w:left="0" w:leftChars="0" w:right="0" w:rightChars="0" w:firstLine="643" w:firstLineChars="200"/>
        <w:jc w:val="both"/>
        <w:textAlignment w:val="auto"/>
        <w:outlineLvl w:val="9"/>
        <w:rPr>
          <w:rFonts w:hint="eastAsia" w:ascii="仿宋_GB2312" w:hAnsi="Times New Roman" w:eastAsia="仿宋_GB2312" w:cs="Times New Roman"/>
          <w:spacing w:val="0"/>
          <w:kern w:val="2"/>
          <w:sz w:val="32"/>
          <w:szCs w:val="32"/>
          <w:highlight w:val="none"/>
          <w:lang w:val="en-US" w:eastAsia="zh-CN" w:bidi="ar-SA"/>
        </w:rPr>
      </w:pPr>
      <w:r>
        <w:rPr>
          <w:rFonts w:hint="eastAsia" w:ascii="仿宋_GB2312" w:hAnsi="Times New Roman" w:eastAsia="仿宋_GB2312" w:cs="Times New Roman"/>
          <w:b/>
          <w:bCs/>
          <w:spacing w:val="0"/>
          <w:kern w:val="2"/>
          <w:sz w:val="32"/>
          <w:szCs w:val="32"/>
          <w:highlight w:val="none"/>
          <w:lang w:val="en-US" w:eastAsia="zh-CN" w:bidi="ar-SA"/>
        </w:rPr>
        <w:t>2024年度一般公共预算财政拨款支出1,914.21万元，</w:t>
      </w:r>
      <w:r>
        <w:rPr>
          <w:rFonts w:hint="eastAsia" w:ascii="仿宋_GB2312" w:hAnsi="Times New Roman" w:eastAsia="仿宋_GB2312" w:cs="Times New Roman"/>
          <w:spacing w:val="0"/>
          <w:kern w:val="2"/>
          <w:sz w:val="32"/>
          <w:szCs w:val="32"/>
          <w:highlight w:val="none"/>
          <w:lang w:val="en-US" w:eastAsia="zh-CN" w:bidi="ar-SA"/>
        </w:rPr>
        <w:t>占本年支出合计的96.44%。</w:t>
      </w:r>
      <w:r>
        <w:rPr>
          <w:rFonts w:hint="eastAsia" w:ascii="仿宋_GB2312" w:hAnsi="Times New Roman" w:eastAsia="仿宋_GB2312" w:cs="Times New Roman"/>
          <w:b/>
          <w:bCs/>
          <w:spacing w:val="0"/>
          <w:kern w:val="2"/>
          <w:sz w:val="32"/>
          <w:szCs w:val="32"/>
          <w:highlight w:val="none"/>
          <w:lang w:val="en-US" w:eastAsia="zh-CN" w:bidi="ar-SA"/>
        </w:rPr>
        <w:t>与上年相比，</w:t>
      </w:r>
      <w:r>
        <w:rPr>
          <w:rFonts w:hint="eastAsia" w:ascii="仿宋_GB2312" w:eastAsia="仿宋_GB2312"/>
          <w:kern w:val="2"/>
          <w:sz w:val="32"/>
          <w:szCs w:val="32"/>
          <w:highlight w:val="none"/>
          <w:lang w:val="en-US" w:eastAsia="zh-CN" w:bidi="ar-SA"/>
        </w:rPr>
        <w:t>减少623.28万元，下降24.56%，主要原因是：减少了新疆维吾尔自治区兽药质量及兽药残留检测实验室改扩建项目经费支出。</w:t>
      </w:r>
      <w:r>
        <w:rPr>
          <w:rFonts w:hint="eastAsia" w:ascii="仿宋_GB2312" w:hAnsi="Times New Roman" w:eastAsia="仿宋_GB2312" w:cs="Times New Roman"/>
          <w:b/>
          <w:bCs/>
          <w:spacing w:val="0"/>
          <w:kern w:val="2"/>
          <w:sz w:val="32"/>
          <w:szCs w:val="32"/>
          <w:highlight w:val="none"/>
          <w:lang w:val="en-US" w:eastAsia="zh-CN" w:bidi="ar-SA"/>
        </w:rPr>
        <w:t>与年初预算相比，</w:t>
      </w:r>
      <w:r>
        <w:rPr>
          <w:rFonts w:hint="eastAsia" w:ascii="仿宋_GB2312" w:eastAsia="仿宋_GB2312"/>
          <w:kern w:val="2"/>
          <w:sz w:val="32"/>
          <w:szCs w:val="32"/>
          <w:highlight w:val="none"/>
          <w:lang w:val="en-US" w:eastAsia="zh-CN" w:bidi="ar-SA"/>
        </w:rPr>
        <w:t>年初预算数1,824.99万元，决算数1,914.21万元，预决算差异率4.89%，主要原因是：基本支出中增加2023年年度考核奖、丧葬费抚恤金、民族团结一家亲结对认亲交通费、三季度职业年金、调增基本工资等人员公用经费预算支出。</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40" w:firstLineChars="200"/>
        <w:textAlignment w:val="auto"/>
        <w:outlineLvl w:val="2"/>
        <w:rPr>
          <w:rFonts w:hint="eastAsia" w:ascii="黑体" w:hAnsi="黑体" w:eastAsia="黑体" w:cs="Times New Roman"/>
          <w:kern w:val="2"/>
          <w:sz w:val="32"/>
          <w:szCs w:val="32"/>
          <w:highlight w:val="none"/>
          <w:lang w:val="en-US" w:eastAsia="zh-CN" w:bidi="ar-SA"/>
        </w:rPr>
      </w:pPr>
      <w:r>
        <w:rPr>
          <w:rFonts w:hint="eastAsia" w:ascii="黑体" w:hAnsi="黑体" w:eastAsia="黑体" w:cs="Times New Roman"/>
          <w:kern w:val="2"/>
          <w:sz w:val="32"/>
          <w:szCs w:val="32"/>
          <w:highlight w:val="none"/>
          <w:lang w:val="en-US" w:eastAsia="zh-CN" w:bidi="ar-SA"/>
        </w:rPr>
        <w:t>（二）一般公共预算财政拨款支出决算结构情况</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40" w:firstLineChars="200"/>
        <w:jc w:val="both"/>
        <w:textAlignment w:val="auto"/>
        <w:rPr>
          <w:rFonts w:hint="eastAsia" w:ascii="仿宋_GB2312" w:hAnsi="仿宋_GB2312" w:eastAsia="仿宋_GB2312" w:cs="仿宋_GB2312"/>
          <w:kern w:val="2"/>
          <w:sz w:val="32"/>
          <w:szCs w:val="32"/>
          <w:highlight w:val="none"/>
          <w:lang w:val="en-US" w:eastAsia="zh-CN" w:bidi="ar-SA"/>
        </w:rPr>
      </w:pPr>
      <w:r>
        <w:rPr>
          <w:rFonts w:hint="eastAsia" w:ascii="仿宋_GB2312" w:hAnsi="仿宋_GB2312" w:eastAsia="仿宋_GB2312" w:cs="仿宋_GB2312"/>
          <w:kern w:val="2"/>
          <w:sz w:val="32"/>
          <w:szCs w:val="32"/>
          <w:highlight w:val="none"/>
          <w:lang w:val="en-US" w:eastAsia="zh-CN" w:bidi="ar-SA"/>
        </w:rPr>
        <w:t>1.社会保障和就业支出（类）245.35万元，占12.82%。</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40" w:firstLineChars="200"/>
        <w:jc w:val="both"/>
        <w:textAlignment w:val="auto"/>
        <w:rPr>
          <w:rFonts w:hint="eastAsia" w:ascii="仿宋_GB2312" w:hAnsi="仿宋_GB2312" w:eastAsia="仿宋_GB2312" w:cs="仿宋_GB2312"/>
          <w:kern w:val="2"/>
          <w:sz w:val="32"/>
          <w:szCs w:val="32"/>
          <w:highlight w:val="none"/>
          <w:lang w:val="en-US" w:eastAsia="zh-CN" w:bidi="ar-SA"/>
        </w:rPr>
      </w:pPr>
      <w:r>
        <w:rPr>
          <w:rFonts w:hint="eastAsia" w:ascii="仿宋_GB2312" w:hAnsi="仿宋_GB2312" w:eastAsia="仿宋_GB2312" w:cs="仿宋_GB2312"/>
          <w:kern w:val="2"/>
          <w:sz w:val="32"/>
          <w:szCs w:val="32"/>
          <w:highlight w:val="none"/>
          <w:lang w:val="en-US" w:eastAsia="zh-CN" w:bidi="ar-SA"/>
        </w:rPr>
        <w:t>2.卫生健康支出（类）119.46万元，占6.24%。</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40" w:firstLineChars="200"/>
        <w:jc w:val="both"/>
        <w:textAlignment w:val="auto"/>
        <w:rPr>
          <w:rFonts w:hint="eastAsia" w:ascii="仿宋_GB2312" w:hAnsi="仿宋_GB2312" w:eastAsia="仿宋_GB2312" w:cs="仿宋_GB2312"/>
          <w:kern w:val="2"/>
          <w:sz w:val="32"/>
          <w:szCs w:val="32"/>
          <w:highlight w:val="none"/>
          <w:lang w:val="en-US" w:eastAsia="zh-CN" w:bidi="ar-SA"/>
        </w:rPr>
      </w:pPr>
      <w:r>
        <w:rPr>
          <w:rFonts w:hint="eastAsia" w:ascii="仿宋_GB2312" w:hAnsi="仿宋_GB2312" w:eastAsia="仿宋_GB2312" w:cs="仿宋_GB2312"/>
          <w:kern w:val="2"/>
          <w:sz w:val="32"/>
          <w:szCs w:val="32"/>
          <w:highlight w:val="none"/>
          <w:lang w:val="en-US" w:eastAsia="zh-CN" w:bidi="ar-SA"/>
        </w:rPr>
        <w:t>3.农林水支出（类）1,450.53万元，占75.78%。</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40" w:firstLineChars="200"/>
        <w:jc w:val="both"/>
        <w:textAlignment w:val="auto"/>
        <w:rPr>
          <w:rFonts w:hint="eastAsia" w:ascii="仿宋_GB2312" w:hAnsi="仿宋_GB2312" w:eastAsia="仿宋_GB2312" w:cs="仿宋_GB2312"/>
          <w:kern w:val="2"/>
          <w:sz w:val="32"/>
          <w:szCs w:val="32"/>
          <w:highlight w:val="none"/>
          <w:lang w:val="en-US" w:eastAsia="zh-CN" w:bidi="ar-SA"/>
        </w:rPr>
      </w:pPr>
      <w:r>
        <w:rPr>
          <w:rFonts w:hint="eastAsia" w:ascii="仿宋_GB2312" w:hAnsi="仿宋_GB2312" w:eastAsia="仿宋_GB2312" w:cs="仿宋_GB2312"/>
          <w:kern w:val="2"/>
          <w:sz w:val="32"/>
          <w:szCs w:val="32"/>
          <w:highlight w:val="none"/>
          <w:lang w:val="en-US" w:eastAsia="zh-CN" w:bidi="ar-SA"/>
        </w:rPr>
        <w:t>4.住房保障支出（类）98.87万元，占5.17%。</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40" w:firstLineChars="200"/>
        <w:textAlignment w:val="auto"/>
        <w:outlineLvl w:val="2"/>
        <w:rPr>
          <w:rFonts w:hint="eastAsia" w:ascii="黑体" w:hAnsi="黑体" w:eastAsia="黑体" w:cs="Times New Roman"/>
          <w:kern w:val="2"/>
          <w:sz w:val="32"/>
          <w:szCs w:val="32"/>
          <w:highlight w:val="none"/>
          <w:lang w:val="en-US" w:eastAsia="zh-CN" w:bidi="ar-SA"/>
        </w:rPr>
      </w:pPr>
      <w:r>
        <w:rPr>
          <w:rFonts w:hint="eastAsia" w:ascii="黑体" w:hAnsi="黑体" w:eastAsia="黑体" w:cs="Times New Roman"/>
          <w:kern w:val="2"/>
          <w:sz w:val="32"/>
          <w:szCs w:val="32"/>
          <w:highlight w:val="none"/>
          <w:lang w:val="en-US" w:eastAsia="zh-CN" w:bidi="ar-SA"/>
        </w:rPr>
        <w:t>（三）一般公共预算财政拨款支出决算具体情况</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40" w:firstLineChars="200"/>
        <w:jc w:val="both"/>
        <w:textAlignment w:val="auto"/>
        <w:rPr>
          <w:rFonts w:hint="eastAsia" w:ascii="仿宋_GB2312" w:hAnsi="仿宋_GB2312" w:eastAsia="仿宋_GB2312" w:cs="仿宋_GB2312"/>
          <w:kern w:val="0"/>
          <w:sz w:val="32"/>
          <w:szCs w:val="32"/>
          <w:highlight w:val="none"/>
          <w:lang w:val="en-US" w:eastAsia="zh-CN" w:bidi="ar-SA"/>
        </w:rPr>
      </w:pPr>
      <w:r>
        <w:rPr>
          <w:rFonts w:hint="eastAsia" w:ascii="仿宋_GB2312" w:hAnsi="仿宋_GB2312" w:eastAsia="仿宋_GB2312" w:cs="仿宋_GB2312"/>
          <w:kern w:val="0"/>
          <w:sz w:val="32"/>
          <w:szCs w:val="32"/>
          <w:highlight w:val="none"/>
          <w:lang w:val="en-US" w:eastAsia="zh-CN" w:bidi="ar-SA"/>
        </w:rPr>
        <w:t>1.社会保障和就业支出（类）行政事业单位养老支出（款）事业单位离退休（项）：支出决算数为86.09万元，比上年决算增加14.13万元，增长19.64%，主要原因是：在职转退休2人，退休人员增加，支出决算数增加。</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40" w:firstLineChars="200"/>
        <w:jc w:val="both"/>
        <w:textAlignment w:val="auto"/>
        <w:rPr>
          <w:rFonts w:hint="eastAsia" w:ascii="仿宋_GB2312" w:hAnsi="仿宋_GB2312" w:eastAsia="仿宋_GB2312" w:cs="仿宋_GB2312"/>
          <w:kern w:val="0"/>
          <w:sz w:val="32"/>
          <w:szCs w:val="32"/>
          <w:highlight w:val="none"/>
          <w:lang w:val="en-US" w:eastAsia="zh-CN" w:bidi="ar-SA"/>
        </w:rPr>
      </w:pPr>
      <w:r>
        <w:rPr>
          <w:rFonts w:hint="eastAsia" w:ascii="仿宋_GB2312" w:hAnsi="仿宋_GB2312" w:eastAsia="仿宋_GB2312" w:cs="仿宋_GB2312"/>
          <w:kern w:val="0"/>
          <w:sz w:val="32"/>
          <w:szCs w:val="32"/>
          <w:highlight w:val="none"/>
          <w:lang w:val="en-US" w:eastAsia="zh-CN" w:bidi="ar-SA"/>
        </w:rPr>
        <w:t>2.社会保障和就业支出（类）行政事业单位养老支出（款）机关事业单位基本养老保险缴费支出（项）：支出决算数为131.82万元，比上年决算增加9.54万元，增长7.80%，主要原因是：工资调增，人员经费增加。</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40" w:firstLineChars="200"/>
        <w:jc w:val="both"/>
        <w:textAlignment w:val="auto"/>
        <w:rPr>
          <w:rFonts w:hint="eastAsia" w:ascii="仿宋_GB2312" w:hAnsi="仿宋_GB2312" w:eastAsia="仿宋_GB2312" w:cs="仿宋_GB2312"/>
          <w:kern w:val="0"/>
          <w:sz w:val="32"/>
          <w:szCs w:val="32"/>
          <w:highlight w:val="none"/>
          <w:lang w:val="en-US" w:eastAsia="zh-CN" w:bidi="ar-SA"/>
        </w:rPr>
      </w:pPr>
      <w:r>
        <w:rPr>
          <w:rFonts w:hint="eastAsia" w:ascii="仿宋_GB2312" w:hAnsi="仿宋_GB2312" w:eastAsia="仿宋_GB2312" w:cs="仿宋_GB2312"/>
          <w:kern w:val="0"/>
          <w:sz w:val="32"/>
          <w:szCs w:val="32"/>
          <w:highlight w:val="none"/>
          <w:lang w:val="en-US" w:eastAsia="zh-CN" w:bidi="ar-SA"/>
        </w:rPr>
        <w:t>3.社会保障和就业支出（类）行政事业单位养老支出（款）机关事业单位职业年金缴费支出（项）：支出决算数为27.44万元，比上年决算减少4.81万元，下降14.91%，主要原因是：本年新增退休人员发放较上年减少</w:t>
      </w:r>
      <w:r>
        <w:rPr>
          <w:rFonts w:hint="eastAsia" w:ascii="仿宋_GB2312" w:hAnsi="仿宋_GB2312" w:eastAsia="仿宋_GB2312" w:cs="仿宋_GB2312"/>
          <w:kern w:val="0"/>
          <w:sz w:val="32"/>
          <w:szCs w:val="32"/>
          <w:highlight w:val="none"/>
          <w:lang w:val="en-US" w:eastAsia="zh-CN" w:bidi="ar-SA"/>
        </w:rPr>
        <w:t>。</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40" w:firstLineChars="200"/>
        <w:jc w:val="both"/>
        <w:textAlignment w:val="auto"/>
        <w:rPr>
          <w:rFonts w:hint="eastAsia" w:ascii="仿宋_GB2312" w:hAnsi="仿宋_GB2312" w:eastAsia="仿宋_GB2312" w:cs="仿宋_GB2312"/>
          <w:kern w:val="0"/>
          <w:sz w:val="32"/>
          <w:szCs w:val="32"/>
          <w:highlight w:val="none"/>
          <w:lang w:val="en-US" w:eastAsia="zh-CN" w:bidi="ar-SA"/>
        </w:rPr>
      </w:pPr>
      <w:r>
        <w:rPr>
          <w:rFonts w:hint="eastAsia" w:ascii="仿宋_GB2312" w:hAnsi="仿宋_GB2312" w:eastAsia="仿宋_GB2312" w:cs="仿宋_GB2312"/>
          <w:kern w:val="0"/>
          <w:sz w:val="32"/>
          <w:szCs w:val="32"/>
          <w:highlight w:val="none"/>
          <w:lang w:val="en-US" w:eastAsia="zh-CN" w:bidi="ar-SA"/>
        </w:rPr>
        <w:t>4.卫生健康支出（类）行政事业单位医疗（款）事业单位医疗（项）：支出决算数为61.79万元，比上年决算增加4.47万元，增长7.80%，主要原因是：工资调增，人员经费增加。</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40" w:firstLineChars="200"/>
        <w:jc w:val="both"/>
        <w:textAlignment w:val="auto"/>
        <w:rPr>
          <w:rFonts w:hint="eastAsia" w:ascii="仿宋_GB2312" w:hAnsi="仿宋_GB2312" w:eastAsia="仿宋_GB2312" w:cs="仿宋_GB2312"/>
          <w:kern w:val="0"/>
          <w:sz w:val="32"/>
          <w:szCs w:val="32"/>
          <w:highlight w:val="none"/>
          <w:lang w:val="en-US" w:eastAsia="zh-CN" w:bidi="ar-SA"/>
        </w:rPr>
      </w:pPr>
      <w:r>
        <w:rPr>
          <w:rFonts w:hint="eastAsia" w:ascii="仿宋_GB2312" w:hAnsi="仿宋_GB2312" w:eastAsia="仿宋_GB2312" w:cs="仿宋_GB2312"/>
          <w:kern w:val="0"/>
          <w:sz w:val="32"/>
          <w:szCs w:val="32"/>
          <w:highlight w:val="none"/>
          <w:lang w:val="en-US" w:eastAsia="zh-CN" w:bidi="ar-SA"/>
        </w:rPr>
        <w:t>5.卫生健康支出（类）行政事业单位医疗（款）公务员医疗补助（项）：支出决算数为57.67万元，比上年决算增加4.17万元，增长7.79%，主要原因是：工资调增，人员经费增加。</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40" w:firstLineChars="200"/>
        <w:jc w:val="both"/>
        <w:textAlignment w:val="auto"/>
        <w:rPr>
          <w:rFonts w:hint="eastAsia" w:ascii="仿宋_GB2312" w:hAnsi="仿宋_GB2312" w:eastAsia="仿宋_GB2312" w:cs="仿宋_GB2312"/>
          <w:kern w:val="0"/>
          <w:sz w:val="32"/>
          <w:szCs w:val="32"/>
          <w:highlight w:val="none"/>
          <w:lang w:val="en-US" w:eastAsia="zh-CN" w:bidi="ar-SA"/>
        </w:rPr>
      </w:pPr>
      <w:r>
        <w:rPr>
          <w:rFonts w:hint="eastAsia" w:ascii="仿宋_GB2312" w:hAnsi="仿宋_GB2312" w:eastAsia="仿宋_GB2312" w:cs="仿宋_GB2312"/>
          <w:kern w:val="0"/>
          <w:sz w:val="32"/>
          <w:szCs w:val="32"/>
          <w:highlight w:val="none"/>
          <w:lang w:val="en-US" w:eastAsia="zh-CN" w:bidi="ar-SA"/>
        </w:rPr>
        <w:t>6.农林水支出（类）农业农村（款）事业运行（项）：支出决算数为1,030.53万元，比上年决算增加27.06万元，增长2.70%，主要原因是：政策性增资，人员公用经费增加。</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40" w:firstLineChars="200"/>
        <w:jc w:val="both"/>
        <w:textAlignment w:val="auto"/>
        <w:rPr>
          <w:rFonts w:hint="eastAsia" w:ascii="仿宋_GB2312" w:hAnsi="仿宋_GB2312" w:eastAsia="仿宋_GB2312" w:cs="仿宋_GB2312"/>
          <w:kern w:val="0"/>
          <w:sz w:val="32"/>
          <w:szCs w:val="32"/>
          <w:highlight w:val="none"/>
          <w:lang w:val="en-US" w:eastAsia="zh-CN" w:bidi="ar-SA"/>
        </w:rPr>
      </w:pPr>
      <w:r>
        <w:rPr>
          <w:rFonts w:hint="eastAsia" w:ascii="仿宋_GB2312" w:hAnsi="仿宋_GB2312" w:eastAsia="仿宋_GB2312" w:cs="仿宋_GB2312"/>
          <w:kern w:val="0"/>
          <w:sz w:val="32"/>
          <w:szCs w:val="32"/>
          <w:highlight w:val="none"/>
          <w:lang w:val="en-US" w:eastAsia="zh-CN" w:bidi="ar-SA"/>
        </w:rPr>
        <w:t>7.农林水支出（类）农业农村（款）病虫害控制（项）：支出决算数为25.00万元，比上年决算减少715.00万元，下降96.62%，主要原因是：减少了新疆维吾尔自治区兽药质量及兽药残留检测实验室改扩建项目资金支出。</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40" w:firstLineChars="200"/>
        <w:jc w:val="both"/>
        <w:textAlignment w:val="auto"/>
        <w:rPr>
          <w:rFonts w:hint="eastAsia" w:ascii="仿宋_GB2312" w:hAnsi="仿宋_GB2312" w:eastAsia="仿宋_GB2312" w:cs="仿宋_GB2312"/>
          <w:kern w:val="0"/>
          <w:sz w:val="32"/>
          <w:szCs w:val="32"/>
          <w:highlight w:val="none"/>
          <w:lang w:val="en-US" w:eastAsia="zh-CN" w:bidi="ar-SA"/>
        </w:rPr>
      </w:pPr>
      <w:r>
        <w:rPr>
          <w:rFonts w:hint="eastAsia" w:ascii="仿宋_GB2312" w:hAnsi="仿宋_GB2312" w:eastAsia="仿宋_GB2312" w:cs="仿宋_GB2312"/>
          <w:kern w:val="0"/>
          <w:sz w:val="32"/>
          <w:szCs w:val="32"/>
          <w:highlight w:val="none"/>
          <w:lang w:val="en-US" w:eastAsia="zh-CN" w:bidi="ar-SA"/>
        </w:rPr>
        <w:t>8.农林水支出（类）农业农村（款）农产品质量安全（项）：支出决算数为355.00万元，比上年决算增加30.00万元，增长9.23%，主要原因是：增加了农产品质量安全项目资金支出。</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40" w:firstLineChars="200"/>
        <w:jc w:val="both"/>
        <w:textAlignment w:val="auto"/>
        <w:rPr>
          <w:rFonts w:hint="eastAsia" w:ascii="仿宋_GB2312" w:hAnsi="仿宋_GB2312" w:eastAsia="仿宋_GB2312" w:cs="仿宋_GB2312"/>
          <w:kern w:val="0"/>
          <w:sz w:val="32"/>
          <w:szCs w:val="32"/>
          <w:highlight w:val="none"/>
          <w:lang w:val="en-US" w:eastAsia="zh-CN" w:bidi="ar-SA"/>
        </w:rPr>
      </w:pPr>
      <w:r>
        <w:rPr>
          <w:rFonts w:hint="eastAsia" w:ascii="仿宋_GB2312" w:hAnsi="仿宋_GB2312" w:eastAsia="仿宋_GB2312" w:cs="仿宋_GB2312"/>
          <w:kern w:val="0"/>
          <w:sz w:val="32"/>
          <w:szCs w:val="32"/>
          <w:highlight w:val="none"/>
          <w:lang w:val="en-US" w:eastAsia="zh-CN" w:bidi="ar-SA"/>
        </w:rPr>
        <w:t>9.农林水支出（类）农业农村（款）农业生产发展（项）：支出决算数为40.00万元，与上年相比无变化，主要原因是：参照上年自治区畜牧业生产发展项目预算数安排。</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40" w:firstLineChars="200"/>
        <w:jc w:val="both"/>
        <w:textAlignment w:val="auto"/>
        <w:rPr>
          <w:rFonts w:hint="eastAsia" w:ascii="仿宋_GB2312" w:hAnsi="仿宋_GB2312" w:eastAsia="仿宋_GB2312" w:cs="仿宋_GB2312"/>
          <w:kern w:val="0"/>
          <w:sz w:val="32"/>
          <w:szCs w:val="32"/>
          <w:highlight w:val="none"/>
          <w:lang w:val="en-US" w:eastAsia="zh-CN" w:bidi="ar-SA"/>
        </w:rPr>
      </w:pPr>
      <w:r>
        <w:rPr>
          <w:rFonts w:hint="eastAsia" w:ascii="仿宋_GB2312" w:hAnsi="仿宋_GB2312" w:eastAsia="仿宋_GB2312" w:cs="仿宋_GB2312"/>
          <w:kern w:val="0"/>
          <w:sz w:val="32"/>
          <w:szCs w:val="32"/>
          <w:highlight w:val="none"/>
          <w:lang w:val="en-US" w:eastAsia="zh-CN" w:bidi="ar-SA"/>
        </w:rPr>
        <w:t>10.住房保障支出（类）住房改革支出（款）住房公积金（项）：支出决算数为98.87万元，比上年决算增加7.16万元，增长7.81%，主要原因是：工资调增，住房公积金支出增加。</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40" w:firstLineChars="200"/>
        <w:jc w:val="both"/>
        <w:textAlignment w:val="auto"/>
        <w:outlineLvl w:val="1"/>
        <w:rPr>
          <w:rFonts w:hint="eastAsia" w:ascii="黑体" w:hAnsi="黑体" w:eastAsia="黑体" w:cs="宋体"/>
          <w:bCs/>
          <w:kern w:val="0"/>
          <w:sz w:val="32"/>
          <w:szCs w:val="32"/>
          <w:highlight w:val="none"/>
          <w:lang w:val="en-US" w:eastAsia="zh-CN" w:bidi="ar-SA"/>
        </w:rPr>
      </w:pPr>
      <w:r>
        <w:rPr>
          <w:rFonts w:hint="eastAsia" w:ascii="黑体" w:hAnsi="黑体" w:eastAsia="黑体" w:cs="宋体"/>
          <w:bCs/>
          <w:kern w:val="0"/>
          <w:sz w:val="32"/>
          <w:szCs w:val="32"/>
          <w:highlight w:val="none"/>
          <w:lang w:val="en-US" w:eastAsia="zh-CN" w:bidi="ar-SA"/>
        </w:rPr>
        <w:t>六、一般公共预算财政拨款基本支出决算情况说明</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240" w:lineRule="auto"/>
        <w:ind w:left="0" w:leftChars="0" w:right="0" w:rightChars="0" w:firstLine="640" w:firstLineChars="200"/>
        <w:jc w:val="both"/>
        <w:textAlignment w:val="auto"/>
        <w:rPr>
          <w:rFonts w:hint="eastAsia" w:ascii="仿宋_GB2312" w:hAnsi="仿宋_GB2312" w:eastAsia="仿宋_GB2312" w:cs="仿宋_GB2312"/>
          <w:kern w:val="0"/>
          <w:sz w:val="32"/>
          <w:szCs w:val="32"/>
          <w:highlight w:val="none"/>
          <w:lang w:val="en-US" w:eastAsia="zh-CN" w:bidi="ar-SA"/>
        </w:rPr>
      </w:pPr>
      <w:r>
        <w:rPr>
          <w:rFonts w:hint="eastAsia" w:ascii="仿宋_GB2312" w:eastAsia="仿宋_GB2312"/>
          <w:kern w:val="2"/>
          <w:sz w:val="32"/>
          <w:szCs w:val="32"/>
          <w:highlight w:val="none"/>
          <w:lang w:val="en-US" w:eastAsia="zh-CN" w:bidi="ar-SA"/>
        </w:rPr>
        <w:t>2024年度一般公共预算财政拨款基本支出1,494.21万元，其中：</w:t>
      </w:r>
      <w:r>
        <w:rPr>
          <w:rFonts w:hint="eastAsia" w:ascii="仿宋_GB2312" w:eastAsia="仿宋_GB2312"/>
          <w:b/>
          <w:bCs/>
          <w:kern w:val="2"/>
          <w:sz w:val="32"/>
          <w:szCs w:val="32"/>
          <w:highlight w:val="none"/>
          <w:lang w:val="en-US" w:eastAsia="zh-CN" w:bidi="ar-SA"/>
        </w:rPr>
        <w:t>人员经费1,393.15万元，</w:t>
      </w:r>
      <w:r>
        <w:rPr>
          <w:rFonts w:hint="eastAsia" w:ascii="仿宋_GB2312" w:hAnsi="仿宋_GB2312" w:eastAsia="仿宋_GB2312" w:cs="仿宋_GB2312"/>
          <w:kern w:val="0"/>
          <w:sz w:val="32"/>
          <w:szCs w:val="32"/>
          <w:highlight w:val="none"/>
          <w:lang w:val="en-US" w:eastAsia="zh-CN" w:bidi="ar-SA"/>
        </w:rPr>
        <w:t>包括：基本工资、津贴补贴、奖金、绩效工资、机关事业单位基本养老保险缴费、职业年金缴费、职工基本医疗保险缴费、公务员医疗补助缴费、其他社会保障缴费、住房公积金、其他工资福利支出、退休费、抚恤金、奖励金和其他对个人和家庭的补助。</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240" w:lineRule="auto"/>
        <w:ind w:left="0" w:leftChars="0" w:right="0" w:rightChars="0" w:firstLine="643" w:firstLineChars="200"/>
        <w:jc w:val="both"/>
        <w:textAlignment w:val="auto"/>
        <w:rPr>
          <w:rFonts w:hint="eastAsia" w:ascii="仿宋_GB2312" w:eastAsia="仿宋_GB2312"/>
          <w:spacing w:val="0"/>
          <w:kern w:val="2"/>
          <w:sz w:val="32"/>
          <w:szCs w:val="32"/>
          <w:highlight w:val="none"/>
          <w:lang w:val="en-US" w:eastAsia="zh-CN" w:bidi="ar-SA"/>
        </w:rPr>
      </w:pPr>
      <w:r>
        <w:rPr>
          <w:rFonts w:hint="eastAsia" w:ascii="仿宋_GB2312" w:eastAsia="仿宋_GB2312"/>
          <w:b/>
          <w:bCs/>
          <w:kern w:val="2"/>
          <w:sz w:val="32"/>
          <w:szCs w:val="32"/>
          <w:highlight w:val="none"/>
          <w:lang w:val="en-US" w:eastAsia="zh-CN" w:bidi="ar-SA"/>
        </w:rPr>
        <w:t>公用经费101.06万元，</w:t>
      </w:r>
      <w:r>
        <w:rPr>
          <w:rFonts w:hint="eastAsia" w:ascii="仿宋_GB2312" w:eastAsia="仿宋_GB2312"/>
          <w:kern w:val="2"/>
          <w:sz w:val="32"/>
          <w:szCs w:val="32"/>
          <w:highlight w:val="none"/>
          <w:lang w:val="en-US" w:eastAsia="zh-CN" w:bidi="ar-SA"/>
        </w:rPr>
        <w:t>包括：办公费、咨询费、电费、邮电费、取暖费、差旅费、维修（护）费、公务接待费、劳务费、工会经费、福利费、公务用车运行维护费和其他交通费用。</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40" w:firstLineChars="200"/>
        <w:jc w:val="both"/>
        <w:textAlignment w:val="auto"/>
        <w:outlineLvl w:val="1"/>
        <w:rPr>
          <w:rFonts w:hint="eastAsia" w:ascii="黑体" w:hAnsi="黑体" w:eastAsia="黑体" w:cs="宋体"/>
          <w:bCs/>
          <w:kern w:val="0"/>
          <w:sz w:val="32"/>
          <w:szCs w:val="32"/>
          <w:highlight w:val="none"/>
          <w:lang w:val="en-US" w:eastAsia="zh-CN" w:bidi="ar-SA"/>
        </w:rPr>
      </w:pPr>
      <w:r>
        <w:rPr>
          <w:rFonts w:hint="eastAsia" w:ascii="黑体" w:hAnsi="黑体" w:eastAsia="黑体" w:cs="宋体"/>
          <w:bCs/>
          <w:kern w:val="0"/>
          <w:sz w:val="32"/>
          <w:szCs w:val="32"/>
          <w:highlight w:val="none"/>
          <w:lang w:val="en-US" w:eastAsia="zh-CN" w:bidi="ar-SA"/>
        </w:rPr>
        <w:t>七、政府性基金预算财政拨款收入支出决算情况说明</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640" w:firstLineChars="200"/>
        <w:textAlignment w:val="auto"/>
        <w:rPr>
          <w:rFonts w:hint="eastAsia" w:ascii="仿宋_GB2312" w:eastAsia="仿宋_GB2312"/>
          <w:b w:val="0"/>
          <w:bCs w:val="0"/>
          <w:kern w:val="2"/>
          <w:sz w:val="32"/>
          <w:szCs w:val="32"/>
          <w:highlight w:val="none"/>
          <w:lang w:val="en-US" w:eastAsia="zh-CN" w:bidi="ar-SA"/>
        </w:rPr>
      </w:pPr>
      <w:r>
        <w:rPr>
          <w:rFonts w:hint="eastAsia" w:ascii="仿宋_GB2312" w:eastAsia="仿宋_GB2312"/>
          <w:b w:val="0"/>
          <w:bCs w:val="0"/>
          <w:kern w:val="2"/>
          <w:sz w:val="32"/>
          <w:szCs w:val="32"/>
          <w:highlight w:val="none"/>
          <w:lang w:val="en-US" w:eastAsia="zh-CN" w:bidi="ar-SA"/>
        </w:rPr>
        <w:t>本单位本年度无政府性基金预算财政拨款收入支出及结转和结余政府性基金预算财政拨款收入支出决算表为空表。</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240" w:lineRule="auto"/>
        <w:ind w:left="0" w:leftChars="0" w:right="0" w:rightChars="0" w:firstLine="640" w:firstLineChars="200"/>
        <w:jc w:val="left"/>
        <w:textAlignment w:val="auto"/>
        <w:outlineLvl w:val="1"/>
        <w:rPr>
          <w:rFonts w:ascii="黑体" w:eastAsia="黑体"/>
          <w:sz w:val="32"/>
          <w:szCs w:val="32"/>
          <w:highlight w:val="none"/>
        </w:rPr>
      </w:pPr>
      <w:r>
        <w:rPr>
          <w:rFonts w:ascii="黑体" w:eastAsia="黑体"/>
          <w:b w:val="0"/>
          <w:sz w:val="32"/>
          <w:szCs w:val="32"/>
          <w:highlight w:val="none"/>
        </w:rPr>
        <w:t>八、国有资本经营预算财政拨款收入支出决算情况说明</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640" w:firstLineChars="200"/>
        <w:textAlignment w:val="auto"/>
        <w:rPr>
          <w:rFonts w:hint="eastAsia" w:ascii="仿宋_GB2312" w:eastAsia="仿宋_GB2312"/>
          <w:b w:val="0"/>
          <w:bCs w:val="0"/>
          <w:kern w:val="2"/>
          <w:sz w:val="32"/>
          <w:szCs w:val="32"/>
          <w:highlight w:val="none"/>
          <w:lang w:val="en-US" w:eastAsia="zh-CN" w:bidi="ar-SA"/>
        </w:rPr>
      </w:pPr>
      <w:r>
        <w:rPr>
          <w:rFonts w:hint="eastAsia" w:ascii="仿宋_GB2312" w:eastAsia="仿宋_GB2312"/>
          <w:b w:val="0"/>
          <w:bCs w:val="0"/>
          <w:kern w:val="2"/>
          <w:sz w:val="32"/>
          <w:szCs w:val="32"/>
          <w:highlight w:val="none"/>
          <w:lang w:val="en-US" w:eastAsia="zh-CN" w:bidi="ar-SA"/>
        </w:rPr>
        <w:t>本单位本年度无国有资本经营预算财政拨款收入、支出及结转和结余，国有资本经营预算财政拨款收入支出决算表为空表。</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240" w:lineRule="auto"/>
        <w:ind w:left="0" w:leftChars="0" w:right="0" w:rightChars="0" w:firstLine="640" w:firstLineChars="200"/>
        <w:jc w:val="left"/>
        <w:textAlignment w:val="auto"/>
        <w:outlineLvl w:val="1"/>
        <w:rPr>
          <w:rFonts w:ascii="黑体" w:eastAsia="黑体"/>
          <w:sz w:val="32"/>
          <w:szCs w:val="32"/>
          <w:highlight w:val="none"/>
        </w:rPr>
      </w:pPr>
      <w:r>
        <w:rPr>
          <w:rFonts w:ascii="黑体" w:eastAsia="黑体"/>
          <w:b w:val="0"/>
          <w:sz w:val="32"/>
          <w:szCs w:val="32"/>
          <w:highlight w:val="none"/>
        </w:rPr>
        <w:t>九、财政拨款“三公”经费支出决算情况说明</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240" w:lineRule="auto"/>
        <w:ind w:left="0" w:leftChars="0" w:right="0" w:rightChars="0" w:firstLine="643" w:firstLineChars="200"/>
        <w:jc w:val="both"/>
        <w:textAlignment w:val="auto"/>
        <w:rPr>
          <w:rFonts w:hint="eastAsia" w:ascii="仿宋_GB2312" w:eastAsia="仿宋_GB2312"/>
          <w:kern w:val="2"/>
          <w:sz w:val="32"/>
          <w:szCs w:val="32"/>
          <w:highlight w:val="none"/>
          <w:lang w:val="en-US" w:eastAsia="zh-CN" w:bidi="ar-SA"/>
        </w:rPr>
      </w:pPr>
      <w:r>
        <w:rPr>
          <w:rFonts w:hint="eastAsia" w:ascii="仿宋_GB2312" w:eastAsia="仿宋_GB2312"/>
          <w:b/>
          <w:bCs/>
          <w:spacing w:val="0"/>
          <w:kern w:val="2"/>
          <w:sz w:val="32"/>
          <w:szCs w:val="32"/>
          <w:highlight w:val="none"/>
          <w:lang w:val="en-US" w:eastAsia="zh-CN" w:bidi="ar-SA"/>
        </w:rPr>
        <w:t>2024年度财政拨款“三公”经费支出3.14万元，</w:t>
      </w:r>
      <w:r>
        <w:rPr>
          <w:rFonts w:hint="eastAsia" w:ascii="仿宋_GB2312" w:eastAsia="仿宋_GB2312"/>
          <w:kern w:val="2"/>
          <w:sz w:val="32"/>
          <w:szCs w:val="32"/>
          <w:highlight w:val="none"/>
          <w:lang w:val="en-US" w:eastAsia="zh-CN" w:bidi="ar-SA"/>
        </w:rPr>
        <w:t>比上年增加0.66万元，增长26.61%，主要原因是：公务用车运行维护费较上年增加，因工作业务需求，车辆使用频率上升，维修保养成本提高。其中：因公出国（境）费支出0.00万元,占0.00%，与上年相比无变化，主要原因是：我单位无因公出国（境）费；公务用车购置及运行维护费支出3.00万元，占95.54%，比上年增加0.78万元，增长35.14%，主要原因是：公务用车运行维护费较上年增加，因工作业务需求，车辆使用频率上升，维修保养成本提高；公务接待费支出0.14万元，占4.46%，比上年减少0.12万元，下降46.15%，主要原因是：严格执行中央八项规定，减少公务接待次数。</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43" w:firstLineChars="200"/>
        <w:textAlignment w:val="auto"/>
        <w:rPr>
          <w:rFonts w:hint="eastAsia" w:ascii="仿宋_GB2312" w:eastAsia="仿宋_GB2312"/>
          <w:b/>
          <w:bCs/>
          <w:kern w:val="2"/>
          <w:sz w:val="32"/>
          <w:szCs w:val="32"/>
          <w:highlight w:val="none"/>
          <w:lang w:val="en-US" w:eastAsia="zh-CN" w:bidi="ar-SA"/>
        </w:rPr>
      </w:pPr>
      <w:r>
        <w:rPr>
          <w:rFonts w:hint="eastAsia" w:ascii="仿宋_GB2312" w:eastAsia="仿宋_GB2312"/>
          <w:b/>
          <w:bCs/>
          <w:kern w:val="2"/>
          <w:sz w:val="32"/>
          <w:szCs w:val="32"/>
          <w:highlight w:val="none"/>
          <w:lang w:val="en-US" w:eastAsia="zh-CN" w:bidi="ar-SA"/>
        </w:rPr>
        <w:t>具体情况如下：</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40" w:firstLineChars="200"/>
        <w:textAlignment w:val="auto"/>
        <w:rPr>
          <w:rFonts w:hint="eastAsia" w:ascii="仿宋_GB2312" w:eastAsia="仿宋_GB2312"/>
          <w:kern w:val="2"/>
          <w:sz w:val="32"/>
          <w:szCs w:val="32"/>
          <w:highlight w:val="none"/>
          <w:lang w:val="en-US" w:eastAsia="zh-CN" w:bidi="ar-SA"/>
        </w:rPr>
      </w:pPr>
      <w:r>
        <w:rPr>
          <w:rFonts w:hint="eastAsia" w:ascii="仿宋_GB2312" w:eastAsia="仿宋_GB2312"/>
          <w:kern w:val="2"/>
          <w:sz w:val="32"/>
          <w:szCs w:val="32"/>
          <w:highlight w:val="none"/>
          <w:lang w:val="en-US" w:eastAsia="zh-CN" w:bidi="ar-SA"/>
        </w:rPr>
        <w:t>因公出国（境）费支出0.00万元，开支内容包括我单位无因公出国（境）费。单位全年安排的因公出国（境）团组0个，因公出国（境）0人次。</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40" w:firstLineChars="200"/>
        <w:textAlignment w:val="auto"/>
        <w:rPr>
          <w:rFonts w:hint="eastAsia" w:ascii="仿宋_GB2312" w:eastAsia="仿宋_GB2312"/>
          <w:kern w:val="2"/>
          <w:sz w:val="32"/>
          <w:szCs w:val="32"/>
          <w:highlight w:val="none"/>
          <w:lang w:val="en-US" w:eastAsia="zh-CN" w:bidi="ar-SA"/>
        </w:rPr>
      </w:pPr>
      <w:r>
        <w:rPr>
          <w:rFonts w:hint="eastAsia" w:ascii="仿宋_GB2312" w:eastAsia="仿宋_GB2312"/>
          <w:kern w:val="2"/>
          <w:sz w:val="32"/>
          <w:szCs w:val="32"/>
          <w:highlight w:val="none"/>
          <w:lang w:val="en-US" w:eastAsia="zh-CN" w:bidi="ar-SA"/>
        </w:rPr>
        <w:t>公务用车购置及运行维护费3.00万元，其中：公务用车购置费0.00万元，公务用车运行维护费3.00万元。公务用车运行维护费开支内容包括公务用车保险费、过路费、停车费以及公务用车维修费。公务用车购置数0辆，公务用车保有量5辆。国有资产占用情况中固定资产车辆5辆，与公务用车保有量差异原因是：无差异。</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40" w:firstLineChars="200"/>
        <w:textAlignment w:val="auto"/>
        <w:rPr>
          <w:rFonts w:hint="eastAsia" w:ascii="仿宋_GB2312" w:eastAsia="仿宋_GB2312"/>
          <w:kern w:val="2"/>
          <w:sz w:val="32"/>
          <w:szCs w:val="32"/>
          <w:highlight w:val="none"/>
          <w:lang w:val="en-US" w:eastAsia="zh-CN" w:bidi="ar-SA"/>
        </w:rPr>
      </w:pPr>
      <w:r>
        <w:rPr>
          <w:rFonts w:hint="eastAsia" w:ascii="仿宋_GB2312" w:eastAsia="仿宋_GB2312"/>
          <w:kern w:val="2"/>
          <w:sz w:val="32"/>
          <w:szCs w:val="32"/>
          <w:highlight w:val="none"/>
          <w:lang w:val="en-US" w:eastAsia="zh-CN" w:bidi="ar-SA"/>
        </w:rPr>
        <w:t>公务接待费0.14万元，开支内容包括因业务工作安排，接待CNAS实验室复评审专家及中国兽医药品监察所专家开展科技下乡活动产生的就餐费</w:t>
      </w:r>
      <w:r>
        <w:rPr>
          <w:rFonts w:hint="eastAsia" w:ascii="仿宋_GB2312" w:eastAsia="仿宋_GB2312"/>
          <w:kern w:val="2"/>
          <w:sz w:val="32"/>
          <w:szCs w:val="32"/>
          <w:highlight w:val="none"/>
          <w:lang w:val="en-US" w:eastAsia="zh-CN" w:bidi="ar-SA"/>
        </w:rPr>
        <w:t>。单位全年安排的国内公务接待2批次，14人次。</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240" w:lineRule="auto"/>
        <w:ind w:left="0" w:leftChars="0" w:right="0" w:rightChars="0" w:firstLine="643" w:firstLineChars="200"/>
        <w:jc w:val="both"/>
        <w:textAlignment w:val="auto"/>
        <w:rPr>
          <w:rFonts w:hint="eastAsia" w:ascii="仿宋_GB2312" w:eastAsia="仿宋_GB2312"/>
          <w:kern w:val="2"/>
          <w:sz w:val="32"/>
          <w:szCs w:val="32"/>
          <w:highlight w:val="none"/>
          <w:lang w:val="en-US" w:eastAsia="zh-CN" w:bidi="ar-SA"/>
        </w:rPr>
      </w:pPr>
      <w:r>
        <w:rPr>
          <w:rFonts w:hint="eastAsia" w:ascii="仿宋_GB2312" w:eastAsia="仿宋_GB2312"/>
          <w:b/>
          <w:bCs/>
          <w:kern w:val="2"/>
          <w:sz w:val="32"/>
          <w:szCs w:val="32"/>
          <w:highlight w:val="none"/>
          <w:lang w:val="en-US" w:eastAsia="zh-CN" w:bidi="ar-SA"/>
        </w:rPr>
        <w:t>与全年预算相比，</w:t>
      </w:r>
      <w:r>
        <w:rPr>
          <w:rFonts w:hint="eastAsia" w:ascii="仿宋_GB2312" w:eastAsia="仿宋_GB2312"/>
          <w:kern w:val="2"/>
          <w:sz w:val="32"/>
          <w:szCs w:val="32"/>
          <w:highlight w:val="none"/>
          <w:lang w:val="en-US" w:eastAsia="zh-CN" w:bidi="ar-SA"/>
        </w:rPr>
        <w:t>财政拨款“三公”经费支出全年预算数3.25万元，决算数3.14万元，预决算差异率-3.38%，主要原因是：本着厉行节约的原则节约开支，严格规范公务用车管理，落实政府“过紧日子”要求，严格控制公务接待数量和规模。其中：因公出国（境）费全年预算数0.00万元，决算数0.00万元，预决算差异率0.00%，主要原因是：我单位无因公出国（境）费。公务用车购置费全年预算数0.00万元，决算数0.00万元，预决算差异率0.00%，主要原因是：我单位无公务用车购置费。公务用车运行维护费全年预算数3.00万元，决算数3.00万元，预决算差异率0.00%，主要原因是：严格按照预算执行各项支出。公务接待费全年预算数0.25万元，决算数0.14万元，预决算差异率-44.00%，主要原因是：严格执行中央八项规定，减少公务接待次数。</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240" w:lineRule="auto"/>
        <w:ind w:left="0" w:leftChars="0" w:right="0" w:rightChars="0" w:firstLine="640" w:firstLineChars="200"/>
        <w:jc w:val="left"/>
        <w:textAlignment w:val="auto"/>
        <w:outlineLvl w:val="1"/>
        <w:rPr>
          <w:rFonts w:ascii="黑体" w:eastAsia="黑体"/>
          <w:sz w:val="32"/>
          <w:szCs w:val="32"/>
          <w:highlight w:val="none"/>
        </w:rPr>
      </w:pPr>
      <w:r>
        <w:rPr>
          <w:rFonts w:ascii="黑体" w:eastAsia="黑体"/>
          <w:b w:val="0"/>
          <w:sz w:val="32"/>
          <w:szCs w:val="32"/>
          <w:highlight w:val="none"/>
        </w:rPr>
        <w:t>十、其他重要事项的情况说明</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40" w:firstLineChars="200"/>
        <w:textAlignment w:val="auto"/>
        <w:outlineLvl w:val="2"/>
        <w:rPr>
          <w:rFonts w:hint="eastAsia" w:ascii="黑体" w:hAnsi="黑体" w:eastAsia="黑体"/>
          <w:kern w:val="2"/>
          <w:sz w:val="32"/>
          <w:szCs w:val="32"/>
          <w:highlight w:val="none"/>
          <w:lang w:val="en-US" w:eastAsia="zh-CN" w:bidi="ar-SA"/>
        </w:rPr>
      </w:pPr>
      <w:r>
        <w:rPr>
          <w:rFonts w:hint="eastAsia" w:ascii="黑体" w:hAnsi="黑体" w:eastAsia="黑体"/>
          <w:kern w:val="2"/>
          <w:sz w:val="32"/>
          <w:szCs w:val="32"/>
          <w:highlight w:val="none"/>
          <w:lang w:val="en-US" w:eastAsia="zh-CN" w:bidi="ar-SA"/>
        </w:rPr>
        <w:t>（一）机关运行经费及公用经费支出情况</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240" w:lineRule="auto"/>
        <w:ind w:left="0" w:leftChars="0" w:right="0" w:rightChars="0" w:firstLine="640" w:firstLineChars="200"/>
        <w:jc w:val="both"/>
        <w:textAlignment w:val="auto"/>
        <w:rPr>
          <w:rFonts w:hint="eastAsia" w:ascii="仿宋_GB2312" w:eastAsia="仿宋_GB2312"/>
          <w:kern w:val="2"/>
          <w:sz w:val="32"/>
          <w:szCs w:val="32"/>
          <w:highlight w:val="none"/>
          <w:lang w:val="en-US" w:eastAsia="zh-CN" w:bidi="ar-SA"/>
        </w:rPr>
      </w:pPr>
      <w:bookmarkStart w:id="0" w:name="_GoBack"/>
      <w:r>
        <w:rPr>
          <w:rFonts w:hint="eastAsia" w:ascii="仿宋_GB2312" w:eastAsia="仿宋_GB2312"/>
          <w:kern w:val="2"/>
          <w:sz w:val="32"/>
          <w:szCs w:val="32"/>
          <w:highlight w:val="none"/>
          <w:lang w:val="en-US" w:eastAsia="zh-CN" w:bidi="ar-SA"/>
        </w:rPr>
        <w:t>2024年度新疆维吾尔自治区兽药饲料监察所单位（事业单位）公用经费支出101.06万元，比上年增加3.18万元，增长3.25%，主要原因是：在职人员职级变动，公用经费定员定额增加。</w:t>
      </w:r>
    </w:p>
    <w:bookmarkEnd w:id="0"/>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40" w:firstLineChars="200"/>
        <w:textAlignment w:val="auto"/>
        <w:outlineLvl w:val="2"/>
        <w:rPr>
          <w:rFonts w:hint="eastAsia" w:ascii="黑体" w:hAnsi="黑体" w:eastAsia="黑体"/>
          <w:kern w:val="2"/>
          <w:sz w:val="32"/>
          <w:szCs w:val="32"/>
          <w:highlight w:val="none"/>
          <w:lang w:val="en-US" w:eastAsia="zh-CN" w:bidi="ar-SA"/>
        </w:rPr>
      </w:pPr>
      <w:r>
        <w:rPr>
          <w:rFonts w:hint="eastAsia" w:ascii="黑体" w:hAnsi="黑体" w:eastAsia="黑体"/>
          <w:kern w:val="2"/>
          <w:sz w:val="32"/>
          <w:szCs w:val="32"/>
          <w:highlight w:val="none"/>
          <w:lang w:val="en-US" w:eastAsia="zh-CN" w:bidi="ar-SA"/>
        </w:rPr>
        <w:t>（二）政府采购情况</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40" w:firstLineChars="200"/>
        <w:textAlignment w:val="auto"/>
        <w:rPr>
          <w:rFonts w:hint="eastAsia" w:ascii="仿宋_GB2312" w:eastAsia="仿宋_GB2312"/>
          <w:spacing w:val="0"/>
          <w:kern w:val="2"/>
          <w:sz w:val="32"/>
          <w:szCs w:val="32"/>
          <w:highlight w:val="none"/>
          <w:lang w:val="en-US" w:eastAsia="zh-CN" w:bidi="ar-SA"/>
        </w:rPr>
      </w:pPr>
      <w:r>
        <w:rPr>
          <w:rFonts w:hint="eastAsia" w:ascii="仿宋_GB2312" w:eastAsia="仿宋_GB2312"/>
          <w:spacing w:val="0"/>
          <w:kern w:val="2"/>
          <w:sz w:val="32"/>
          <w:szCs w:val="32"/>
          <w:highlight w:val="none"/>
          <w:lang w:val="en-US" w:eastAsia="zh-CN" w:bidi="ar-SA"/>
        </w:rPr>
        <w:t>2024年度政府采购支出总额155.01万元，其中：政府采购货物支出118.64万元、政府采购工程支出0.00万元、政府采购服务支出36.37万元。</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40" w:firstLineChars="200"/>
        <w:textAlignment w:val="auto"/>
        <w:rPr>
          <w:rFonts w:hint="eastAsia" w:ascii="仿宋_GB2312" w:eastAsia="仿宋_GB2312"/>
          <w:spacing w:val="0"/>
          <w:kern w:val="2"/>
          <w:sz w:val="32"/>
          <w:szCs w:val="32"/>
          <w:highlight w:val="none"/>
          <w:lang w:val="en-US" w:eastAsia="zh-CN" w:bidi="ar-SA"/>
        </w:rPr>
      </w:pPr>
      <w:r>
        <w:rPr>
          <w:rFonts w:hint="eastAsia" w:ascii="仿宋_GB2312" w:eastAsia="仿宋_GB2312"/>
          <w:spacing w:val="0"/>
          <w:kern w:val="2"/>
          <w:sz w:val="32"/>
          <w:szCs w:val="32"/>
          <w:highlight w:val="none"/>
          <w:lang w:val="en-US" w:eastAsia="zh-CN" w:bidi="ar-SA"/>
        </w:rPr>
        <w:t>授予中小企业合同金额153.05万元，占政府采购支出总额的98.74%，其中：授予小微企业合同金额143.90万元，占政府采购支出总额的92.83%。</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40" w:firstLineChars="200"/>
        <w:textAlignment w:val="auto"/>
        <w:outlineLvl w:val="2"/>
        <w:rPr>
          <w:rFonts w:hint="eastAsia" w:ascii="黑体" w:hAnsi="黑体" w:eastAsia="黑体"/>
          <w:kern w:val="2"/>
          <w:sz w:val="32"/>
          <w:szCs w:val="32"/>
          <w:highlight w:val="none"/>
          <w:lang w:val="en-US" w:eastAsia="zh-CN" w:bidi="ar-SA"/>
        </w:rPr>
      </w:pPr>
      <w:r>
        <w:rPr>
          <w:rFonts w:hint="eastAsia" w:ascii="黑体" w:hAnsi="黑体" w:eastAsia="黑体"/>
          <w:kern w:val="2"/>
          <w:sz w:val="32"/>
          <w:szCs w:val="32"/>
          <w:highlight w:val="none"/>
          <w:lang w:val="en-US" w:eastAsia="zh-CN" w:bidi="ar-SA"/>
        </w:rPr>
        <w:t>（三）国有资产占用情况说明</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40" w:firstLineChars="200"/>
        <w:textAlignment w:val="auto"/>
        <w:rPr>
          <w:rFonts w:hint="eastAsia" w:ascii="仿宋_GB2312" w:eastAsia="仿宋_GB2312"/>
          <w:spacing w:val="0"/>
          <w:kern w:val="2"/>
          <w:sz w:val="32"/>
          <w:szCs w:val="32"/>
          <w:highlight w:val="none"/>
          <w:lang w:val="en-US" w:eastAsia="zh-CN" w:bidi="ar-SA"/>
        </w:rPr>
      </w:pPr>
      <w:r>
        <w:rPr>
          <w:rFonts w:hint="eastAsia" w:ascii="仿宋_GB2312" w:eastAsia="仿宋_GB2312"/>
          <w:spacing w:val="0"/>
          <w:kern w:val="2"/>
          <w:sz w:val="32"/>
          <w:szCs w:val="32"/>
          <w:highlight w:val="none"/>
          <w:lang w:val="en-US" w:eastAsia="zh-CN" w:bidi="ar-SA"/>
        </w:rPr>
        <w:t>截至2024年12月31日，房屋8,278.36平方米，价值1,019.64万元。车辆5辆，价值139.17万元，其中：副部（省）级及以上领导用车0辆、主要负责人用车0辆、机要通信用车0辆、应急保障用车0辆、执法执勤用车0辆、特种专业技术用车0辆、离退休干部服务用车0辆、其他用车5辆，其他用车主要是：单位公务用车;单价100万元（含）以上设备（不含车辆）7台（套）。</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240" w:lineRule="auto"/>
        <w:ind w:left="0" w:leftChars="0" w:right="0" w:rightChars="0" w:firstLine="640" w:firstLineChars="200"/>
        <w:jc w:val="left"/>
        <w:textAlignment w:val="auto"/>
        <w:outlineLvl w:val="1"/>
        <w:rPr>
          <w:rFonts w:ascii="黑体" w:eastAsia="黑体"/>
          <w:sz w:val="32"/>
          <w:szCs w:val="32"/>
          <w:highlight w:val="none"/>
        </w:rPr>
      </w:pPr>
      <w:r>
        <w:rPr>
          <w:rFonts w:ascii="黑体" w:eastAsia="黑体"/>
          <w:b w:val="0"/>
          <w:sz w:val="32"/>
          <w:szCs w:val="32"/>
          <w:highlight w:val="none"/>
        </w:rPr>
        <w:t>十一、预算绩效的情况说明</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40" w:firstLineChars="200"/>
        <w:textAlignment w:val="auto"/>
        <w:rPr>
          <w:rFonts w:hint="eastAsia" w:ascii="仿宋_GB2312" w:eastAsia="仿宋_GB2312"/>
          <w:kern w:val="2"/>
          <w:sz w:val="32"/>
          <w:szCs w:val="32"/>
          <w:highlight w:val="none"/>
          <w:lang w:val="en-US" w:eastAsia="zh-CN" w:bidi="ar-SA"/>
        </w:rPr>
      </w:pPr>
      <w:r>
        <w:rPr>
          <w:rFonts w:hint="eastAsia" w:ascii="仿宋_GB2312" w:eastAsia="仿宋_GB2312"/>
          <w:kern w:val="2"/>
          <w:sz w:val="32"/>
          <w:szCs w:val="32"/>
          <w:highlight w:val="none"/>
          <w:lang w:val="en-US" w:eastAsia="zh-CN" w:bidi="ar-SA"/>
        </w:rPr>
        <w:t>根据预算绩效管理要求，本单位2024年度预算绩效评价项目2个，全年预算数406.00万元，全年执行数394.50万元。预算绩效管理取得的成效：一是完成对全疆兽药质量监督抽检和风险监测工作、核实兽药二维码追溯情况、兽用生物制品批签发工作、兽药生产企业GMP运行情况检查等；二是完成畜产品质量安全风险监测、畜禽及畜禽产品兽药残留监控工作；三是完成对全疆饲料质量安全监测工作，协助饲料主管部门对饲料生产企业现场审查工作等。发现的问题及原因：一是预算绩效评价规范程度不够。主要由于人员变动等原因对预算绩效的认识和操作还不够，将在今后加强相关方面的培训；二是在预算绩效管理上存在不足。针对绩效管理工作中的绩效目标设定、绩效目标实施、绩效结果应用等全过程需要进一步细化管理机制，提高绩效管理人员业务水平，准确反应绩效执行情况。下一步改进措施：一是进一步加强对绩效管理工作的组织领导，提高对预算绩效管理工作重要性的认识，总结经验查找问题，抓紧研究制定更全面更完善的绩效评价管理办法；二是结合食品安全考核建立绩效工作考核制度，加大全局对全面实施预算绩效管理和绩效管理工作的学习力度，让“花钱必问效，无效必问责”的理念深入工作每个环节。具体附项目支出绩效自评表。</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240" w:lineRule="auto"/>
        <w:ind w:left="0" w:leftChars="0" w:right="0" w:rightChars="0" w:firstLine="640" w:firstLineChars="200"/>
        <w:jc w:val="left"/>
        <w:textAlignment w:val="auto"/>
        <w:outlineLvl w:val="1"/>
        <w:rPr>
          <w:rFonts w:ascii="黑体" w:eastAsia="黑体"/>
          <w:sz w:val="32"/>
          <w:szCs w:val="32"/>
          <w:highlight w:val="none"/>
        </w:rPr>
      </w:pPr>
      <w:r>
        <w:rPr>
          <w:rFonts w:ascii="黑体" w:eastAsia="黑体"/>
          <w:b w:val="0"/>
          <w:sz w:val="32"/>
          <w:szCs w:val="32"/>
          <w:highlight w:val="none"/>
        </w:rPr>
        <w:t>十二、其他需说明的事项</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40" w:firstLineChars="200"/>
        <w:textAlignment w:val="auto"/>
        <w:rPr>
          <w:rFonts w:hint="eastAsia" w:ascii="仿宋_GB2312" w:hAnsi="仿宋_GB2312" w:eastAsia="仿宋_GB2312" w:cs="仿宋_GB2312"/>
          <w:color w:val="auto"/>
          <w:kern w:val="0"/>
          <w:sz w:val="32"/>
          <w:szCs w:val="32"/>
          <w:highlight w:val="none"/>
          <w:lang w:val="en-US" w:eastAsia="zh-CN" w:bidi="ar-SA"/>
        </w:rPr>
      </w:pPr>
      <w:r>
        <w:rPr>
          <w:rFonts w:hint="eastAsia" w:ascii="仿宋_GB2312" w:hAnsi="仿宋_GB2312" w:eastAsia="仿宋_GB2312" w:cs="仿宋_GB2312"/>
          <w:color w:val="auto"/>
          <w:kern w:val="0"/>
          <w:sz w:val="32"/>
          <w:szCs w:val="32"/>
          <w:highlight w:val="none"/>
          <w:lang w:val="en-US" w:eastAsia="zh-CN" w:bidi="ar-SA"/>
        </w:rPr>
        <w:t>本单位无其他需说明事项。</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240" w:lineRule="auto"/>
        <w:ind w:left="0" w:leftChars="0" w:right="0" w:rightChars="0" w:firstLine="640" w:firstLineChars="200"/>
        <w:jc w:val="left"/>
        <w:textAlignment w:val="auto"/>
        <w:rPr>
          <w:rFonts w:ascii="仿宋_GB2312" w:eastAsia="仿宋_GB2312"/>
          <w:sz w:val="32"/>
          <w:szCs w:val="32"/>
          <w:highlight w:val="none"/>
        </w:rPr>
      </w:pPr>
    </w:p>
    <w:p>
      <w:pPr>
        <w:keepNext w:val="0"/>
        <w:keepLines w:val="0"/>
        <w:pageBreakBefore w:val="0"/>
        <w:widowControl/>
        <w:kinsoku/>
        <w:wordWrap/>
        <w:overflowPunct/>
        <w:topLinePunct w:val="0"/>
        <w:autoSpaceDE/>
        <w:autoSpaceDN/>
        <w:bidi w:val="0"/>
        <w:adjustRightInd/>
        <w:snapToGrid/>
        <w:spacing w:line="240" w:lineRule="auto"/>
        <w:ind w:left="0" w:leftChars="0" w:right="0" w:rightChars="0"/>
        <w:textAlignment w:val="auto"/>
        <w:rPr>
          <w:highlight w:val="none"/>
        </w:rPr>
      </w:pPr>
      <w:r>
        <w:rPr>
          <w:b w:val="0"/>
          <w:sz w:val="0"/>
          <w:szCs w:val="0"/>
          <w:highlight w:val="none"/>
        </w:rPr>
        <w:br w:type="page"/>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0"/>
        <w:rPr>
          <w:rFonts w:hint="eastAsia" w:ascii="黑体" w:hAnsi="黑体" w:eastAsia="黑体"/>
          <w:kern w:val="2"/>
          <w:sz w:val="32"/>
          <w:szCs w:val="32"/>
          <w:highlight w:val="none"/>
          <w:lang w:val="en-US" w:eastAsia="zh-CN" w:bidi="ar-SA"/>
        </w:rPr>
      </w:pPr>
      <w:r>
        <w:rPr>
          <w:rFonts w:hint="eastAsia" w:ascii="黑体" w:hAnsi="黑体" w:eastAsia="黑体"/>
          <w:kern w:val="2"/>
          <w:sz w:val="32"/>
          <w:szCs w:val="32"/>
          <w:highlight w:val="none"/>
          <w:lang w:val="en-US" w:eastAsia="zh-CN" w:bidi="ar-SA"/>
        </w:rPr>
        <w:t>第三部分专业名词解释</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240" w:lineRule="auto"/>
        <w:ind w:left="0" w:leftChars="0" w:right="0" w:rightChars="0" w:firstLine="643" w:firstLineChars="200"/>
        <w:jc w:val="left"/>
        <w:textAlignment w:val="auto"/>
        <w:rPr>
          <w:rFonts w:hint="eastAsia" w:ascii="仿宋_GB2312" w:eastAsia="仿宋_GB2312"/>
          <w:kern w:val="2"/>
          <w:sz w:val="32"/>
          <w:szCs w:val="32"/>
          <w:highlight w:val="none"/>
          <w:lang w:val="en-US" w:eastAsia="zh-CN" w:bidi="ar-SA"/>
        </w:rPr>
      </w:pPr>
      <w:r>
        <w:rPr>
          <w:rFonts w:hint="eastAsia" w:ascii="仿宋_GB2312" w:eastAsia="仿宋_GB2312"/>
          <w:b/>
          <w:bCs/>
          <w:kern w:val="2"/>
          <w:sz w:val="32"/>
          <w:szCs w:val="32"/>
          <w:highlight w:val="none"/>
          <w:lang w:val="en-US" w:eastAsia="zh-CN" w:bidi="ar-SA"/>
        </w:rPr>
        <w:t>一、财政拨款收入</w:t>
      </w:r>
      <w:r>
        <w:rPr>
          <w:rFonts w:ascii="仿宋_GB2312" w:eastAsia="仿宋_GB2312"/>
          <w:b/>
          <w:sz w:val="32"/>
          <w:szCs w:val="32"/>
          <w:highlight w:val="none"/>
        </w:rPr>
        <w:t>：</w:t>
      </w:r>
      <w:r>
        <w:rPr>
          <w:rFonts w:hint="eastAsia" w:ascii="仿宋_GB2312" w:eastAsia="仿宋_GB2312"/>
          <w:kern w:val="2"/>
          <w:sz w:val="32"/>
          <w:szCs w:val="32"/>
          <w:highlight w:val="none"/>
          <w:lang w:val="en-US" w:eastAsia="zh-CN" w:bidi="ar-SA"/>
        </w:rPr>
        <w:t>指同级财政当年拨付的资金。</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240" w:lineRule="auto"/>
        <w:ind w:left="0" w:leftChars="0" w:right="0" w:rightChars="0" w:firstLine="643" w:firstLineChars="200"/>
        <w:jc w:val="left"/>
        <w:textAlignment w:val="auto"/>
        <w:rPr>
          <w:rFonts w:hint="eastAsia" w:ascii="仿宋_GB2312" w:eastAsia="仿宋_GB2312"/>
          <w:kern w:val="2"/>
          <w:sz w:val="32"/>
          <w:szCs w:val="32"/>
          <w:highlight w:val="none"/>
          <w:lang w:val="en-US" w:eastAsia="zh-CN" w:bidi="ar-SA"/>
        </w:rPr>
      </w:pPr>
      <w:r>
        <w:rPr>
          <w:rFonts w:hint="eastAsia" w:ascii="仿宋_GB2312" w:eastAsia="仿宋_GB2312"/>
          <w:b/>
          <w:bCs/>
          <w:kern w:val="2"/>
          <w:sz w:val="32"/>
          <w:szCs w:val="32"/>
          <w:highlight w:val="none"/>
          <w:lang w:val="en-US" w:eastAsia="zh-CN" w:bidi="ar-SA"/>
        </w:rPr>
        <w:t>二、上级补助收入：</w:t>
      </w:r>
      <w:r>
        <w:rPr>
          <w:rFonts w:hint="eastAsia" w:ascii="仿宋_GB2312" w:eastAsia="仿宋_GB2312"/>
          <w:kern w:val="2"/>
          <w:sz w:val="32"/>
          <w:szCs w:val="32"/>
          <w:highlight w:val="none"/>
          <w:lang w:val="en-US" w:eastAsia="zh-CN" w:bidi="ar-SA"/>
        </w:rPr>
        <w:t>指事业单位从主管部门和上级单位取得的非财政补助收入。</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240" w:lineRule="auto"/>
        <w:ind w:left="0" w:leftChars="0" w:right="0" w:rightChars="0" w:firstLine="643" w:firstLineChars="200"/>
        <w:jc w:val="left"/>
        <w:textAlignment w:val="auto"/>
        <w:rPr>
          <w:rFonts w:hint="eastAsia" w:ascii="仿宋_GB2312" w:eastAsia="仿宋_GB2312"/>
          <w:kern w:val="2"/>
          <w:sz w:val="32"/>
          <w:szCs w:val="32"/>
          <w:highlight w:val="none"/>
          <w:lang w:val="en-US" w:eastAsia="zh-CN" w:bidi="ar-SA"/>
        </w:rPr>
      </w:pPr>
      <w:r>
        <w:rPr>
          <w:rFonts w:ascii="仿宋_GB2312" w:eastAsia="仿宋_GB2312"/>
          <w:b/>
          <w:sz w:val="32"/>
          <w:szCs w:val="32"/>
          <w:highlight w:val="none"/>
        </w:rPr>
        <w:t>三、事业收入：</w:t>
      </w:r>
      <w:r>
        <w:rPr>
          <w:rFonts w:hint="eastAsia" w:ascii="仿宋_GB2312" w:eastAsia="仿宋_GB2312"/>
          <w:kern w:val="2"/>
          <w:sz w:val="32"/>
          <w:szCs w:val="32"/>
          <w:highlight w:val="none"/>
          <w:lang w:val="en-US" w:eastAsia="zh-CN" w:bidi="ar-SA"/>
        </w:rPr>
        <w:t>指事业单位开展专业业务活动及其辅助活动所取得的收入。</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240" w:lineRule="auto"/>
        <w:ind w:left="0" w:leftChars="0" w:right="0" w:rightChars="0" w:firstLine="643" w:firstLineChars="200"/>
        <w:jc w:val="left"/>
        <w:textAlignment w:val="auto"/>
        <w:rPr>
          <w:rFonts w:hint="eastAsia" w:ascii="仿宋_GB2312" w:eastAsia="仿宋_GB2312"/>
          <w:kern w:val="2"/>
          <w:sz w:val="32"/>
          <w:szCs w:val="32"/>
          <w:highlight w:val="none"/>
          <w:lang w:val="en-US" w:eastAsia="zh-CN" w:bidi="ar-SA"/>
        </w:rPr>
      </w:pPr>
      <w:r>
        <w:rPr>
          <w:rFonts w:ascii="仿宋_GB2312" w:eastAsia="仿宋_GB2312"/>
          <w:b/>
          <w:sz w:val="32"/>
          <w:szCs w:val="32"/>
          <w:highlight w:val="none"/>
        </w:rPr>
        <w:t>四、经营收入：</w:t>
      </w:r>
      <w:r>
        <w:rPr>
          <w:rFonts w:hint="eastAsia" w:ascii="仿宋_GB2312" w:eastAsia="仿宋_GB2312"/>
          <w:kern w:val="2"/>
          <w:sz w:val="32"/>
          <w:szCs w:val="32"/>
          <w:highlight w:val="none"/>
          <w:lang w:val="en-US" w:eastAsia="zh-CN" w:bidi="ar-SA"/>
        </w:rPr>
        <w:t>指事业单位在专业业务活动及其辅助活动之外开展非独立核算经营活动取得的收入。</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240" w:lineRule="auto"/>
        <w:ind w:left="0" w:leftChars="0" w:right="0" w:rightChars="0" w:firstLine="643" w:firstLineChars="200"/>
        <w:jc w:val="left"/>
        <w:textAlignment w:val="auto"/>
        <w:rPr>
          <w:rFonts w:hint="eastAsia" w:ascii="仿宋_GB2312" w:eastAsia="仿宋_GB2312"/>
          <w:kern w:val="2"/>
          <w:sz w:val="32"/>
          <w:szCs w:val="32"/>
          <w:highlight w:val="none"/>
          <w:lang w:val="en-US" w:eastAsia="zh-CN" w:bidi="ar-SA"/>
        </w:rPr>
      </w:pPr>
      <w:r>
        <w:rPr>
          <w:rFonts w:ascii="仿宋_GB2312" w:eastAsia="仿宋_GB2312"/>
          <w:b/>
          <w:sz w:val="32"/>
          <w:szCs w:val="32"/>
          <w:highlight w:val="none"/>
        </w:rPr>
        <w:t>五、附属单位上缴收入：</w:t>
      </w:r>
      <w:r>
        <w:rPr>
          <w:rFonts w:hint="eastAsia" w:ascii="仿宋_GB2312" w:eastAsia="仿宋_GB2312"/>
          <w:kern w:val="2"/>
          <w:sz w:val="32"/>
          <w:szCs w:val="32"/>
          <w:highlight w:val="none"/>
          <w:lang w:val="en-US" w:eastAsia="zh-CN" w:bidi="ar-SA"/>
        </w:rPr>
        <w:t>指事业单位附属的独立核算单位按有关规定上缴的收入。</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240" w:lineRule="auto"/>
        <w:ind w:left="0" w:leftChars="0" w:right="0" w:rightChars="0" w:firstLine="643" w:firstLineChars="200"/>
        <w:jc w:val="left"/>
        <w:textAlignment w:val="auto"/>
        <w:rPr>
          <w:rFonts w:hint="eastAsia" w:ascii="仿宋_GB2312" w:eastAsia="仿宋_GB2312"/>
          <w:kern w:val="2"/>
          <w:sz w:val="32"/>
          <w:szCs w:val="32"/>
          <w:highlight w:val="none"/>
          <w:lang w:val="en-US" w:eastAsia="zh-CN" w:bidi="ar-SA"/>
        </w:rPr>
      </w:pPr>
      <w:r>
        <w:rPr>
          <w:rFonts w:ascii="仿宋_GB2312" w:eastAsia="仿宋_GB2312"/>
          <w:b/>
          <w:sz w:val="32"/>
          <w:szCs w:val="32"/>
          <w:highlight w:val="none"/>
        </w:rPr>
        <w:t>六、其他收入：</w:t>
      </w:r>
      <w:r>
        <w:rPr>
          <w:rFonts w:hint="eastAsia" w:ascii="仿宋_GB2312" w:eastAsia="仿宋_GB2312"/>
          <w:kern w:val="2"/>
          <w:sz w:val="32"/>
          <w:szCs w:val="32"/>
          <w:highlight w:val="none"/>
          <w:lang w:val="en-US" w:eastAsia="zh-CN" w:bidi="ar-SA"/>
        </w:rPr>
        <w:t>指除上述“财政拨款收入”、“事业收入”、“经营收入”、“附属单位上缴收入”等之外取得的收入。</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240" w:lineRule="auto"/>
        <w:ind w:left="0" w:leftChars="0" w:right="0" w:rightChars="0" w:firstLine="643" w:firstLineChars="200"/>
        <w:jc w:val="left"/>
        <w:textAlignment w:val="auto"/>
        <w:rPr>
          <w:rFonts w:hint="eastAsia" w:ascii="仿宋_GB2312" w:eastAsia="仿宋_GB2312"/>
          <w:kern w:val="2"/>
          <w:sz w:val="32"/>
          <w:szCs w:val="32"/>
          <w:highlight w:val="none"/>
          <w:lang w:val="en-US" w:eastAsia="zh-CN" w:bidi="ar-SA"/>
        </w:rPr>
      </w:pPr>
      <w:r>
        <w:rPr>
          <w:rFonts w:ascii="仿宋_GB2312" w:eastAsia="仿宋_GB2312"/>
          <w:b/>
          <w:sz w:val="32"/>
          <w:szCs w:val="32"/>
          <w:highlight w:val="none"/>
        </w:rPr>
        <w:t>七、年初结转和结余：</w:t>
      </w:r>
      <w:r>
        <w:rPr>
          <w:rFonts w:hint="eastAsia" w:ascii="仿宋_GB2312" w:eastAsia="仿宋_GB2312"/>
          <w:kern w:val="2"/>
          <w:sz w:val="32"/>
          <w:szCs w:val="32"/>
          <w:highlight w:val="none"/>
          <w:lang w:val="en-US" w:eastAsia="zh-CN" w:bidi="ar-SA"/>
        </w:rPr>
        <w:t>指以前年度支出预算因客观条件变化未执行完毕、结转到本年度按有关规定继续使用的资金，既包括财政拨款结转和结余，也包括事业收入、经营收入、其他收入的结转和结余。</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240" w:lineRule="auto"/>
        <w:ind w:left="0" w:leftChars="0" w:right="0" w:rightChars="0" w:firstLine="643" w:firstLineChars="200"/>
        <w:jc w:val="left"/>
        <w:textAlignment w:val="auto"/>
        <w:rPr>
          <w:rFonts w:ascii="仿宋_GB2312" w:eastAsia="仿宋_GB2312"/>
          <w:sz w:val="32"/>
          <w:szCs w:val="32"/>
          <w:highlight w:val="none"/>
        </w:rPr>
      </w:pPr>
      <w:r>
        <w:rPr>
          <w:rFonts w:ascii="仿宋_GB2312" w:eastAsia="仿宋_GB2312"/>
          <w:b/>
          <w:sz w:val="32"/>
          <w:szCs w:val="32"/>
          <w:highlight w:val="none"/>
        </w:rPr>
        <w:t>八、年末结转和结余：</w:t>
      </w:r>
      <w:r>
        <w:rPr>
          <w:rFonts w:hint="eastAsia" w:ascii="仿宋_GB2312" w:eastAsia="仿宋_GB2312"/>
          <w:kern w:val="2"/>
          <w:sz w:val="32"/>
          <w:szCs w:val="32"/>
          <w:highlight w:val="none"/>
          <w:lang w:val="en-US" w:eastAsia="zh-CN" w:bidi="ar-SA"/>
        </w:rPr>
        <w:t>指本年度或以前年度预算安排、因客观条件发生变化无法按原计划实施，需要延迟到以后年度按有关规定继续使用的资金，既包括财政拨款结转和结余，也包括事业收入、经营收入、其他收入的结转和结余。</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240" w:lineRule="auto"/>
        <w:ind w:left="0" w:leftChars="0" w:right="0" w:rightChars="0" w:firstLine="643" w:firstLineChars="200"/>
        <w:jc w:val="left"/>
        <w:textAlignment w:val="auto"/>
        <w:rPr>
          <w:rFonts w:ascii="仿宋_GB2312" w:eastAsia="仿宋_GB2312"/>
          <w:sz w:val="32"/>
          <w:szCs w:val="32"/>
          <w:highlight w:val="none"/>
        </w:rPr>
      </w:pPr>
      <w:r>
        <w:rPr>
          <w:rFonts w:ascii="仿宋_GB2312" w:eastAsia="仿宋_GB2312"/>
          <w:b/>
          <w:sz w:val="32"/>
          <w:szCs w:val="32"/>
          <w:highlight w:val="none"/>
        </w:rPr>
        <w:t>九、基本支出：</w:t>
      </w:r>
      <w:r>
        <w:rPr>
          <w:rFonts w:hint="eastAsia" w:ascii="仿宋_GB2312" w:eastAsia="仿宋_GB2312"/>
          <w:kern w:val="2"/>
          <w:sz w:val="32"/>
          <w:szCs w:val="32"/>
          <w:highlight w:val="none"/>
          <w:lang w:val="en-US" w:eastAsia="zh-CN" w:bidi="ar-SA"/>
        </w:rPr>
        <w:t>指为保障机构正常运转、完成日常工作任务而发生的人员支出和公用支出。</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240" w:lineRule="auto"/>
        <w:ind w:left="0" w:leftChars="0" w:right="0" w:rightChars="0" w:firstLine="643" w:firstLineChars="200"/>
        <w:jc w:val="left"/>
        <w:textAlignment w:val="auto"/>
        <w:rPr>
          <w:rFonts w:ascii="仿宋_GB2312" w:eastAsia="仿宋_GB2312"/>
          <w:sz w:val="32"/>
          <w:szCs w:val="32"/>
          <w:highlight w:val="none"/>
        </w:rPr>
      </w:pPr>
      <w:r>
        <w:rPr>
          <w:rFonts w:ascii="仿宋_GB2312" w:eastAsia="仿宋_GB2312"/>
          <w:b/>
          <w:sz w:val="32"/>
          <w:szCs w:val="32"/>
          <w:highlight w:val="none"/>
        </w:rPr>
        <w:t>十、项目支出：</w:t>
      </w:r>
      <w:r>
        <w:rPr>
          <w:rFonts w:hint="eastAsia" w:ascii="仿宋_GB2312" w:eastAsia="仿宋_GB2312"/>
          <w:kern w:val="2"/>
          <w:sz w:val="32"/>
          <w:szCs w:val="32"/>
          <w:highlight w:val="none"/>
          <w:lang w:val="en-US" w:eastAsia="zh-CN" w:bidi="ar-SA"/>
        </w:rPr>
        <w:t>指在基本支出之外为完成特定行政任务和事业发展目标所发生的支出。</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240" w:lineRule="auto"/>
        <w:ind w:left="0" w:leftChars="0" w:right="0" w:rightChars="0" w:firstLine="643" w:firstLineChars="200"/>
        <w:jc w:val="left"/>
        <w:textAlignment w:val="auto"/>
        <w:rPr>
          <w:rFonts w:ascii="仿宋_GB2312" w:eastAsia="仿宋_GB2312"/>
          <w:sz w:val="32"/>
          <w:szCs w:val="32"/>
          <w:highlight w:val="none"/>
        </w:rPr>
      </w:pPr>
      <w:r>
        <w:rPr>
          <w:rFonts w:ascii="仿宋_GB2312" w:eastAsia="仿宋_GB2312"/>
          <w:b/>
          <w:sz w:val="32"/>
          <w:szCs w:val="32"/>
          <w:highlight w:val="none"/>
        </w:rPr>
        <w:t>十一、经营支出：</w:t>
      </w:r>
      <w:r>
        <w:rPr>
          <w:rFonts w:hint="eastAsia" w:ascii="仿宋_GB2312" w:eastAsia="仿宋_GB2312"/>
          <w:kern w:val="2"/>
          <w:sz w:val="32"/>
          <w:szCs w:val="32"/>
          <w:highlight w:val="none"/>
          <w:lang w:val="en-US" w:eastAsia="zh-CN" w:bidi="ar-SA"/>
        </w:rPr>
        <w:t>指事业单位在专业业务活动及其辅助活动之外开展非独立核算经营活动发生的支出。</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240" w:lineRule="auto"/>
        <w:ind w:left="0" w:leftChars="0" w:right="0" w:rightChars="0" w:firstLine="643" w:firstLineChars="200"/>
        <w:jc w:val="left"/>
        <w:textAlignment w:val="auto"/>
        <w:rPr>
          <w:rFonts w:hint="eastAsia" w:ascii="仿宋_GB2312" w:eastAsia="仿宋_GB2312"/>
          <w:kern w:val="2"/>
          <w:sz w:val="32"/>
          <w:szCs w:val="32"/>
          <w:highlight w:val="none"/>
          <w:lang w:val="en-US" w:eastAsia="zh-CN" w:bidi="ar-SA"/>
        </w:rPr>
      </w:pPr>
      <w:r>
        <w:rPr>
          <w:rFonts w:ascii="仿宋_GB2312" w:eastAsia="仿宋_GB2312"/>
          <w:b/>
          <w:sz w:val="32"/>
          <w:szCs w:val="32"/>
          <w:highlight w:val="none"/>
        </w:rPr>
        <w:t>十二、对附属单位补助支出：</w:t>
      </w:r>
      <w:r>
        <w:rPr>
          <w:rFonts w:hint="eastAsia" w:ascii="仿宋_GB2312" w:eastAsia="仿宋_GB2312"/>
          <w:kern w:val="2"/>
          <w:sz w:val="32"/>
          <w:szCs w:val="32"/>
          <w:highlight w:val="none"/>
          <w:lang w:val="en-US" w:eastAsia="zh-CN" w:bidi="ar-SA"/>
        </w:rPr>
        <w:t>指事业单位发生的用非财政预算资金对附属单位的补助支出。</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240" w:lineRule="auto"/>
        <w:ind w:left="0" w:leftChars="0" w:right="0" w:rightChars="0" w:firstLine="643" w:firstLineChars="200"/>
        <w:jc w:val="left"/>
        <w:textAlignment w:val="auto"/>
        <w:rPr>
          <w:rFonts w:hint="eastAsia" w:ascii="仿宋_GB2312" w:eastAsia="仿宋_GB2312"/>
          <w:kern w:val="2"/>
          <w:sz w:val="32"/>
          <w:szCs w:val="32"/>
          <w:highlight w:val="none"/>
          <w:lang w:val="en-US" w:eastAsia="zh-CN" w:bidi="ar-SA"/>
        </w:rPr>
      </w:pPr>
      <w:r>
        <w:rPr>
          <w:rFonts w:ascii="仿宋_GB2312" w:eastAsia="仿宋_GB2312"/>
          <w:b/>
          <w:sz w:val="32"/>
          <w:szCs w:val="32"/>
          <w:highlight w:val="none"/>
        </w:rPr>
        <w:t>十三、“三公”经费：</w:t>
      </w:r>
      <w:r>
        <w:rPr>
          <w:rFonts w:hint="eastAsia" w:ascii="仿宋_GB2312" w:eastAsia="仿宋_GB2312"/>
          <w:kern w:val="2"/>
          <w:sz w:val="32"/>
          <w:szCs w:val="32"/>
          <w:highlight w:val="none"/>
          <w:lang w:val="en-US" w:eastAsia="zh-CN" w:bidi="ar-SA"/>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keepNext w:val="0"/>
        <w:keepLines w:val="0"/>
        <w:pageBreakBefore w:val="0"/>
        <w:widowControl/>
        <w:kinsoku/>
        <w:wordWrap/>
        <w:overflowPunct/>
        <w:topLinePunct w:val="0"/>
        <w:autoSpaceDE/>
        <w:autoSpaceDN/>
        <w:bidi w:val="0"/>
        <w:adjustRightInd/>
        <w:snapToGrid/>
        <w:spacing w:before="0" w:beforeLines="0" w:beforeAutospacing="0" w:after="0" w:afterLines="0" w:afterAutospacing="0" w:line="240" w:lineRule="auto"/>
        <w:ind w:left="0" w:leftChars="0" w:right="0" w:rightChars="0" w:firstLine="643" w:firstLineChars="200"/>
        <w:jc w:val="left"/>
        <w:textAlignment w:val="auto"/>
        <w:rPr>
          <w:rFonts w:hint="eastAsia" w:ascii="仿宋_GB2312" w:eastAsia="仿宋_GB2312"/>
          <w:kern w:val="2"/>
          <w:sz w:val="32"/>
          <w:szCs w:val="32"/>
          <w:highlight w:val="none"/>
          <w:lang w:val="en-US" w:eastAsia="zh-CN" w:bidi="ar-SA"/>
        </w:rPr>
      </w:pPr>
      <w:r>
        <w:rPr>
          <w:rFonts w:ascii="仿宋_GB2312" w:eastAsia="仿宋_GB2312"/>
          <w:b/>
          <w:sz w:val="32"/>
          <w:szCs w:val="32"/>
          <w:highlight w:val="none"/>
        </w:rPr>
        <w:t>十四、机关运行经费：</w:t>
      </w:r>
      <w:r>
        <w:rPr>
          <w:rFonts w:hint="eastAsia" w:ascii="仿宋_GB2312" w:eastAsia="仿宋_GB2312"/>
          <w:kern w:val="2"/>
          <w:sz w:val="32"/>
          <w:szCs w:val="32"/>
          <w:highlight w:val="none"/>
          <w:lang w:val="en-US" w:eastAsia="zh-CN" w:bidi="ar-SA"/>
        </w:rPr>
        <w:t>行政单位和参照公务员法管理的事业单位财政拨款基本支出中的公用经费支出。</w:t>
      </w:r>
    </w:p>
    <w:p>
      <w:pPr>
        <w:keepNext w:val="0"/>
        <w:keepLines w:val="0"/>
        <w:pageBreakBefore w:val="0"/>
        <w:widowControl/>
        <w:kinsoku/>
        <w:wordWrap/>
        <w:overflowPunct/>
        <w:topLinePunct w:val="0"/>
        <w:autoSpaceDE/>
        <w:autoSpaceDN/>
        <w:bidi w:val="0"/>
        <w:adjustRightInd/>
        <w:snapToGrid/>
        <w:spacing w:line="240" w:lineRule="auto"/>
        <w:ind w:left="0" w:leftChars="0" w:right="0" w:rightChars="0"/>
        <w:textAlignment w:val="auto"/>
        <w:rPr>
          <w:highlight w:val="none"/>
        </w:rPr>
      </w:pPr>
      <w:r>
        <w:rPr>
          <w:b w:val="0"/>
          <w:sz w:val="0"/>
          <w:szCs w:val="0"/>
          <w:highlight w:val="none"/>
        </w:rPr>
        <w:br w:type="page"/>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40" w:firstLineChars="200"/>
        <w:jc w:val="center"/>
        <w:textAlignment w:val="auto"/>
        <w:outlineLvl w:val="0"/>
        <w:rPr>
          <w:rFonts w:hint="eastAsia" w:ascii="黑体" w:hAnsi="黑体" w:eastAsia="黑体"/>
          <w:kern w:val="2"/>
          <w:sz w:val="32"/>
          <w:szCs w:val="32"/>
          <w:highlight w:val="none"/>
          <w:lang w:val="en-US" w:eastAsia="zh-CN" w:bidi="ar-SA"/>
        </w:rPr>
      </w:pPr>
      <w:r>
        <w:rPr>
          <w:rFonts w:hint="eastAsia" w:ascii="黑体" w:hAnsi="黑体" w:eastAsia="黑体"/>
          <w:kern w:val="2"/>
          <w:sz w:val="32"/>
          <w:szCs w:val="32"/>
          <w:highlight w:val="none"/>
          <w:lang w:val="en-US" w:eastAsia="zh-CN" w:bidi="ar-SA"/>
        </w:rPr>
        <w:t>第四部分部门决算报表（见附表）</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40" w:firstLineChars="200"/>
        <w:jc w:val="both"/>
        <w:textAlignment w:val="auto"/>
        <w:outlineLvl w:val="1"/>
        <w:rPr>
          <w:rFonts w:hint="eastAsia" w:ascii="仿宋_GB2312" w:hAnsi="仿宋_GB2312" w:eastAsia="仿宋_GB2312" w:cs="仿宋_GB2312"/>
          <w:bCs/>
          <w:kern w:val="0"/>
          <w:sz w:val="32"/>
          <w:szCs w:val="32"/>
          <w:highlight w:val="none"/>
          <w:lang w:val="en-US" w:eastAsia="zh-CN" w:bidi="ar-SA"/>
        </w:rPr>
      </w:pPr>
      <w:r>
        <w:rPr>
          <w:rFonts w:hint="eastAsia" w:ascii="仿宋_GB2312" w:hAnsi="仿宋_GB2312" w:eastAsia="仿宋_GB2312" w:cs="仿宋_GB2312"/>
          <w:bCs/>
          <w:kern w:val="0"/>
          <w:sz w:val="32"/>
          <w:szCs w:val="32"/>
          <w:highlight w:val="none"/>
          <w:lang w:val="en-US" w:eastAsia="zh-CN" w:bidi="ar-SA"/>
        </w:rPr>
        <w:t>一、《收入支出决算总表》</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40" w:firstLineChars="200"/>
        <w:jc w:val="both"/>
        <w:textAlignment w:val="auto"/>
        <w:outlineLvl w:val="1"/>
        <w:rPr>
          <w:rFonts w:hint="eastAsia" w:ascii="仿宋_GB2312" w:hAnsi="仿宋_GB2312" w:eastAsia="仿宋_GB2312" w:cs="仿宋_GB2312"/>
          <w:bCs/>
          <w:kern w:val="0"/>
          <w:sz w:val="32"/>
          <w:szCs w:val="32"/>
          <w:highlight w:val="none"/>
          <w:lang w:val="en-US" w:eastAsia="zh-CN" w:bidi="ar-SA"/>
        </w:rPr>
      </w:pPr>
      <w:r>
        <w:rPr>
          <w:rFonts w:hint="eastAsia" w:ascii="仿宋_GB2312" w:hAnsi="仿宋_GB2312" w:eastAsia="仿宋_GB2312" w:cs="仿宋_GB2312"/>
          <w:bCs/>
          <w:kern w:val="0"/>
          <w:sz w:val="32"/>
          <w:szCs w:val="32"/>
          <w:highlight w:val="none"/>
          <w:lang w:val="en-US" w:eastAsia="zh-CN" w:bidi="ar-SA"/>
        </w:rPr>
        <w:t>二、《收入决算表》</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40" w:firstLineChars="200"/>
        <w:jc w:val="both"/>
        <w:textAlignment w:val="auto"/>
        <w:outlineLvl w:val="1"/>
        <w:rPr>
          <w:rFonts w:hint="eastAsia" w:ascii="仿宋_GB2312" w:hAnsi="仿宋_GB2312" w:eastAsia="仿宋_GB2312" w:cs="仿宋_GB2312"/>
          <w:bCs/>
          <w:kern w:val="0"/>
          <w:sz w:val="32"/>
          <w:szCs w:val="32"/>
          <w:highlight w:val="none"/>
          <w:lang w:val="en-US" w:eastAsia="zh-CN" w:bidi="ar-SA"/>
        </w:rPr>
      </w:pPr>
      <w:r>
        <w:rPr>
          <w:rFonts w:hint="eastAsia" w:ascii="仿宋_GB2312" w:hAnsi="仿宋_GB2312" w:eastAsia="仿宋_GB2312" w:cs="仿宋_GB2312"/>
          <w:bCs/>
          <w:kern w:val="0"/>
          <w:sz w:val="32"/>
          <w:szCs w:val="32"/>
          <w:highlight w:val="none"/>
          <w:lang w:val="en-US" w:eastAsia="zh-CN" w:bidi="ar-SA"/>
        </w:rPr>
        <w:t>三、《支出决算表》</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40" w:firstLineChars="200"/>
        <w:jc w:val="both"/>
        <w:textAlignment w:val="auto"/>
        <w:outlineLvl w:val="1"/>
        <w:rPr>
          <w:rFonts w:hint="eastAsia" w:ascii="仿宋_GB2312" w:hAnsi="仿宋_GB2312" w:eastAsia="仿宋_GB2312" w:cs="仿宋_GB2312"/>
          <w:bCs/>
          <w:kern w:val="0"/>
          <w:sz w:val="32"/>
          <w:szCs w:val="32"/>
          <w:highlight w:val="none"/>
          <w:lang w:val="en-US" w:eastAsia="zh-CN" w:bidi="ar-SA"/>
        </w:rPr>
      </w:pPr>
      <w:r>
        <w:rPr>
          <w:rFonts w:hint="eastAsia" w:ascii="仿宋_GB2312" w:hAnsi="仿宋_GB2312" w:eastAsia="仿宋_GB2312" w:cs="仿宋_GB2312"/>
          <w:bCs/>
          <w:kern w:val="0"/>
          <w:sz w:val="32"/>
          <w:szCs w:val="32"/>
          <w:highlight w:val="none"/>
          <w:lang w:val="en-US" w:eastAsia="zh-CN" w:bidi="ar-SA"/>
        </w:rPr>
        <w:t>四、《财政拨款收入支出决算总表》</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40" w:firstLineChars="200"/>
        <w:jc w:val="both"/>
        <w:textAlignment w:val="auto"/>
        <w:outlineLvl w:val="1"/>
        <w:rPr>
          <w:rFonts w:hint="eastAsia" w:ascii="仿宋_GB2312" w:hAnsi="仿宋_GB2312" w:eastAsia="仿宋_GB2312" w:cs="仿宋_GB2312"/>
          <w:bCs/>
          <w:kern w:val="0"/>
          <w:sz w:val="32"/>
          <w:szCs w:val="32"/>
          <w:highlight w:val="none"/>
          <w:lang w:val="en-US" w:eastAsia="zh-CN" w:bidi="ar-SA"/>
        </w:rPr>
      </w:pPr>
      <w:r>
        <w:rPr>
          <w:rFonts w:hint="eastAsia" w:ascii="仿宋_GB2312" w:hAnsi="仿宋_GB2312" w:eastAsia="仿宋_GB2312" w:cs="仿宋_GB2312"/>
          <w:bCs/>
          <w:kern w:val="0"/>
          <w:sz w:val="32"/>
          <w:szCs w:val="32"/>
          <w:highlight w:val="none"/>
          <w:lang w:val="en-US" w:eastAsia="zh-CN" w:bidi="ar-SA"/>
        </w:rPr>
        <w:t>五、《一般公共预算财政拨款支出决算表》</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40" w:firstLineChars="200"/>
        <w:jc w:val="both"/>
        <w:textAlignment w:val="auto"/>
        <w:outlineLvl w:val="1"/>
        <w:rPr>
          <w:rFonts w:hint="eastAsia" w:ascii="仿宋_GB2312" w:hAnsi="仿宋_GB2312" w:eastAsia="仿宋_GB2312" w:cs="仿宋_GB2312"/>
          <w:bCs/>
          <w:kern w:val="0"/>
          <w:sz w:val="32"/>
          <w:szCs w:val="32"/>
          <w:highlight w:val="none"/>
          <w:lang w:val="en-US" w:eastAsia="zh-CN" w:bidi="ar-SA"/>
        </w:rPr>
      </w:pPr>
      <w:r>
        <w:rPr>
          <w:rFonts w:hint="eastAsia" w:ascii="仿宋_GB2312" w:hAnsi="仿宋_GB2312" w:eastAsia="仿宋_GB2312" w:cs="仿宋_GB2312"/>
          <w:bCs/>
          <w:kern w:val="0"/>
          <w:sz w:val="32"/>
          <w:szCs w:val="32"/>
          <w:highlight w:val="none"/>
          <w:lang w:val="en-US" w:eastAsia="zh-CN" w:bidi="ar-SA"/>
        </w:rPr>
        <w:t>六、《一般公共预算财政拨款基本支出决算表》</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40" w:firstLineChars="200"/>
        <w:jc w:val="both"/>
        <w:textAlignment w:val="auto"/>
        <w:outlineLvl w:val="1"/>
        <w:rPr>
          <w:rFonts w:hint="eastAsia" w:ascii="仿宋_GB2312" w:hAnsi="仿宋_GB2312" w:eastAsia="仿宋_GB2312" w:cs="仿宋_GB2312"/>
          <w:bCs/>
          <w:kern w:val="0"/>
          <w:sz w:val="32"/>
          <w:szCs w:val="32"/>
          <w:highlight w:val="none"/>
          <w:lang w:val="en-US" w:eastAsia="zh-CN" w:bidi="ar-SA"/>
        </w:rPr>
      </w:pPr>
      <w:r>
        <w:rPr>
          <w:rFonts w:hint="eastAsia" w:ascii="仿宋_GB2312" w:hAnsi="仿宋_GB2312" w:eastAsia="仿宋_GB2312" w:cs="仿宋_GB2312"/>
          <w:bCs/>
          <w:kern w:val="0"/>
          <w:sz w:val="32"/>
          <w:szCs w:val="32"/>
          <w:highlight w:val="none"/>
          <w:lang w:val="en-US" w:eastAsia="zh-CN" w:bidi="ar-SA"/>
        </w:rPr>
        <w:t>七、《政府性基金预算财政拨款收入支出决算表》</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40" w:firstLineChars="200"/>
        <w:jc w:val="both"/>
        <w:textAlignment w:val="auto"/>
        <w:outlineLvl w:val="1"/>
        <w:rPr>
          <w:rFonts w:hint="eastAsia" w:ascii="仿宋_GB2312" w:hAnsi="仿宋_GB2312" w:eastAsia="仿宋_GB2312" w:cs="仿宋_GB2312"/>
          <w:bCs/>
          <w:kern w:val="0"/>
          <w:sz w:val="32"/>
          <w:szCs w:val="32"/>
          <w:highlight w:val="none"/>
          <w:lang w:val="en-US" w:eastAsia="zh-CN" w:bidi="ar-SA"/>
        </w:rPr>
      </w:pPr>
      <w:r>
        <w:rPr>
          <w:rFonts w:hint="eastAsia" w:ascii="仿宋_GB2312" w:hAnsi="仿宋_GB2312" w:eastAsia="仿宋_GB2312" w:cs="仿宋_GB2312"/>
          <w:bCs/>
          <w:kern w:val="0"/>
          <w:sz w:val="32"/>
          <w:szCs w:val="32"/>
          <w:highlight w:val="none"/>
          <w:lang w:val="en-US" w:eastAsia="zh-CN" w:bidi="ar-SA"/>
        </w:rPr>
        <w:t>八、《国有资本经营预算财政拨款收入支出决算表》</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40" w:firstLineChars="200"/>
        <w:jc w:val="both"/>
        <w:textAlignment w:val="auto"/>
        <w:outlineLvl w:val="1"/>
        <w:rPr>
          <w:rFonts w:hint="eastAsia" w:ascii="仿宋_GB2312" w:hAnsi="仿宋_GB2312" w:eastAsia="仿宋_GB2312" w:cs="仿宋_GB2312"/>
          <w:bCs/>
          <w:kern w:val="0"/>
          <w:sz w:val="32"/>
          <w:szCs w:val="32"/>
          <w:highlight w:val="none"/>
          <w:lang w:val="en-US" w:eastAsia="zh-CN" w:bidi="ar-SA"/>
        </w:rPr>
      </w:pPr>
      <w:r>
        <w:rPr>
          <w:rFonts w:hint="eastAsia" w:ascii="仿宋_GB2312" w:hAnsi="仿宋_GB2312" w:eastAsia="仿宋_GB2312" w:cs="仿宋_GB2312"/>
          <w:bCs/>
          <w:kern w:val="0"/>
          <w:sz w:val="32"/>
          <w:szCs w:val="32"/>
          <w:highlight w:val="none"/>
          <w:lang w:val="en-US" w:eastAsia="zh-CN" w:bidi="ar-SA"/>
        </w:rPr>
        <w:t>九、《财政拨款“三公”经费支出决算表》</w:t>
      </w:r>
    </w:p>
    <w:sectPr>
      <w:pgSz w:w="12240" w:h="15840"/>
      <w:pgMar w:top="1440" w:right="1800" w:bottom="1440" w:left="1800" w:header="720" w:footer="720" w:gutter="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仿宋_GB2312">
    <w:altName w:val="仿宋"/>
    <w:panose1 w:val="02010609030101010101"/>
    <w:charset w:val="00"/>
    <w:family w:val="auto"/>
    <w:pitch w:val="default"/>
    <w:sig w:usb0="00000000" w:usb1="00000000" w:usb2="00000000" w:usb3="00000000" w:csb0="00000000" w:csb1="00000000"/>
  </w:font>
  <w:font w:name="Arial">
    <w:panose1 w:val="020B0604020202020204"/>
    <w:charset w:val="00"/>
    <w:family w:val="auto"/>
    <w:pitch w:val="default"/>
    <w:sig w:usb0="E0002AFF" w:usb1="C0007843" w:usb2="00000009" w:usb3="00000000" w:csb0="400001FF" w:csb1="FFFF0000"/>
  </w:font>
  <w:font w:name="方正小标宋_GBK">
    <w:altName w:val="微软雅黑"/>
    <w:panose1 w:val="02000000000000000000"/>
    <w:charset w:val="86"/>
    <w:family w:val="script"/>
    <w:pitch w:val="default"/>
    <w:sig w:usb0="00000000" w:usb1="00000000" w:usb2="00000000" w:usb3="00000000" w:csb0="00000000" w:csb1="00000000"/>
  </w:font>
  <w:font w:name="仿宋_GB2312">
    <w:altName w:val="仿宋"/>
    <w:panose1 w:val="02010609030101010101"/>
    <w:charset w:val="86"/>
    <w:family w:val="modern"/>
    <w:pitch w:val="default"/>
    <w:sig w:usb0="00000000" w:usb1="00000000" w:usb2="00000000" w:usb3="00000000" w:csb0="00000000"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ocumentProtection w:enforcement="0"/>
  <w:compat>
    <w:useFELayout/>
    <w:splitPgBreakAndParaMark/>
    <w:compatSetting w:name="compatibilityMode" w:uri="http://schemas.microsoft.com/office/word" w:val="12"/>
  </w:compat>
  <w:rsids>
    <w:rsidRoot w:val="00000000"/>
    <w:rsid w:val="000E56AE"/>
    <w:rsid w:val="00ED146E"/>
    <w:rsid w:val="06EE2393"/>
    <w:rsid w:val="0CA5090D"/>
    <w:rsid w:val="0D7A7AD5"/>
    <w:rsid w:val="0DF10126"/>
    <w:rsid w:val="111C76FD"/>
    <w:rsid w:val="11521284"/>
    <w:rsid w:val="1A017FE7"/>
    <w:rsid w:val="284C45B8"/>
    <w:rsid w:val="2D870E84"/>
    <w:rsid w:val="2EFD3AF7"/>
    <w:rsid w:val="33650D04"/>
    <w:rsid w:val="35AE4BAA"/>
    <w:rsid w:val="3F9735ED"/>
    <w:rsid w:val="406F10FE"/>
    <w:rsid w:val="41D7274C"/>
    <w:rsid w:val="43341C42"/>
    <w:rsid w:val="44CF7FDD"/>
    <w:rsid w:val="47C301BE"/>
    <w:rsid w:val="47D64008"/>
    <w:rsid w:val="4D947055"/>
    <w:rsid w:val="4DE30581"/>
    <w:rsid w:val="52D1596A"/>
    <w:rsid w:val="570C1F76"/>
    <w:rsid w:val="573C513C"/>
    <w:rsid w:val="5A7939ED"/>
    <w:rsid w:val="5AC63941"/>
    <w:rsid w:val="5BDE7D91"/>
    <w:rsid w:val="62253F0C"/>
    <w:rsid w:val="63226B58"/>
    <w:rsid w:val="63B84DD3"/>
    <w:rsid w:val="66720D57"/>
    <w:rsid w:val="7144098D"/>
    <w:rsid w:val="72BF7043"/>
    <w:rsid w:val="733542A2"/>
    <w:rsid w:val="78076275"/>
    <w:rsid w:val="780E4B88"/>
    <w:rsid w:val="7B0C24C7"/>
    <w:rsid w:val="7BAC108C"/>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sz w:val="21"/>
      <w:szCs w:val="22"/>
    </w:rPr>
  </w:style>
  <w:style w:type="character" w:default="1" w:styleId="2">
    <w:name w:val="Default Paragraph Font"/>
    <w:semiHidden/>
    <w:uiPriority w:val="0"/>
  </w:style>
  <w:style w:type="table" w:default="1" w:styleId="3">
    <w:name w:val="Normal Table"/>
    <w:semiHidden/>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1</TotalTime>
  <ScaleCrop>false</ScaleCrop>
  <LinksUpToDate>false</LinksUpToDate>
  <Application>WPS Office_10.8.0.6501_F1E327BC-269C-435d-A152-05C5408002CA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2025-08-12T09:49:00Z</dcterms:created>
  <dc:creator>Administrator</dc:creator>
  <cp:lastModifiedBy>Administrator</cp:lastModifiedBy>
  <dcterms:modified xsi:type="dcterms:W3CDTF">2025-08-26T03:23:16Z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2052-10.8.0.6501</vt:lpwstr>
  </property>
</Properties>
</file>