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7E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Theme="minorEastAsia" w:hAnsiTheme="minorEastAsia" w:eastAsiaTheme="minorEastAsia" w:cstheme="minorEastAsia"/>
          <w:color w:val="333333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 w:bidi="ar"/>
        </w:rPr>
        <w:t>附件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 w:bidi="ar"/>
        </w:rPr>
        <w:t>2</w:t>
      </w:r>
    </w:p>
    <w:p w14:paraId="17260ACF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11ADBE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D61CE47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7DBBF2F"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3C61E4F"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3C7FF74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AF9C26A"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自治区部门单位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支出绩效</w:t>
      </w:r>
    </w:p>
    <w:p w14:paraId="350B6EC0"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  <w:lang w:eastAsia="zh-CN"/>
        </w:rPr>
        <w:t>评价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报告</w:t>
      </w:r>
    </w:p>
    <w:p w14:paraId="0BEB6704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0AA3B24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 w14:paraId="3D655392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C7AD07E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CD131E6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F9A991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38F1EE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EF7A2A7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05761D90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</w:t>
      </w:r>
    </w:p>
    <w:p w14:paraId="5883BD42"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部门单位名称（公章）：</w:t>
      </w:r>
      <w:r>
        <w:rPr>
          <w:rFonts w:hint="eastAsia" w:hAnsi="宋体" w:cs="宋体"/>
          <w:kern w:val="0"/>
          <w:sz w:val="36"/>
          <w:szCs w:val="36"/>
          <w:lang w:eastAsia="zh-CN"/>
        </w:rPr>
        <w:t>自治区畜牧总站</w:t>
      </w:r>
    </w:p>
    <w:p w14:paraId="2F73FEBB"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2025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2月25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 w14:paraId="26C42846"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</w:p>
    <w:p w14:paraId="715B934F"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</w:p>
    <w:p w14:paraId="1B647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 w:bidi="ar"/>
        </w:rPr>
      </w:pPr>
    </w:p>
    <w:p w14:paraId="521252B9"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 w14:paraId="05D0EE0D">
      <w:pPr>
        <w:jc w:val="center"/>
        <w:rPr>
          <w:rFonts w:ascii="仿宋_GB2312"/>
        </w:rPr>
      </w:pPr>
      <w:r>
        <w:rPr>
          <w:rFonts w:hint="eastAsia" w:ascii="仿宋_GB2312"/>
        </w:rPr>
        <w:t>（参考提纲）</w:t>
      </w:r>
    </w:p>
    <w:p w14:paraId="5AA8F125">
      <w:pPr>
        <w:jc w:val="center"/>
        <w:rPr>
          <w:rFonts w:ascii="仿宋_GB2312"/>
          <w:szCs w:val="30"/>
        </w:rPr>
      </w:pPr>
    </w:p>
    <w:p w14:paraId="76124197"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一、基本情况</w:t>
      </w:r>
    </w:p>
    <w:p w14:paraId="0B148AA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rPr>
          <w:rFonts w:hint="eastAsia" w:ascii="仿宋_GB2312"/>
        </w:rPr>
      </w:pPr>
      <w:r>
        <w:rPr>
          <w:rFonts w:hint="eastAsia" w:eastAsia="楷体_GB2312"/>
          <w:b/>
          <w:bCs/>
          <w:sz w:val="32"/>
          <w:szCs w:val="32"/>
        </w:rPr>
        <w:t>（一）项目概况。</w:t>
      </w:r>
    </w:p>
    <w:p w14:paraId="7709AD1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1、项目背景</w:t>
      </w:r>
    </w:p>
    <w:p w14:paraId="225BBB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640" w:firstLineChars="200"/>
        <w:jc w:val="both"/>
        <w:textAlignment w:val="baseline"/>
        <w:rPr>
          <w:rFonts w:hint="eastAsia" w:ascii="仿宋_GB2312" w:hAnsi="华文仿宋" w:eastAsia="仿宋_GB2312" w:cs="华文仿宋"/>
          <w:color w:val="auto"/>
          <w:sz w:val="32"/>
          <w:szCs w:val="32"/>
        </w:rPr>
      </w:pP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项目承担单位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新疆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维吾尔自治区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畜牧总站是全额拨款事业单位，隶属于自治区畜牧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兽医局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。现有职工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val="en-US" w:eastAsia="zh-CN"/>
        </w:rPr>
        <w:t>72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人，其中正高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人，副高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人，硕士1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人。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内设办公室、财务科、组织人事科、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种畜禽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质量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监督管理科、畜禽资源科、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产业技术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科、体系建设科、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饲草饲料科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val="en-US" w:eastAsia="zh-CN"/>
        </w:rPr>
        <w:t>8个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科室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根据《中华人民共和国畜牧法》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和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《中华人民共和国农业技术推广法》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相关要求，自治区畜牧总站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主要承担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全区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畜禽品种改良、遗传资源保护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、种畜禽质量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检验检测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  <w:lang w:eastAsia="zh-CN"/>
        </w:rPr>
        <w:t>、马产业规划、草牧业发展、饲草良种繁育、畜牧业技术推广</w:t>
      </w:r>
      <w:r>
        <w:rPr>
          <w:rFonts w:hint="eastAsia" w:ascii="仿宋_GB2312" w:hAnsi="华文仿宋" w:eastAsia="仿宋_GB2312" w:cs="华文仿宋"/>
          <w:color w:val="auto"/>
          <w:sz w:val="32"/>
          <w:szCs w:val="32"/>
        </w:rPr>
        <w:t>等工作。</w:t>
      </w:r>
    </w:p>
    <w:p w14:paraId="1A8409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baseline"/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为深入贯彻落实《国务院办公厅关于促进畜牧业高质量发展的意见》（国办发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〔2020〕31号）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和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《关于加快推进新疆畜牧业高质量发展的通知》（新政办发〔2020〕82号）精神，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val="en-US" w:eastAsia="zh-CN"/>
        </w:rPr>
        <w:t>落实</w:t>
      </w:r>
      <w:r>
        <w:rPr>
          <w:rFonts w:ascii="Times New Roman" w:hAnsi="Times New Roman" w:eastAsia="仿宋_GB2312"/>
          <w:sz w:val="32"/>
          <w:szCs w:val="32"/>
        </w:rPr>
        <w:t>《2023年自治区畜牧兽医工作要点责任分工方案》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要求，自治区畜牧总站组织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开展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了</w:t>
      </w:r>
      <w:r>
        <w:rPr>
          <w:rFonts w:hint="eastAsia" w:eastAsia="仿宋_GB2312"/>
          <w:sz w:val="32"/>
          <w:szCs w:val="32"/>
        </w:rPr>
        <w:t>畜禽良种繁育和品种改良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畜禽遗传资源保护与利用</w:t>
      </w:r>
      <w:r>
        <w:rPr>
          <w:rFonts w:hint="eastAsia" w:eastAsia="仿宋_GB2312"/>
          <w:sz w:val="32"/>
          <w:szCs w:val="32"/>
          <w:lang w:eastAsia="zh-CN"/>
        </w:rPr>
        <w:t>、畜牧技术推广、畜牧业推广体系及统计监测、饲草料生产加工利用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等</w:t>
      </w:r>
      <w:r>
        <w:rPr>
          <w:rFonts w:hint="eastAsia" w:eastAsia="仿宋_GB2312"/>
          <w:sz w:val="32"/>
          <w:szCs w:val="32"/>
          <w:lang w:val="en-US" w:eastAsia="zh-CN"/>
        </w:rPr>
        <w:t>5项内容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，对加快推进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我区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畜禽种业发展，提升畜牧业质量效益和竞争力奠定了坚实基础。</w:t>
      </w:r>
    </w:p>
    <w:p w14:paraId="06A5942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rPr>
          <w:highlight w:val="yellow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2、</w:t>
      </w:r>
      <w:r>
        <w:rPr>
          <w:rFonts w:eastAsia="仿宋_GB2312"/>
          <w:b/>
          <w:bCs/>
          <w:sz w:val="32"/>
          <w:szCs w:val="32"/>
        </w:rPr>
        <w:t>项目主要内容</w:t>
      </w:r>
    </w:p>
    <w:p w14:paraId="02560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现代畜牧业发展专项资金</w:t>
      </w:r>
      <w:r>
        <w:rPr>
          <w:rFonts w:hint="eastAsia" w:eastAsia="仿宋_GB2312"/>
          <w:sz w:val="32"/>
          <w:szCs w:val="32"/>
          <w:lang w:eastAsia="zh-CN"/>
        </w:rPr>
        <w:t>项目主要包含</w:t>
      </w:r>
      <w:r>
        <w:rPr>
          <w:rFonts w:hint="eastAsia" w:eastAsia="仿宋_GB2312"/>
          <w:sz w:val="32"/>
          <w:szCs w:val="32"/>
        </w:rPr>
        <w:t>畜禽良种繁育和品种改良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畜禽遗传资源保护与利用</w:t>
      </w:r>
      <w:r>
        <w:rPr>
          <w:rFonts w:hint="eastAsia" w:eastAsia="仿宋_GB2312"/>
          <w:sz w:val="32"/>
          <w:szCs w:val="32"/>
          <w:lang w:eastAsia="zh-CN"/>
        </w:rPr>
        <w:t>、畜牧技术推广、畜牧业推广体系及统计监测、饲草料生产加工利用</w:t>
      </w:r>
      <w:r>
        <w:rPr>
          <w:rFonts w:hint="eastAsia" w:eastAsia="仿宋_GB2312"/>
          <w:sz w:val="32"/>
          <w:szCs w:val="32"/>
          <w:lang w:val="en-US" w:eastAsia="zh-CN"/>
        </w:rPr>
        <w:t>5项实施内容，资金分配额度分别为120万元、70万元、56万元、40万元、55万元。</w:t>
      </w:r>
    </w:p>
    <w:p w14:paraId="7589A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</w:pPr>
      <w:r>
        <w:rPr>
          <w:rFonts w:eastAsia="仿宋_GB2312"/>
          <w:sz w:val="32"/>
          <w:szCs w:val="32"/>
        </w:rPr>
        <w:t>项目实施情况：</w:t>
      </w:r>
      <w:r>
        <w:rPr>
          <w:rFonts w:hint="eastAsia" w:eastAsia="仿宋_GB2312"/>
          <w:sz w:val="32"/>
          <w:szCs w:val="32"/>
          <w:lang w:val="en-US" w:eastAsia="zh-CN"/>
        </w:rPr>
        <w:t>项目</w:t>
      </w:r>
      <w:r>
        <w:rPr>
          <w:rFonts w:hint="eastAsia" w:eastAsia="仿宋_GB2312"/>
          <w:sz w:val="32"/>
          <w:szCs w:val="32"/>
        </w:rPr>
        <w:t>实施期限为202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年1月1日</w:t>
      </w:r>
      <w:r>
        <w:rPr>
          <w:rFonts w:hint="eastAsia" w:eastAsia="仿宋_GB2312"/>
          <w:sz w:val="32"/>
          <w:szCs w:val="32"/>
          <w:lang w:eastAsia="zh-CN"/>
        </w:rPr>
        <w:t>至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年12月31日，实施周期为1年。</w:t>
      </w:r>
      <w:r>
        <w:rPr>
          <w:rFonts w:eastAsia="仿宋_GB2312"/>
          <w:sz w:val="32"/>
          <w:szCs w:val="32"/>
        </w:rPr>
        <w:t>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 w14:paraId="56BA3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</w:pPr>
      <w:r>
        <w:rPr>
          <w:rFonts w:hint="eastAsia" w:eastAsia="仿宋_GB2312"/>
          <w:sz w:val="32"/>
          <w:szCs w:val="32"/>
          <w:lang w:eastAsia="zh-CN"/>
        </w:rPr>
        <w:t>本</w:t>
      </w:r>
      <w:r>
        <w:rPr>
          <w:rFonts w:hint="eastAsia" w:eastAsia="仿宋_GB2312"/>
          <w:sz w:val="32"/>
          <w:szCs w:val="32"/>
        </w:rPr>
        <w:t>项目总投资</w:t>
      </w:r>
      <w:r>
        <w:rPr>
          <w:rFonts w:hint="eastAsia" w:eastAsia="仿宋_GB2312"/>
          <w:sz w:val="32"/>
          <w:szCs w:val="32"/>
          <w:lang w:val="en-US" w:eastAsia="zh-CN"/>
        </w:rPr>
        <w:t>341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color w:val="auto"/>
          <w:sz w:val="32"/>
          <w:szCs w:val="32"/>
        </w:rPr>
        <w:t>，其中：财政本级资金</w:t>
      </w:r>
      <w:r>
        <w:rPr>
          <w:rFonts w:hint="eastAsia"/>
          <w:color w:val="auto"/>
          <w:sz w:val="32"/>
          <w:szCs w:val="32"/>
          <w:lang w:val="en-US" w:eastAsia="zh-CN"/>
        </w:rPr>
        <w:t>200</w:t>
      </w:r>
      <w:r>
        <w:rPr>
          <w:rFonts w:hint="eastAsia" w:eastAsia="仿宋_GB2312"/>
          <w:color w:val="auto"/>
          <w:sz w:val="32"/>
          <w:szCs w:val="32"/>
        </w:rPr>
        <w:t>万元</w:t>
      </w:r>
      <w:r>
        <w:rPr>
          <w:rFonts w:hint="eastAsia"/>
          <w:color w:val="auto"/>
          <w:sz w:val="32"/>
          <w:szCs w:val="32"/>
          <w:lang w:eastAsia="zh-CN"/>
        </w:rPr>
        <w:t>，其他资金</w:t>
      </w:r>
      <w:r>
        <w:rPr>
          <w:rFonts w:hint="eastAsia"/>
          <w:color w:val="auto"/>
          <w:sz w:val="32"/>
          <w:szCs w:val="32"/>
          <w:lang w:val="en-US" w:eastAsia="zh-CN"/>
        </w:rPr>
        <w:t>141万元</w:t>
      </w:r>
      <w:r>
        <w:rPr>
          <w:rFonts w:hint="eastAsia" w:eastAsia="仿宋_GB2312"/>
          <w:color w:val="auto"/>
          <w:sz w:val="32"/>
          <w:szCs w:val="32"/>
        </w:rPr>
        <w:t>。项目实际支</w:t>
      </w:r>
      <w:r>
        <w:rPr>
          <w:rFonts w:hint="eastAsia" w:eastAsia="仿宋_GB2312"/>
          <w:sz w:val="32"/>
          <w:szCs w:val="32"/>
        </w:rPr>
        <w:t>出</w:t>
      </w:r>
      <w:r>
        <w:rPr>
          <w:rFonts w:hint="eastAsia" w:eastAsia="仿宋_GB2312"/>
          <w:sz w:val="32"/>
          <w:szCs w:val="32"/>
          <w:lang w:val="en-US" w:eastAsia="zh-CN"/>
        </w:rPr>
        <w:t>341</w:t>
      </w:r>
      <w:r>
        <w:rPr>
          <w:rFonts w:hint="eastAsia" w:eastAsia="仿宋_GB2312"/>
          <w:sz w:val="32"/>
          <w:szCs w:val="32"/>
        </w:rPr>
        <w:t>万元，支出率为100%。</w:t>
      </w:r>
    </w:p>
    <w:p w14:paraId="6A2B6E4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3、资金投入和使用情况</w:t>
      </w:r>
    </w:p>
    <w:p w14:paraId="63D379BE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（1）资金安排，本项目总投资341万元，其中：财政本级资金200万元，其他资金141万元。</w:t>
      </w:r>
    </w:p>
    <w:p w14:paraId="303CF2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项目总投资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34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</w:t>
      </w:r>
      <w:r>
        <w:rPr>
          <w:rFonts w:eastAsia="仿宋_GB2312"/>
          <w:sz w:val="32"/>
          <w:szCs w:val="32"/>
        </w:rPr>
        <w:t>元，按照单位财务制度等相关规定，资金支出符合</w:t>
      </w:r>
      <w:r>
        <w:rPr>
          <w:rFonts w:hint="eastAsia" w:eastAsia="仿宋_GB2312"/>
          <w:sz w:val="32"/>
          <w:szCs w:val="32"/>
          <w:lang w:eastAsia="zh-CN"/>
        </w:rPr>
        <w:t>现代畜牧业发展</w:t>
      </w:r>
      <w:r>
        <w:rPr>
          <w:rFonts w:eastAsia="仿宋_GB2312"/>
          <w:sz w:val="32"/>
          <w:szCs w:val="32"/>
        </w:rPr>
        <w:t>专项资金费用范围，做到了专款专用。在项目资金拨付和使用过程中，为确保项目资金的安全性，提高项目资金使用效率，严格遵循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项目资</w:t>
      </w:r>
      <w:r>
        <w:rPr>
          <w:rFonts w:eastAsia="仿宋_GB2312"/>
          <w:sz w:val="32"/>
          <w:szCs w:val="32"/>
        </w:rPr>
        <w:t>金的拨付程序，认真审核项目实施各阶段的相关材料和手续，根据项目实施进展情况</w:t>
      </w:r>
      <w:r>
        <w:rPr>
          <w:rFonts w:hint="eastAsia" w:eastAsia="仿宋_GB2312"/>
          <w:sz w:val="32"/>
          <w:szCs w:val="32"/>
          <w:lang w:eastAsia="zh-CN"/>
        </w:rPr>
        <w:t>使用</w:t>
      </w:r>
      <w:r>
        <w:rPr>
          <w:rFonts w:eastAsia="仿宋_GB2312"/>
          <w:sz w:val="32"/>
          <w:szCs w:val="32"/>
        </w:rPr>
        <w:t>资金。</w:t>
      </w:r>
    </w:p>
    <w:p w14:paraId="73F6E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（2）预算资金来源及使用情况</w:t>
      </w:r>
      <w:bookmarkStart w:id="0" w:name="page10"/>
      <w:bookmarkEnd w:id="0"/>
    </w:p>
    <w:p w14:paraId="76EA867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ascii="Times New Roman" w:hAnsi="Times New Roman" w:eastAsia="仿宋_GB2312"/>
          <w:b w:val="0"/>
          <w:bCs w:val="0"/>
          <w:kern w:val="2"/>
        </w:rPr>
      </w:pPr>
      <w:r>
        <w:rPr>
          <w:rFonts w:ascii="Times New Roman" w:hAnsi="Times New Roman" w:eastAsia="仿宋_GB2312"/>
          <w:b w:val="0"/>
          <w:bCs w:val="0"/>
          <w:kern w:val="2"/>
        </w:rPr>
        <w:t>项目预算资金来源于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自治区财政</w:t>
      </w:r>
      <w:r>
        <w:rPr>
          <w:rFonts w:ascii="Times New Roman" w:hAnsi="Times New Roman" w:eastAsia="仿宋_GB2312"/>
          <w:b w:val="0"/>
          <w:bCs w:val="0"/>
          <w:kern w:val="2"/>
        </w:rPr>
        <w:t>，项目资金到位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val="en-US" w:eastAsia="zh-CN"/>
        </w:rPr>
        <w:t>341</w:t>
      </w:r>
      <w:r>
        <w:rPr>
          <w:rFonts w:ascii="Times New Roman" w:hAnsi="Times New Roman" w:eastAsia="仿宋_GB2312"/>
          <w:b w:val="0"/>
          <w:bCs w:val="0"/>
          <w:kern w:val="2"/>
        </w:rPr>
        <w:t>万元，</w:t>
      </w:r>
      <w:r>
        <w:rPr>
          <w:rFonts w:hint="eastAsia" w:ascii="Times New Roman" w:hAnsi="Times New Roman" w:eastAsia="仿宋_GB2312"/>
          <w:b w:val="0"/>
          <w:bCs w:val="0"/>
          <w:kern w:val="2"/>
        </w:rPr>
        <w:t>全年执行</w:t>
      </w:r>
      <w:r>
        <w:rPr>
          <w:rFonts w:hint="eastAsia" w:ascii="Times New Roman" w:hAnsi="Times New Roman" w:eastAsia="仿宋_GB2312"/>
          <w:b w:val="0"/>
          <w:bCs w:val="0"/>
          <w:kern w:val="2"/>
          <w:lang w:val="en-US" w:eastAsia="zh-CN"/>
        </w:rPr>
        <w:t>341</w:t>
      </w:r>
      <w:r>
        <w:rPr>
          <w:rFonts w:hint="eastAsia" w:ascii="Times New Roman" w:hAnsi="Times New Roman" w:eastAsia="仿宋_GB2312"/>
          <w:b w:val="0"/>
          <w:bCs w:val="0"/>
          <w:kern w:val="2"/>
        </w:rPr>
        <w:t>万元，预算执行率为</w:t>
      </w:r>
      <w:r>
        <w:rPr>
          <w:rFonts w:hint="eastAsia" w:ascii="Times New Roman" w:hAnsi="Times New Roman" w:eastAsia="仿宋_GB2312"/>
          <w:b w:val="0"/>
          <w:bCs w:val="0"/>
          <w:kern w:val="2"/>
          <w:lang w:val="en-US" w:eastAsia="zh-CN"/>
        </w:rPr>
        <w:t>100</w:t>
      </w:r>
      <w:r>
        <w:rPr>
          <w:rFonts w:ascii="Times New Roman" w:hAnsi="Times New Roman" w:eastAsia="仿宋_GB2312"/>
          <w:b w:val="0"/>
          <w:bCs w:val="0"/>
          <w:kern w:val="2"/>
        </w:rPr>
        <w:t>%</w:t>
      </w:r>
      <w:r>
        <w:rPr>
          <w:rFonts w:hint="eastAsia" w:ascii="Times New Roman" w:hAnsi="Times New Roman" w:eastAsia="仿宋_GB2312"/>
          <w:b w:val="0"/>
          <w:bCs w:val="0"/>
          <w:kern w:val="2"/>
          <w:lang w:eastAsia="zh-CN"/>
        </w:rPr>
        <w:t>，</w:t>
      </w:r>
      <w:r>
        <w:rPr>
          <w:rFonts w:hint="eastAsia" w:ascii="Times New Roman" w:hAnsi="Times New Roman" w:eastAsia="仿宋_GB2312"/>
          <w:b w:val="0"/>
          <w:bCs w:val="0"/>
          <w:kern w:val="2"/>
        </w:rPr>
        <w:t>主要</w:t>
      </w:r>
      <w:r>
        <w:rPr>
          <w:rFonts w:ascii="Times New Roman" w:hAnsi="Times New Roman" w:eastAsia="仿宋_GB2312"/>
          <w:b w:val="0"/>
          <w:bCs w:val="0"/>
          <w:kern w:val="2"/>
        </w:rPr>
        <w:t>用于支付项目实施进程中的各项费用。</w:t>
      </w:r>
    </w:p>
    <w:p w14:paraId="613B8B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0"/>
        <w:rPr>
          <w:rFonts w:ascii="仿宋_GB2312"/>
        </w:rPr>
      </w:pPr>
      <w:r>
        <w:rPr>
          <w:rFonts w:hint="eastAsia" w:ascii="仿宋_GB2312"/>
        </w:rPr>
        <w:t>包括项目背景、主要内容及实施情况、资金投入和使用情况等。</w:t>
      </w:r>
    </w:p>
    <w:p w14:paraId="6C74D62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（二）项目绩效目标</w:t>
      </w:r>
    </w:p>
    <w:p w14:paraId="5FCB8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1、总体目标</w:t>
      </w:r>
    </w:p>
    <w:p w14:paraId="3F84D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eastAsia="仿宋_GB2312"/>
          <w:sz w:val="32"/>
          <w:szCs w:val="32"/>
        </w:rPr>
        <w:t>畜禽良种繁育和品种改良持续加快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，种畜场管理不断规范，畜禽良种率不断提高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，供种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能力稳步提升。（2）</w:t>
      </w:r>
      <w:r>
        <w:rPr>
          <w:rFonts w:hint="eastAsia" w:eastAsia="仿宋_GB2312"/>
          <w:sz w:val="32"/>
          <w:szCs w:val="32"/>
        </w:rPr>
        <w:t>畜禽遗传资源保护能力持续提升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第三次畜禽遗传资源普查</w:t>
      </w:r>
      <w:r>
        <w:rPr>
          <w:rFonts w:hint="eastAsia" w:eastAsia="仿宋_GB2312"/>
          <w:sz w:val="32"/>
          <w:szCs w:val="32"/>
          <w:lang w:val="en-US" w:eastAsia="zh-CN"/>
        </w:rPr>
        <w:t>顺利收官</w:t>
      </w:r>
      <w:r>
        <w:rPr>
          <w:rFonts w:hint="eastAsia" w:eastAsia="仿宋_GB2312"/>
          <w:sz w:val="32"/>
          <w:szCs w:val="32"/>
        </w:rPr>
        <w:t>，申报鉴定一批新发现资源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eastAsia="仿宋_GB2312"/>
          <w:sz w:val="32"/>
          <w:szCs w:val="32"/>
        </w:rPr>
        <w:t>畜禽保护品种和保种场（区）建设数量持续增加，保护水平不断提高，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畜禽遗传资源得到有效保护，基因库遗传物质库存持续增加。（3）</w:t>
      </w:r>
      <w:r>
        <w:rPr>
          <w:rFonts w:hint="eastAsia" w:eastAsia="仿宋_GB2312"/>
          <w:sz w:val="32"/>
          <w:szCs w:val="32"/>
          <w:lang w:val="en-US" w:eastAsia="zh-CN"/>
        </w:rPr>
        <w:t>持续加大</w:t>
      </w:r>
      <w:r>
        <w:rPr>
          <w:rFonts w:hint="eastAsia" w:eastAsia="仿宋_GB2312"/>
          <w:sz w:val="32"/>
          <w:szCs w:val="32"/>
        </w:rPr>
        <w:t>畜牧技术推</w:t>
      </w:r>
      <w:r>
        <w:rPr>
          <w:rFonts w:hint="eastAsia" w:eastAsia="仿宋_GB2312"/>
          <w:sz w:val="32"/>
          <w:szCs w:val="32"/>
          <w:lang w:val="en-US" w:eastAsia="zh-CN"/>
        </w:rPr>
        <w:t>广力度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畜禽健康养殖、高效繁殖、营养调控、疫病防控、粪污资源化利用等常用技术普及率不断提高，养殖水平持续提升，畜牧业综合生产能力</w:t>
      </w:r>
      <w:r>
        <w:rPr>
          <w:rFonts w:hint="eastAsia" w:eastAsia="仿宋_GB2312"/>
          <w:sz w:val="32"/>
          <w:szCs w:val="32"/>
          <w:lang w:val="en-US" w:eastAsia="zh-CN"/>
        </w:rPr>
        <w:t>持续增强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（4）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进一步完善</w:t>
      </w:r>
      <w:r>
        <w:rPr>
          <w:rFonts w:hint="eastAsia" w:eastAsia="仿宋_GB2312"/>
          <w:sz w:val="32"/>
          <w:szCs w:val="32"/>
        </w:rPr>
        <w:t>畜牧业畜禽统计监测体系</w:t>
      </w:r>
      <w:r>
        <w:rPr>
          <w:rFonts w:hint="eastAsia" w:eastAsia="仿宋_GB2312"/>
          <w:sz w:val="32"/>
          <w:szCs w:val="32"/>
          <w:lang w:val="en-US" w:eastAsia="zh-CN"/>
        </w:rPr>
        <w:t>建设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监测点数据采集完成率</w:t>
      </w:r>
      <w:r>
        <w:rPr>
          <w:rFonts w:hint="eastAsia" w:eastAsia="仿宋_GB2312"/>
          <w:sz w:val="32"/>
          <w:szCs w:val="32"/>
          <w:lang w:val="en-US" w:eastAsia="zh-CN"/>
        </w:rPr>
        <w:t>和准确率稳步提高，</w:t>
      </w:r>
      <w:r>
        <w:rPr>
          <w:rFonts w:hint="eastAsia" w:eastAsia="仿宋_GB2312"/>
          <w:sz w:val="32"/>
          <w:szCs w:val="32"/>
        </w:rPr>
        <w:t>统计监测对畜牧业生产的指导与咨询服务功能</w:t>
      </w:r>
      <w:r>
        <w:rPr>
          <w:rFonts w:hint="eastAsia" w:eastAsia="仿宋_GB2312"/>
          <w:sz w:val="32"/>
          <w:szCs w:val="32"/>
          <w:lang w:val="en-US" w:eastAsia="zh-CN"/>
        </w:rPr>
        <w:t>持续加强。（5）</w:t>
      </w:r>
      <w:r>
        <w:rPr>
          <w:rFonts w:hint="eastAsia" w:eastAsia="仿宋_GB2312"/>
          <w:sz w:val="32"/>
          <w:szCs w:val="32"/>
        </w:rPr>
        <w:t>持续提高饲草料生产加工利用水平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完善</w:t>
      </w:r>
      <w:r>
        <w:rPr>
          <w:rFonts w:hint="eastAsia" w:eastAsia="仿宋_GB2312"/>
          <w:sz w:val="32"/>
          <w:szCs w:val="32"/>
        </w:rPr>
        <w:t>草料营养监测与质量监测数据库，提升饲草料科学调制</w:t>
      </w:r>
      <w:r>
        <w:rPr>
          <w:rFonts w:hint="eastAsia" w:eastAsia="仿宋_GB2312"/>
          <w:sz w:val="32"/>
          <w:szCs w:val="32"/>
          <w:lang w:val="en-US" w:eastAsia="zh-CN"/>
        </w:rPr>
        <w:t>和</w:t>
      </w:r>
      <w:r>
        <w:rPr>
          <w:rFonts w:hint="eastAsia" w:eastAsia="仿宋_GB2312"/>
          <w:sz w:val="32"/>
          <w:szCs w:val="32"/>
        </w:rPr>
        <w:t>饲喂效果,开展优质饲草生产示范推广，提高饲草种植水平，推广高效生产模式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 w14:paraId="6B7B4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</w:pPr>
      <w:r>
        <w:rPr>
          <w:rFonts w:eastAsia="仿宋_GB2312"/>
          <w:sz w:val="32"/>
          <w:szCs w:val="32"/>
        </w:rPr>
        <w:t>2、阶段性目标</w:t>
      </w:r>
    </w:p>
    <w:p w14:paraId="3E7AB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（1）前期准备：通过制定项目实施方案，经项目负责人审核通过后，有序开展后续工作。</w:t>
      </w:r>
    </w:p>
    <w:p w14:paraId="6B851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eastAsia="仿宋_GB2312"/>
          <w:sz w:val="32"/>
          <w:szCs w:val="32"/>
        </w:rPr>
        <w:t>（2）组织实施：资金一到位，立即根据项目要求实施项目。项目责任人按照项目实施方案要求逐一进行项目部署安排，提高项目质量及效率性。</w:t>
      </w:r>
    </w:p>
    <w:p w14:paraId="544BC323">
      <w:pPr>
        <w:spacing w:line="600" w:lineRule="exact"/>
        <w:ind w:firstLine="600" w:firstLineChars="200"/>
      </w:pPr>
      <w:r>
        <w:rPr>
          <w:rFonts w:hint="eastAsia" w:ascii="黑体" w:hAnsi="黑体" w:eastAsia="黑体"/>
        </w:rPr>
        <w:t>二、绩效评价工作开展情况</w:t>
      </w:r>
    </w:p>
    <w:p w14:paraId="0DEE72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textAlignment w:val="auto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（一）绩效评价目的、对象和范围</w:t>
      </w:r>
    </w:p>
    <w:p w14:paraId="78549A9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1、绩效评价的目的</w:t>
      </w:r>
    </w:p>
    <w:p w14:paraId="1546A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 w14:paraId="388F14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eastAsia="仿宋_GB2312"/>
          <w:color w:val="000000"/>
          <w:sz w:val="32"/>
          <w:szCs w:val="32"/>
        </w:rPr>
        <w:t>）项目在实施前向项目负责人提供财政支出绩效方面的资金管理信息，促进项目支出严格按照资金管理规定进行。</w:t>
      </w:r>
    </w:p>
    <w:p w14:paraId="0FE3A4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（2）项目绩效管理财政支出运行提供及时、有效的信息。</w:t>
      </w:r>
    </w:p>
    <w:p w14:paraId="1CBE68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综合来看，通过开展有效的财政支出绩效评价管理，达到改进预算管理、控制节约成本，提高预算资金使用效益的目的。</w:t>
      </w:r>
    </w:p>
    <w:p w14:paraId="65BAE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2、绩效评价的对象</w:t>
      </w:r>
    </w:p>
    <w:p w14:paraId="224187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现代畜牧业发展专项资金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（现代种畜提升、畜禽遗传资源保护与利用、</w:t>
      </w:r>
      <w:r>
        <w:rPr>
          <w:rFonts w:hint="eastAsia" w:eastAsia="仿宋_GB2312"/>
          <w:sz w:val="32"/>
          <w:szCs w:val="32"/>
        </w:rPr>
        <w:t>畜牧技术推</w:t>
      </w:r>
      <w:r>
        <w:rPr>
          <w:rFonts w:hint="eastAsia" w:eastAsia="仿宋_GB2312"/>
          <w:sz w:val="32"/>
          <w:szCs w:val="32"/>
          <w:lang w:val="en-US" w:eastAsia="zh-CN"/>
        </w:rPr>
        <w:t>广、</w:t>
      </w:r>
      <w:r>
        <w:rPr>
          <w:rFonts w:hint="eastAsia" w:eastAsia="仿宋_GB2312"/>
          <w:sz w:val="32"/>
          <w:szCs w:val="32"/>
          <w:lang w:eastAsia="zh-CN"/>
        </w:rPr>
        <w:t>畜牧业推广体系及统计监测、饲草料生产加工利用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等）项目所包含的</w:t>
      </w:r>
      <w:r>
        <w:rPr>
          <w:rFonts w:hint="eastAsia" w:eastAsia="仿宋_GB2312"/>
          <w:sz w:val="32"/>
          <w:szCs w:val="32"/>
        </w:rPr>
        <w:t>畜禽良种繁育和品种改良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畜禽遗传资源保护与利用</w:t>
      </w:r>
      <w:r>
        <w:rPr>
          <w:rFonts w:hint="eastAsia" w:eastAsia="仿宋_GB2312"/>
          <w:sz w:val="32"/>
          <w:szCs w:val="32"/>
          <w:lang w:eastAsia="zh-CN"/>
        </w:rPr>
        <w:t>、畜牧技术推广、畜牧业推广体系及统计监测、饲草料生产加工利用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w w:val="100"/>
          <w:sz w:val="32"/>
          <w:lang w:eastAsia="zh-CN"/>
        </w:rPr>
        <w:t>等</w:t>
      </w:r>
      <w:r>
        <w:rPr>
          <w:rFonts w:hint="eastAsia" w:eastAsia="仿宋_GB2312"/>
          <w:sz w:val="32"/>
          <w:szCs w:val="32"/>
          <w:lang w:val="en-US" w:eastAsia="zh-CN"/>
        </w:rPr>
        <w:t>5项内容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实施内容。</w:t>
      </w:r>
    </w:p>
    <w:p w14:paraId="0A422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现代畜牧业发展专项资金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（现代种畜提升、畜禽遗传资源保护与利用、</w:t>
      </w:r>
      <w:r>
        <w:rPr>
          <w:rFonts w:hint="eastAsia" w:eastAsia="仿宋_GB2312"/>
          <w:sz w:val="32"/>
          <w:szCs w:val="32"/>
        </w:rPr>
        <w:t>畜牧技术推</w:t>
      </w:r>
      <w:r>
        <w:rPr>
          <w:rFonts w:hint="eastAsia" w:eastAsia="仿宋_GB2312"/>
          <w:sz w:val="32"/>
          <w:szCs w:val="32"/>
          <w:lang w:val="en-US" w:eastAsia="zh-CN"/>
        </w:rPr>
        <w:t>广、</w:t>
      </w:r>
      <w:r>
        <w:rPr>
          <w:rFonts w:hint="eastAsia" w:eastAsia="仿宋_GB2312"/>
          <w:sz w:val="32"/>
          <w:szCs w:val="32"/>
          <w:lang w:eastAsia="zh-CN"/>
        </w:rPr>
        <w:t>畜牧业推广体系及统计监测、饲草料生产加工利用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项目的决策、过程、产出、效益等。</w:t>
      </w:r>
    </w:p>
    <w:p w14:paraId="05A4D1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textAlignment w:val="auto"/>
      </w:pPr>
      <w:r>
        <w:rPr>
          <w:rFonts w:eastAsia="楷体_GB2312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12DCCB9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b w:val="0"/>
          <w:bCs w:val="0"/>
        </w:rPr>
      </w:pPr>
      <w:r>
        <w:rPr>
          <w:rFonts w:ascii="Times New Roman" w:hAnsi="Times New Roman" w:eastAsia="仿宋_GB2312" w:cs="Times New Roman"/>
          <w:b w:val="0"/>
          <w:bCs w:val="0"/>
        </w:rPr>
        <w:t>1、绩效评价原则</w:t>
      </w:r>
    </w:p>
    <w:p w14:paraId="00AD813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b w:val="0"/>
          <w:bCs w:val="0"/>
        </w:rPr>
      </w:pPr>
      <w:r>
        <w:rPr>
          <w:rFonts w:ascii="Times New Roman" w:hAnsi="Times New Roman" w:eastAsia="仿宋_GB2312" w:cs="Times New Roman"/>
          <w:b w:val="0"/>
          <w:bCs w:val="0"/>
        </w:rPr>
        <w:t>本次项目绩效评价遵循以下基本原则：</w:t>
      </w:r>
    </w:p>
    <w:p w14:paraId="4073F9B1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1522547B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6739CF74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66EB4A6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（4）公开透明。绩效评价结果应依法依规公开，并自觉接受社会监督。</w:t>
      </w:r>
    </w:p>
    <w:p w14:paraId="0DCEFC9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2、评价指标体系</w:t>
      </w:r>
    </w:p>
    <w:p w14:paraId="1AD0CC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08" w:firstLineChars="200"/>
        <w:textAlignment w:val="auto"/>
        <w:rPr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169FC2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08" w:firstLineChars="200"/>
        <w:textAlignment w:val="auto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（1）确定评价指标</w:t>
      </w:r>
    </w:p>
    <w:p w14:paraId="4FF6A2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08" w:firstLineChars="200"/>
        <w:textAlignment w:val="auto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60BCC4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708" w:firstLineChars="200"/>
        <w:textAlignment w:val="auto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（2）确定权重</w:t>
      </w:r>
    </w:p>
    <w:p w14:paraId="2310ED08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708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eastAsia="仿宋_GB2312"/>
          <w:b w:val="0"/>
          <w:bCs w:val="0"/>
          <w:color w:val="000000"/>
          <w:spacing w:val="17"/>
          <w:sz w:val="32"/>
          <w:szCs w:val="32"/>
        </w:rPr>
        <w:t>确定各个指标相对于项目总体绩效的权重分值。在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绩效评价指标体系中，项目决策权重为5分，项目过程权重为5分，项目产出权重为50分，项目效益权重为40分。</w:t>
      </w:r>
    </w:p>
    <w:p w14:paraId="67F1B5E2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（3）确定指标标准值</w:t>
      </w:r>
    </w:p>
    <w:p w14:paraId="02FC9598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1BFFA0C5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 w14:paraId="601A201F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具体评价指标体系详情见附件1</w:t>
      </w:r>
    </w:p>
    <w:p w14:paraId="4FE74A3A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3、绩效评价方法</w:t>
      </w:r>
    </w:p>
    <w:p w14:paraId="2F513E0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0CED6BC7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516E4EBF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（1）比较法</w:t>
      </w:r>
    </w:p>
    <w:p w14:paraId="7572763B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通过对绩效目标与实施效果、历史与当期情况，综合分析绩效目标实现程度。对项目最终验收情况与年度绩效目标对比、预算资金执行情况等相关因素进行比较。</w:t>
      </w:r>
    </w:p>
    <w:p w14:paraId="59813638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（2）因素分析法</w:t>
      </w:r>
    </w:p>
    <w:p w14:paraId="740C4EA5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</w:p>
    <w:p w14:paraId="769BA1AA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4、评价标准</w:t>
      </w:r>
    </w:p>
    <w:p w14:paraId="1CAA0F48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绩效评价标准通常包括计划标准、行业标准、历史标准等，用于对绩效指标完成情况进行比较。本次评价主要采用了计划标准和行业标准。</w:t>
      </w:r>
    </w:p>
    <w:p w14:paraId="70B17BAA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711" w:firstLineChars="200"/>
        <w:jc w:val="both"/>
        <w:textAlignment w:val="auto"/>
        <w:rPr>
          <w:rFonts w:ascii="楷体" w:hAnsi="楷体" w:eastAsia="楷体" w:cs="楷体"/>
          <w:color w:val="000000"/>
          <w:spacing w:val="17"/>
        </w:rPr>
      </w:pPr>
      <w:r>
        <w:rPr>
          <w:rFonts w:hint="eastAsia" w:ascii="楷体" w:hAnsi="楷体" w:eastAsia="楷体" w:cs="楷体"/>
          <w:color w:val="000000"/>
          <w:spacing w:val="17"/>
        </w:rPr>
        <w:t>绩效评价工作过程</w:t>
      </w:r>
    </w:p>
    <w:p w14:paraId="3BE1A559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6502FB4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1DF81C7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5A30F201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综合评价情况及评价结论（附相关评分表）</w:t>
      </w:r>
    </w:p>
    <w:p w14:paraId="25DDE90D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对现代畜牧业发展专项资金（现代种畜提升、畜禽遗传资源保护与利用、粪污资源化利用及统计监测等）项目进行客观评价，最终评分结果：总得分为98分，属于“优”。其中，项目决策类指标权重为20分，得分为20分，得分率为100%。项目过程类指标权重为20分，得分为20分，得分率为100%。项目产出类指标权重为40分，得分为39分，得分率为97.5%。项目效益类指标权重为20分，得分为19分，得分率为95%。</w:t>
      </w:r>
    </w:p>
    <w:p w14:paraId="72F17779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02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表1综合评分表</w:t>
      </w:r>
    </w:p>
    <w:p w14:paraId="570AC18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</w:pPr>
    </w:p>
    <w:p w14:paraId="2BC8F3E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center"/>
      </w:pPr>
    </w:p>
    <w:tbl>
      <w:tblPr>
        <w:tblStyle w:val="8"/>
        <w:tblpPr w:leftFromText="180" w:rightFromText="180" w:vertAnchor="text" w:horzAnchor="page" w:tblpX="1016" w:tblpY="-67"/>
        <w:tblOverlap w:val="never"/>
        <w:tblW w:w="99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990"/>
        <w:gridCol w:w="1283"/>
        <w:gridCol w:w="1707"/>
        <w:gridCol w:w="727"/>
        <w:gridCol w:w="1044"/>
        <w:gridCol w:w="924"/>
        <w:gridCol w:w="1215"/>
        <w:gridCol w:w="960"/>
      </w:tblGrid>
      <w:tr w14:paraId="61077F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tblHeader/>
        </w:trPr>
        <w:tc>
          <w:tcPr>
            <w:tcW w:w="1104" w:type="dxa"/>
            <w:shd w:val="clear" w:color="auto" w:fill="BFBFBF"/>
            <w:vAlign w:val="center"/>
          </w:tcPr>
          <w:p w14:paraId="6FB3F02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990" w:type="dxa"/>
            <w:shd w:val="clear" w:color="auto" w:fill="BFBFBF"/>
            <w:vAlign w:val="center"/>
          </w:tcPr>
          <w:p w14:paraId="653C52C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75E8875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7" w:type="dxa"/>
            <w:shd w:val="clear" w:color="auto" w:fill="BFBFBF"/>
            <w:vAlign w:val="center"/>
          </w:tcPr>
          <w:p w14:paraId="371F005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727" w:type="dxa"/>
            <w:shd w:val="clear" w:color="auto" w:fill="BFBFBF"/>
            <w:vAlign w:val="center"/>
          </w:tcPr>
          <w:p w14:paraId="7AEA859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权重</w:t>
            </w:r>
          </w:p>
        </w:tc>
        <w:tc>
          <w:tcPr>
            <w:tcW w:w="1044" w:type="dxa"/>
            <w:shd w:val="clear" w:color="auto" w:fill="BFBFBF"/>
            <w:vAlign w:val="center"/>
          </w:tcPr>
          <w:p w14:paraId="3C7D01DD">
            <w:pPr>
              <w:pageBreakBefore w:val="0"/>
              <w:widowControl/>
              <w:tabs>
                <w:tab w:val="left" w:pos="1333"/>
                <w:tab w:val="center" w:pos="36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目标值</w:t>
            </w:r>
          </w:p>
        </w:tc>
        <w:tc>
          <w:tcPr>
            <w:tcW w:w="924" w:type="dxa"/>
            <w:shd w:val="clear" w:color="auto" w:fill="BFBFBF"/>
            <w:vAlign w:val="center"/>
          </w:tcPr>
          <w:p w14:paraId="5FBAA621">
            <w:pPr>
              <w:pageBreakBefore w:val="0"/>
              <w:widowControl/>
              <w:tabs>
                <w:tab w:val="left" w:pos="1333"/>
                <w:tab w:val="center" w:pos="36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业绩值</w:t>
            </w:r>
          </w:p>
        </w:tc>
        <w:tc>
          <w:tcPr>
            <w:tcW w:w="1215" w:type="dxa"/>
            <w:shd w:val="clear" w:color="auto" w:fill="BFBFBF"/>
            <w:vAlign w:val="center"/>
          </w:tcPr>
          <w:p w14:paraId="167CB761">
            <w:pPr>
              <w:pageBreakBefore w:val="0"/>
              <w:widowControl/>
              <w:tabs>
                <w:tab w:val="left" w:pos="1333"/>
                <w:tab w:val="center" w:pos="36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得分率</w:t>
            </w:r>
          </w:p>
        </w:tc>
        <w:tc>
          <w:tcPr>
            <w:tcW w:w="960" w:type="dxa"/>
            <w:shd w:val="clear" w:color="auto" w:fill="BFBFBF"/>
            <w:vAlign w:val="center"/>
          </w:tcPr>
          <w:p w14:paraId="517830C2">
            <w:pPr>
              <w:pageBreakBefore w:val="0"/>
              <w:widowControl/>
              <w:tabs>
                <w:tab w:val="left" w:pos="1333"/>
                <w:tab w:val="center" w:pos="36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</w:t>
            </w:r>
          </w:p>
        </w:tc>
      </w:tr>
      <w:tr w14:paraId="474CC2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74F1D81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决策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5EB2AC1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0587506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项目立项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4C17234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立项依据</w:t>
            </w:r>
          </w:p>
          <w:p w14:paraId="2F7059D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充分性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10F3A95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63181E7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充分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5CED135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充分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2A59FF0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22A68A7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</w:tr>
      <w:tr w14:paraId="552568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367FCFE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317FC78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1E4C98A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637EE9F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立项程序</w:t>
            </w:r>
          </w:p>
          <w:p w14:paraId="0AF267B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规范性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00D4862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0476ECA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规范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19A962D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规范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1A38A81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4B151E4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</w:tr>
      <w:tr w14:paraId="638AFD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43E7FC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5C0C3B6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0CC0F5B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6ADDED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绩效目标</w:t>
            </w:r>
          </w:p>
          <w:p w14:paraId="0D40EF3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4948628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607BD21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7C556F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32965E3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23EFCD8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</w:tr>
      <w:tr w14:paraId="1BCB28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037CB53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77091E1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385C9A6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4528DE4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绩效指标</w:t>
            </w:r>
          </w:p>
          <w:p w14:paraId="5E9E75E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明确性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004CA9F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64CEAED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明确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BFBD64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明确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3B2D387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26E857C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</w:tr>
      <w:tr w14:paraId="22EA52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026DD7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7C2B39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4A8EC23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资金投入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506F7F4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预算编制</w:t>
            </w:r>
          </w:p>
          <w:p w14:paraId="6F32D5B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科学性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6D458DD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63B384E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科学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715A015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科学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79F5679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6D8882B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</w:tr>
      <w:tr w14:paraId="707DBA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5C70618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6921135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608E5EF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74C6CA6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资金分配</w:t>
            </w:r>
          </w:p>
          <w:p w14:paraId="786D0AF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3BB7DF6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02E5C60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2245269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60D4B8D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15014CA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</w:tr>
      <w:tr w14:paraId="6D3C12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518439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过程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1055AF6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2A6843C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42B8EDA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资金到位率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0D3CB79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434A139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28E3ECD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58CFB43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1C9FBAA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</w:tr>
      <w:tr w14:paraId="267EED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1D7292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0E0A7B8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5746CF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1100EBD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预算执行率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18C809C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0E4E894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3842B3C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7F6DF7B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1F6D4B2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</w:tr>
      <w:tr w14:paraId="3E70B3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1A5F30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5742EEC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5C206C0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817422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资金使用</w:t>
            </w:r>
          </w:p>
          <w:p w14:paraId="340CBAB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合规性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4A64FA7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1EA3B02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7DFBAA1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58BBE5B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5748256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</w:tr>
      <w:tr w14:paraId="22C1B7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0F4166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75204A5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34219EC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组织实施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3C33A93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管理制度</w:t>
            </w:r>
          </w:p>
          <w:p w14:paraId="51D0F37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健全性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77495CE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799D63B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健全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01C5FEE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健全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1F3C4EB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788E585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</w:tr>
      <w:tr w14:paraId="51F070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4632BFC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3327506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4618410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271B3FA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制度执行</w:t>
            </w:r>
          </w:p>
          <w:p w14:paraId="4970181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545E939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2689D82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47EA6B5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E0B25B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15E61C2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</w:tr>
      <w:tr w14:paraId="4F2EF2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41A7BFC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4E7041F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shd w:val="clear" w:color="auto" w:fill="FFFFFF"/>
            <w:vAlign w:val="center"/>
          </w:tcPr>
          <w:p w14:paraId="24EA4E0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产出数量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2BCD1D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实际完成率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70DF3CB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745AB35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567C059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0552C94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041B924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60C154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1707F4E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006612C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5689B18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产出质量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19BF749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质量达标率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08C9A09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10B31D2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3A3AAF5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1B2529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179550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696031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226EFA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4E7831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3684182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产出时效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15D1366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完成及时性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298942B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6D56D4F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及时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02CFC86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及时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E6ED99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C6C878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20A937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57CF0F5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2E10949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2989423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产出成本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00FF3D2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成本节约率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4C84ABD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195F7D3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328F6E4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397598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90%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0AF5172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 w14:paraId="7A24E3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548D58A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效益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6DC477B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color w:val="000000"/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0B30748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项目效益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73C6378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实施效益</w:t>
            </w:r>
          </w:p>
          <w:p w14:paraId="30B7CD2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（社会效益、经济效益、可持续效益）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7D7BAC7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35D9AD2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745FD1C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有效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2F1A5DD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404A847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15</w:t>
            </w:r>
          </w:p>
        </w:tc>
      </w:tr>
      <w:tr w14:paraId="6F75D1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4EABAAB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5E58DE7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093CE6F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0" w:firstLineChars="200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1B94FFB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满意度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3C74D33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5854E8D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≥90%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EB70CC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95%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4B09C6B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70C3217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</w:p>
        </w:tc>
      </w:tr>
    </w:tbl>
    <w:p w14:paraId="0BCF65A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四、绩效评价指标分析</w:t>
      </w:r>
    </w:p>
    <w:p w14:paraId="10FCDF8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3" w:firstLineChars="200"/>
        <w:jc w:val="both"/>
        <w:textAlignment w:val="auto"/>
        <w:rPr>
          <w:rFonts w:hint="eastAsia"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（一）项目决策情况</w:t>
      </w:r>
    </w:p>
    <w:p w14:paraId="7B9060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0"/>
        <w:rPr>
          <w:rFonts w:hint="eastAsia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项目立项符合法律法规、相关政策及部门职责，能反映和考核项目立项依据情况，项目申请、设立过程符合相关要求，</w:t>
      </w:r>
      <w:r>
        <w:rPr>
          <w:rFonts w:hint="eastAsia" w:eastAsia="仿宋_GB2312"/>
          <w:bCs/>
          <w:sz w:val="32"/>
          <w:szCs w:val="32"/>
          <w:lang w:eastAsia="zh-CN"/>
        </w:rPr>
        <w:t>能反映和考核项目立项的规范情况，所设定的绩效目标依据充分，符合客观实际，能反映和考核项目绩效目标与项目实施的相符情况，依据绩效目标设定的绩效指标清晰、细化、可衡量，能反映和考核项目绩效目标的明细化情况。</w:t>
      </w:r>
    </w:p>
    <w:p w14:paraId="46ACA977">
      <w:pPr>
        <w:pStyle w:val="6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3" w:firstLineChars="200"/>
        <w:jc w:val="both"/>
        <w:textAlignment w:val="auto"/>
        <w:rPr>
          <w:rFonts w:hint="eastAsia"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项目过程情况</w:t>
      </w:r>
    </w:p>
    <w:p w14:paraId="30F800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0"/>
      </w:pPr>
      <w:r>
        <w:rPr>
          <w:rFonts w:hint="eastAsia" w:ascii="仿宋_GB2312" w:hAnsi="仿宋_GB2312" w:eastAsia="仿宋_GB2312" w:cs="仿宋_GB2312"/>
          <w:sz w:val="32"/>
          <w:szCs w:val="32"/>
        </w:rPr>
        <w:t>项目严格按照预期绩效目标执行预算资金。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5C9BFE9B">
      <w:pPr>
        <w:pStyle w:val="6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3" w:firstLineChars="200"/>
        <w:jc w:val="both"/>
        <w:textAlignment w:val="auto"/>
        <w:rPr>
          <w:rFonts w:hint="eastAsia"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项目产出情况</w:t>
      </w:r>
    </w:p>
    <w:p w14:paraId="56693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数量指标方面</w:t>
      </w:r>
      <w:r>
        <w:rPr>
          <w:rFonts w:hint="eastAsia" w:eastAsia="仿宋_GB2312" w:cs="Times New Roman"/>
          <w:sz w:val="32"/>
          <w:szCs w:val="32"/>
          <w:lang w:eastAsia="zh-CN"/>
        </w:rPr>
        <w:t>：</w:t>
      </w:r>
    </w:p>
    <w:p w14:paraId="5C2EE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red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1.现代畜牧业提升马牛羊核心群数量，指标值为≥10000头（只、匹），实际完成10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000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头（只、匹），完成率10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%，偏差率是0。</w:t>
      </w:r>
    </w:p>
    <w:p w14:paraId="7ED27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2.遗传材料数量，指标值≥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000份，实际完成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份，完成率是100%，偏差率是0。</w:t>
      </w:r>
    </w:p>
    <w:p w14:paraId="1E864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3.畜禽遗传资源性能测指标数量，指标值为≥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000个，实际完成值达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000个，实际完成率100%，偏差率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0。</w:t>
      </w:r>
    </w:p>
    <w:p w14:paraId="0C93C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4.建设畜禽遗传资源保护场（保护区、基因库）建设数量，指标值为≥1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个，实际完成1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个，完成率100%，偏差率0。</w:t>
      </w:r>
    </w:p>
    <w:p w14:paraId="2F751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5.优良畜禽品种登记、测定数量，指标值为≥5000头（匹、只）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实际完成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5000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头（匹、只），完成率100%，偏差率0。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 xml:space="preserve"> </w:t>
      </w:r>
    </w:p>
    <w:p w14:paraId="5B6EC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6.畜禽统计监测点数量，指标值为≥500个，实际完成值达500个，完成率100%，偏差率0。</w:t>
      </w:r>
    </w:p>
    <w:p w14:paraId="31735F0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质量指标</w:t>
      </w:r>
      <w:r>
        <w:rPr>
          <w:rFonts w:hint="eastAsia"/>
          <w:color w:val="auto"/>
          <w:lang w:eastAsia="zh-CN"/>
        </w:rPr>
        <w:t>方面：</w:t>
      </w:r>
    </w:p>
    <w:p w14:paraId="69E30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.畜禽保种场与保护区保种群体合格率，指标值为≥90%，实际完成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0%，完成率是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，偏差率是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1FF57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.畜禽遗传物质制作合格率，指标值为≥90%，实际完成标准9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%，完成率10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%，偏差率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603C5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.育种场出栏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种畜禽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合格率≥90%，实际完成标准9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%，完成率100%，偏差率0。</w:t>
      </w:r>
    </w:p>
    <w:p w14:paraId="283E7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.畜禽统计监测点数据采集完成率，指标值为≥95%，实际完成标准95%，完成率100%，偏差率0。</w:t>
      </w:r>
    </w:p>
    <w:p w14:paraId="55DBE8B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时效指标方面：</w:t>
      </w:r>
    </w:p>
    <w:p w14:paraId="79FC1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现代畜牧业项目计划按期完成率100%,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实际完成标准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完成率100%，偏差率0。</w:t>
      </w:r>
    </w:p>
    <w:p w14:paraId="0DA7796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2E0B3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社会效益指标方面：</w:t>
      </w:r>
      <w:bookmarkStart w:id="2" w:name="_GoBack"/>
      <w:bookmarkEnd w:id="2"/>
    </w:p>
    <w:p w14:paraId="0BC95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提升畜禽良种增收能力，指标值为有效提升，实际完成有效提升，完成率100%，偏差率0。</w:t>
      </w:r>
    </w:p>
    <w:p w14:paraId="7B131F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textAlignment w:val="auto"/>
        <w:rPr>
          <w:rStyle w:val="10"/>
          <w:rFonts w:ascii="Times New Roman" w:hAnsi="Times New Roman" w:cs="Times New Roman"/>
          <w:color w:val="auto"/>
        </w:rPr>
      </w:pPr>
      <w:r>
        <w:rPr>
          <w:rFonts w:hint="eastAsia" w:ascii="黑体" w:hAnsi="黑体" w:eastAsia="黑体"/>
        </w:rPr>
        <w:t>五、主要经验及做法、存在的问题及原因分析</w:t>
      </w:r>
    </w:p>
    <w:p w14:paraId="11C94E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27" w:firstLineChars="200"/>
        <w:textAlignment w:val="auto"/>
        <w:rPr>
          <w:rFonts w:eastAsia="楷体"/>
          <w:b/>
          <w:spacing w:val="-4"/>
          <w:sz w:val="32"/>
          <w:szCs w:val="32"/>
        </w:rPr>
      </w:pPr>
      <w:r>
        <w:rPr>
          <w:rFonts w:eastAsia="楷体"/>
          <w:b/>
          <w:spacing w:val="-4"/>
          <w:sz w:val="32"/>
          <w:szCs w:val="32"/>
        </w:rPr>
        <w:t>（一）主要经验及做法</w:t>
      </w:r>
    </w:p>
    <w:p w14:paraId="3B9DFE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7F82B94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0"/>
        <w:rPr>
          <w:rFonts w:ascii="Times New Roman" w:hAnsi="Times New Roman" w:eastAsia="仿宋_GB2312"/>
          <w:b w:val="0"/>
          <w:bCs w:val="0"/>
          <w:kern w:val="2"/>
        </w:rPr>
      </w:pPr>
      <w:r>
        <w:rPr>
          <w:rFonts w:ascii="Times New Roman" w:hAnsi="Times New Roman" w:eastAsia="仿宋_GB2312"/>
          <w:b w:val="0"/>
          <w:bCs w:val="0"/>
          <w:kern w:val="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5D3FF84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0"/>
        <w:rPr>
          <w:rFonts w:ascii="Times New Roman" w:hAnsi="Times New Roman" w:eastAsia="仿宋_GB2312" w:cs="Times New Roman"/>
          <w:b w:val="0"/>
          <w:bCs w:val="0"/>
          <w:kern w:val="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</w:rPr>
        <w:t>细化预算编制工作，认真做好预算的编制。进一步加强内部预算管理意识，严格按照预算编制的相关制度和要求进行预算编制；全面编制预算项目，优先保障固定性的、相对刚性的费用支出项目，进一步提高预算编制的科学性、严谨性和可控性。加强财务管理，严格财务审核。在费用报账支付时，按照预算规定的费用项目和用途进行资金使用审核、列报支付、财务核算，杜绝超支现象的发生。加强项目开展进度的跟踪，开展项目绩效评价，确保项目绩效目标的完成。</w:t>
      </w:r>
    </w:p>
    <w:p w14:paraId="41E4BAE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27" w:firstLineChars="200"/>
        <w:rPr>
          <w:rFonts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pacing w:val="-4"/>
          <w:sz w:val="32"/>
          <w:szCs w:val="32"/>
          <w:lang w:eastAsia="zh-CN"/>
        </w:rPr>
        <w:t>（二）</w:t>
      </w:r>
      <w:r>
        <w:rPr>
          <w:rFonts w:ascii="Times New Roman" w:hAnsi="Times New Roman" w:eastAsia="楷体" w:cs="Times New Roman"/>
          <w:b/>
          <w:spacing w:val="-4"/>
          <w:sz w:val="32"/>
          <w:szCs w:val="32"/>
        </w:rPr>
        <w:t>存在的问题及原因分析</w:t>
      </w:r>
    </w:p>
    <w:p w14:paraId="4CDBE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28"/>
        </w:rPr>
        <w:t>部门预算编制的科学化、精细化、精准化还有待提高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28"/>
        </w:rPr>
        <w:t>业务科室年初预算金额设置不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够</w:t>
      </w:r>
      <w:r>
        <w:rPr>
          <w:rFonts w:hint="eastAsia" w:ascii="仿宋_GB2312" w:hAnsi="仿宋_GB2312" w:eastAsia="仿宋_GB2312" w:cs="仿宋_GB2312"/>
          <w:sz w:val="32"/>
          <w:szCs w:val="28"/>
        </w:rPr>
        <w:t>精准，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在一定程度上</w:t>
      </w:r>
      <w:r>
        <w:rPr>
          <w:rFonts w:hint="eastAsia" w:ascii="仿宋_GB2312" w:hAnsi="仿宋_GB2312" w:eastAsia="仿宋_GB2312" w:cs="仿宋_GB2312"/>
          <w:sz w:val="32"/>
          <w:szCs w:val="28"/>
        </w:rPr>
        <w:t>影响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28"/>
        </w:rPr>
        <w:t>预算执行效率。原因分析：年初项目立项时前期工作做的不充分，没有系统的测算和统筹，项目规划不完善，考虑的不全面。</w:t>
      </w:r>
    </w:p>
    <w:p w14:paraId="622270A6"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有关建议</w:t>
      </w:r>
    </w:p>
    <w:p w14:paraId="2B2F4F9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</w:pPr>
      <w:r>
        <w:rPr>
          <w:rFonts w:hint="eastAsia" w:ascii="仿宋_GB2312" w:hAnsi="仿宋_GB2312" w:eastAsia="仿宋_GB2312" w:cs="仿宋_GB2312"/>
          <w:sz w:val="32"/>
          <w:szCs w:val="28"/>
        </w:rPr>
        <w:t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8526618"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</w:t>
      </w:r>
      <w:bookmarkStart w:id="1" w:name="page8"/>
      <w:bookmarkEnd w:id="1"/>
      <w:r>
        <w:rPr>
          <w:rFonts w:eastAsia="黑体"/>
          <w:sz w:val="32"/>
          <w:szCs w:val="32"/>
        </w:rPr>
        <w:t>明的问题</w:t>
      </w:r>
    </w:p>
    <w:p w14:paraId="3A8A1AF9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640" w:firstLineChars="200"/>
        <w:rPr>
          <w:rFonts w:hint="eastAsia" w:ascii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无。</w:t>
      </w:r>
    </w:p>
    <w:sectPr>
      <w:headerReference r:id="rId3" w:type="default"/>
      <w:footerReference r:id="rId4" w:type="default"/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57A15EA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p>
    </w:sdtContent>
  </w:sdt>
  <w:p w14:paraId="5B5155B0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033D9">
    <w:pPr>
      <w:pStyle w:val="5"/>
      <w:pBdr>
        <w:bottom w:val="none" w:color="auto" w:sz="0" w:space="1"/>
      </w:pBdr>
      <w:jc w:val="left"/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3D2FA9"/>
    <w:multiLevelType w:val="singleLevel"/>
    <w:tmpl w:val="9D3D2FA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16B29BF"/>
    <w:multiLevelType w:val="singleLevel"/>
    <w:tmpl w:val="116B29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7813159"/>
    <w:multiLevelType w:val="singleLevel"/>
    <w:tmpl w:val="2781315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8F0C646"/>
    <w:multiLevelType w:val="singleLevel"/>
    <w:tmpl w:val="38F0C64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7BD8156"/>
    <w:multiLevelType w:val="singleLevel"/>
    <w:tmpl w:val="67BD815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D4082"/>
    <w:rsid w:val="1EF34E7D"/>
    <w:rsid w:val="1F0B55D3"/>
    <w:rsid w:val="26C226A2"/>
    <w:rsid w:val="43F018AE"/>
    <w:rsid w:val="45EC0627"/>
    <w:rsid w:val="465470D5"/>
    <w:rsid w:val="46876249"/>
    <w:rsid w:val="4BD01E30"/>
    <w:rsid w:val="60944A7E"/>
    <w:rsid w:val="613C0E78"/>
    <w:rsid w:val="67E75035"/>
    <w:rsid w:val="6F41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  <w:rPr>
      <w:rFonts w:ascii="Times New Roman" w:hAnsi="Times New Roman" w:cs="Times New Roman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6">
    <w:name w:val="Title"/>
    <w:basedOn w:val="1"/>
    <w:next w:val="1"/>
    <w:qFormat/>
    <w:uiPriority w:val="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7">
    <w:name w:val="Body Text First Indent 2"/>
    <w:basedOn w:val="3"/>
    <w:qFormat/>
    <w:uiPriority w:val="0"/>
    <w:pPr>
      <w:ind w:firstLine="420" w:firstLineChars="200"/>
    </w:pPr>
  </w:style>
  <w:style w:type="character" w:customStyle="1" w:styleId="10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852</Words>
  <Characters>904</Characters>
  <Lines>0</Lines>
  <Paragraphs>0</Paragraphs>
  <TotalTime>5</TotalTime>
  <ScaleCrop>false</ScaleCrop>
  <LinksUpToDate>false</LinksUpToDate>
  <CharactersWithSpaces>906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2024-03-04T05:11:00Z</dcterms:created>
  <dc:creator>Administrator</dc:creator>
  <cp:lastModifiedBy>曼曼</cp:lastModifiedBy>
  <cp:lastPrinted>2025-02-19T03:08:00Z</cp:lastPrinted>
  <dcterms:modified xsi:type="dcterms:W3CDTF">2025-08-26T03:55:54Z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4CBA51F098A84EE1BF0E059B495C134A</vt:lpwstr>
  </property>
  <property fmtid="{D5CDD505-2E9C-101B-9397-08002B2CF9AE}" pid="4" name="KSOTemplateDocerSaveRecord">
    <vt:lpwstr>eyJoZGlkIjoiOTRjYjFiNWZjYWFlOWEyNGI0ZGZkNWM2ZGRmNmE5M2IiLCJ1c2VySWQiOiIyNDQxMjI0ODcifQ==</vt:lpwstr>
  </property>
</Properties>
</file>