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bookmarkStart w:id="2" w:name="_GoBack"/>
      <w:bookmarkEnd w:id="2"/>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“新疆畜牧网”运行及信息处理补助</w:t>
      </w: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4</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080" w:firstLineChars="3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“新疆畜牧网”运行及信息处理补助</w:t>
      </w:r>
    </w:p>
    <w:p>
      <w:pPr>
        <w:spacing w:line="700" w:lineRule="exact"/>
        <w:ind w:firstLine="1080" w:firstLineChars="3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val="en-US" w:eastAsia="zh-CN"/>
        </w:rPr>
        <w:t>自治区</w:t>
      </w:r>
      <w:r>
        <w:rPr>
          <w:rFonts w:hint="eastAsia" w:eastAsia="仿宋_GB2312"/>
          <w:kern w:val="0"/>
          <w:sz w:val="36"/>
          <w:szCs w:val="36"/>
        </w:rPr>
        <w:t>牧业信息中心</w:t>
      </w:r>
    </w:p>
    <w:p>
      <w:pPr>
        <w:spacing w:line="700" w:lineRule="exact"/>
        <w:ind w:firstLine="1080" w:firstLineChars="3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val="en-US" w:eastAsia="zh-CN"/>
        </w:rPr>
        <w:t>自治区畜牧兽医局</w:t>
      </w:r>
    </w:p>
    <w:p>
      <w:pPr>
        <w:spacing w:line="700" w:lineRule="exact"/>
        <w:ind w:firstLine="1080" w:firstLineChars="300"/>
        <w:jc w:val="left"/>
        <w:rPr>
          <w:rFonts w:eastAsia="仿宋_GB2312"/>
          <w:kern w:val="0"/>
          <w:sz w:val="36"/>
          <w:szCs w:val="36"/>
        </w:rPr>
      </w:pPr>
      <w:r>
        <w:rPr>
          <w:rFonts w:eastAsia="仿宋_GB2312"/>
          <w:kern w:val="0"/>
          <w:sz w:val="36"/>
          <w:szCs w:val="36"/>
        </w:rPr>
        <w:t>项目负责人（签章）：</w:t>
      </w:r>
      <w:r>
        <w:rPr>
          <w:rFonts w:hint="eastAsia" w:hAnsi="宋体" w:eastAsia="仿宋_GB2312" w:cs="宋体"/>
          <w:kern w:val="0"/>
          <w:sz w:val="36"/>
          <w:szCs w:val="36"/>
          <w:lang w:val="en-US" w:eastAsia="zh-CN"/>
        </w:rPr>
        <w:t>刘高建</w:t>
      </w:r>
    </w:p>
    <w:p>
      <w:pPr>
        <w:spacing w:line="700" w:lineRule="exact"/>
        <w:ind w:firstLine="1080" w:firstLineChars="3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10</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2"/>
          <w:rFonts w:eastAsia="黑体"/>
          <w:b w:val="0"/>
          <w:spacing w:val="-4"/>
          <w:sz w:val="32"/>
          <w:szCs w:val="32"/>
        </w:rPr>
      </w:pPr>
    </w:p>
    <w:p>
      <w:pPr>
        <w:spacing w:line="540" w:lineRule="exact"/>
        <w:ind w:firstLine="640"/>
        <w:rPr>
          <w:rStyle w:val="22"/>
          <w:rFonts w:eastAsia="黑体"/>
          <w:b w:val="0"/>
          <w:spacing w:val="-4"/>
          <w:sz w:val="32"/>
          <w:szCs w:val="32"/>
        </w:rPr>
      </w:pPr>
    </w:p>
    <w:p>
      <w:pPr>
        <w:spacing w:line="540" w:lineRule="exact"/>
        <w:rPr>
          <w:rStyle w:val="22"/>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ind w:firstLine="640" w:firstLineChars="200"/>
        <w:jc w:val="left"/>
        <w:rPr>
          <w:rFonts w:hint="eastAsia" w:ascii="仿宋_GB2312" w:hAnsi="Calibri" w:eastAsia="仿宋_GB2312" w:cs="宋体"/>
          <w:b w:val="0"/>
          <w:bCs w:val="0"/>
          <w:kern w:val="2"/>
          <w:sz w:val="32"/>
          <w:szCs w:val="32"/>
          <w:lang w:val="en-US" w:eastAsia="zh-CN" w:bidi="ar-SA"/>
        </w:rPr>
      </w:pPr>
      <w:r>
        <w:rPr>
          <w:rFonts w:hint="eastAsia" w:ascii="仿宋_GB2312" w:hAnsi="Calibri" w:eastAsia="仿宋_GB2312" w:cs="宋体"/>
          <w:sz w:val="32"/>
          <w:szCs w:val="32"/>
        </w:rPr>
        <w:t>“新疆畜牧业信息网”是为了进一步推进自治区畜牧</w:t>
      </w:r>
      <w:r>
        <w:rPr>
          <w:rFonts w:hint="eastAsia" w:ascii="仿宋_GB2312" w:hAnsi="Calibri" w:eastAsia="仿宋_GB2312" w:cs="宋体"/>
          <w:sz w:val="32"/>
          <w:szCs w:val="32"/>
          <w:lang w:val="en-US" w:eastAsia="zh-CN"/>
        </w:rPr>
        <w:t>兽医</w:t>
      </w:r>
      <w:r>
        <w:rPr>
          <w:rFonts w:hint="eastAsia" w:ascii="仿宋_GB2312" w:hAnsi="Calibri" w:eastAsia="仿宋_GB2312" w:cs="宋体"/>
          <w:sz w:val="32"/>
          <w:szCs w:val="32"/>
        </w:rPr>
        <w:t>行业的蓬勃发展，逐步实现畜牧</w:t>
      </w:r>
      <w:r>
        <w:rPr>
          <w:rFonts w:hint="eastAsia" w:ascii="仿宋_GB2312" w:hAnsi="Calibri" w:eastAsia="仿宋_GB2312" w:cs="宋体"/>
          <w:sz w:val="32"/>
          <w:szCs w:val="32"/>
          <w:lang w:val="en-US" w:eastAsia="zh-CN"/>
        </w:rPr>
        <w:t>兽医</w:t>
      </w:r>
      <w:r>
        <w:rPr>
          <w:rFonts w:hint="eastAsia" w:ascii="仿宋_GB2312" w:hAnsi="Calibri" w:eastAsia="仿宋_GB2312" w:cs="宋体"/>
          <w:sz w:val="32"/>
          <w:szCs w:val="32"/>
        </w:rPr>
        <w:t>行业政务电子化，为实现畜牧行业政务公开而建立的门户网站。网站宗旨是把畜牧</w:t>
      </w:r>
      <w:r>
        <w:rPr>
          <w:rFonts w:hint="eastAsia" w:ascii="仿宋_GB2312" w:hAnsi="Calibri" w:eastAsia="仿宋_GB2312" w:cs="宋体"/>
          <w:sz w:val="32"/>
          <w:szCs w:val="32"/>
          <w:lang w:val="en-US" w:eastAsia="zh-CN"/>
        </w:rPr>
        <w:t>兽医</w:t>
      </w:r>
      <w:r>
        <w:rPr>
          <w:rFonts w:hint="eastAsia" w:ascii="仿宋_GB2312" w:hAnsi="Calibri" w:eastAsia="仿宋_GB2312" w:cs="宋体"/>
          <w:sz w:val="32"/>
          <w:szCs w:val="32"/>
        </w:rPr>
        <w:t>行业各类信息第一时间在因特网上公布，保障各级政府部门、本行业各级单位间信息交流畅通，实现畜牧</w:t>
      </w:r>
      <w:r>
        <w:rPr>
          <w:rFonts w:hint="eastAsia" w:ascii="仿宋_GB2312" w:hAnsi="Calibri" w:eastAsia="仿宋_GB2312" w:cs="宋体"/>
          <w:sz w:val="32"/>
          <w:szCs w:val="32"/>
          <w:lang w:val="en-US" w:eastAsia="zh-CN"/>
        </w:rPr>
        <w:t>兽医</w:t>
      </w:r>
      <w:r>
        <w:rPr>
          <w:rFonts w:hint="eastAsia" w:ascii="仿宋_GB2312" w:hAnsi="Calibri" w:eastAsia="仿宋_GB2312" w:cs="宋体"/>
          <w:sz w:val="32"/>
          <w:szCs w:val="32"/>
        </w:rPr>
        <w:t>行业工作透明，优化机关作业流程，有利于勤政、廉政建设和建立“政务公开”的机制。网站栏目</w:t>
      </w:r>
      <w:r>
        <w:rPr>
          <w:rFonts w:hint="eastAsia" w:ascii="仿宋_GB2312" w:hAnsi="Calibri" w:eastAsia="仿宋_GB2312" w:cs="宋体"/>
          <w:sz w:val="32"/>
          <w:szCs w:val="32"/>
          <w:lang w:val="en-US" w:eastAsia="zh-CN"/>
        </w:rPr>
        <w:t>主要</w:t>
      </w:r>
      <w:r>
        <w:rPr>
          <w:rFonts w:hint="eastAsia" w:ascii="仿宋_GB2312" w:hAnsi="Calibri" w:eastAsia="仿宋_GB2312" w:cs="宋体"/>
          <w:sz w:val="32"/>
          <w:szCs w:val="32"/>
        </w:rPr>
        <w:t>有首页</w:t>
      </w:r>
      <w:r>
        <w:rPr>
          <w:rFonts w:hint="eastAsia" w:ascii="仿宋_GB2312" w:hAnsi="Calibri" w:eastAsia="仿宋_GB2312" w:cs="宋体"/>
          <w:sz w:val="32"/>
          <w:szCs w:val="32"/>
          <w:lang w:eastAsia="zh-CN"/>
        </w:rPr>
        <w:t>、</w:t>
      </w:r>
      <w:r>
        <w:rPr>
          <w:rFonts w:hint="eastAsia" w:ascii="仿宋_GB2312" w:hAnsi="Calibri" w:eastAsia="仿宋_GB2312" w:cs="宋体"/>
          <w:sz w:val="32"/>
          <w:szCs w:val="32"/>
          <w:lang w:val="en-US" w:eastAsia="zh-CN"/>
        </w:rPr>
        <w:t>要闻动态、</w:t>
      </w:r>
      <w:r>
        <w:rPr>
          <w:rFonts w:hint="eastAsia" w:ascii="仿宋_GB2312" w:hAnsi="Calibri" w:eastAsia="仿宋_GB2312" w:cs="宋体"/>
          <w:sz w:val="32"/>
          <w:szCs w:val="32"/>
        </w:rPr>
        <w:t>政务公开、</w:t>
      </w:r>
      <w:r>
        <w:rPr>
          <w:rFonts w:hint="eastAsia" w:ascii="仿宋_GB2312" w:hAnsi="Calibri" w:eastAsia="仿宋_GB2312" w:cs="宋体"/>
          <w:sz w:val="32"/>
          <w:szCs w:val="32"/>
          <w:lang w:val="en-US" w:eastAsia="zh-CN"/>
        </w:rPr>
        <w:t>政务服务和互动交流</w:t>
      </w:r>
      <w:r>
        <w:rPr>
          <w:rFonts w:hint="eastAsia" w:ascii="仿宋_GB2312" w:hAnsi="Calibri" w:eastAsia="仿宋_GB2312" w:cs="宋体"/>
          <w:sz w:val="32"/>
          <w:szCs w:val="32"/>
        </w:rPr>
        <w:t>等。</w:t>
      </w:r>
      <w:r>
        <w:rPr>
          <w:rFonts w:hint="eastAsia" w:ascii="仿宋_GB2312" w:hAnsi="Calibri" w:eastAsia="仿宋_GB2312" w:cs="宋体"/>
          <w:b w:val="0"/>
          <w:bCs w:val="0"/>
          <w:kern w:val="2"/>
          <w:sz w:val="32"/>
          <w:szCs w:val="32"/>
          <w:lang w:val="en-US" w:eastAsia="zh-CN" w:bidi="ar-SA"/>
        </w:rPr>
        <w:t>新疆畜牧信息网自始至终保持其公益性，在设置栏目上力求全面性，在发布内容上追求权威性，在观点阐述上注重对行业发展的引导，在技术平台使用上侧重实用性。在行业中起着桥梁和纽带作用。</w:t>
      </w:r>
    </w:p>
    <w:p>
      <w:pPr>
        <w:pStyle w:val="17"/>
        <w:numPr>
          <w:ilvl w:val="0"/>
          <w:numId w:val="1"/>
        </w:numPr>
        <w:spacing w:before="0" w:after="0" w:line="600" w:lineRule="exact"/>
        <w:ind w:firstLine="642" w:firstLineChars="200"/>
        <w:jc w:val="both"/>
        <w:rPr>
          <w:rFonts w:ascii="Times New Roman" w:hAnsi="Times New Roman" w:eastAsia="仿宋_GB2312"/>
          <w:kern w:val="2"/>
        </w:rPr>
      </w:pPr>
      <w:r>
        <w:rPr>
          <w:rFonts w:ascii="Times New Roman" w:hAnsi="Times New Roman" w:eastAsia="仿宋_GB2312"/>
          <w:kern w:val="2"/>
        </w:rPr>
        <w:t>项目主要内容：</w:t>
      </w:r>
    </w:p>
    <w:p>
      <w:pPr>
        <w:ind w:firstLine="640" w:firstLineChars="200"/>
        <w:rPr>
          <w:rFonts w:hint="eastAsia" w:ascii="仿宋" w:hAnsi="仿宋" w:eastAsia="仿宋" w:cs="仿宋"/>
          <w:sz w:val="32"/>
          <w:szCs w:val="32"/>
          <w:lang w:val="en" w:eastAsia="zh-CN"/>
        </w:rPr>
      </w:pPr>
      <w:r>
        <w:rPr>
          <w:rFonts w:eastAsia="仿宋_GB2312"/>
          <w:sz w:val="32"/>
          <w:szCs w:val="32"/>
        </w:rPr>
        <w:t>项目实施情况：</w:t>
      </w:r>
      <w:r>
        <w:rPr>
          <w:rFonts w:hint="eastAsia" w:eastAsia="仿宋_GB2312"/>
          <w:sz w:val="32"/>
          <w:szCs w:val="32"/>
          <w:lang w:val="en-US" w:eastAsia="zh-CN"/>
        </w:rPr>
        <w:t>一是</w:t>
      </w:r>
      <w:r>
        <w:rPr>
          <w:rFonts w:hint="eastAsia" w:ascii="仿宋" w:hAnsi="仿宋" w:eastAsia="仿宋" w:cs="仿宋"/>
          <w:sz w:val="32"/>
          <w:szCs w:val="32"/>
        </w:rPr>
        <w:t>网络安全能力提升建设</w:t>
      </w:r>
      <w:r>
        <w:rPr>
          <w:rFonts w:hint="eastAsia" w:ascii="仿宋" w:hAnsi="仿宋" w:eastAsia="仿宋" w:cs="仿宋"/>
          <w:sz w:val="32"/>
          <w:szCs w:val="32"/>
          <w:lang w:eastAsia="zh-CN"/>
        </w:rPr>
        <w:t>。主要是：</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改善机房运行环境，确保无故障正常运行；</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推进外网网络安全态势感知平台建设，逐步扩大监测范围，提升外网安全监测能力，实时监测、处理来自互联网的可识别各类病毒和恶意攻击，及时阻断和排除各类安全威胁隐患，重点保障系统安全运行。</w:t>
      </w:r>
      <w:r>
        <w:rPr>
          <w:rFonts w:hint="eastAsia" w:ascii="仿宋" w:hAnsi="仿宋" w:eastAsia="仿宋" w:cs="仿宋"/>
          <w:sz w:val="32"/>
          <w:szCs w:val="32"/>
          <w:lang w:val="en-US" w:eastAsia="zh-CN"/>
        </w:rPr>
        <w:t>二是</w:t>
      </w:r>
      <w:r>
        <w:rPr>
          <w:rFonts w:hint="eastAsia" w:ascii="仿宋" w:hAnsi="仿宋" w:eastAsia="仿宋" w:cs="仿宋"/>
          <w:sz w:val="32"/>
          <w:szCs w:val="32"/>
          <w:lang w:val="en"/>
        </w:rPr>
        <w:t>机房和视频会议维保</w:t>
      </w:r>
      <w:r>
        <w:rPr>
          <w:rFonts w:hint="eastAsia" w:ascii="仿宋" w:hAnsi="仿宋" w:eastAsia="仿宋" w:cs="仿宋"/>
          <w:sz w:val="32"/>
          <w:szCs w:val="32"/>
          <w:lang w:val="en-US" w:eastAsia="zh-CN"/>
        </w:rPr>
        <w:t>服务，涵盖</w:t>
      </w:r>
      <w:r>
        <w:rPr>
          <w:rFonts w:hint="eastAsia" w:ascii="仿宋" w:hAnsi="仿宋" w:eastAsia="仿宋" w:cs="仿宋"/>
          <w:sz w:val="32"/>
          <w:szCs w:val="32"/>
          <w:lang w:val="en" w:eastAsia="zh-CN"/>
        </w:rPr>
        <w:t>机房设备运维，续保，设备扩容，故障设备更换、驻场服务</w:t>
      </w:r>
      <w:r>
        <w:rPr>
          <w:rFonts w:hint="eastAsia" w:ascii="仿宋" w:hAnsi="仿宋" w:eastAsia="仿宋" w:cs="仿宋"/>
          <w:sz w:val="32"/>
          <w:szCs w:val="32"/>
          <w:lang w:val="en-US" w:eastAsia="zh-CN"/>
        </w:rPr>
        <w:t>等</w:t>
      </w:r>
      <w:r>
        <w:rPr>
          <w:rFonts w:hint="eastAsia" w:ascii="仿宋" w:hAnsi="仿宋" w:eastAsia="仿宋" w:cs="仿宋"/>
          <w:sz w:val="32"/>
          <w:szCs w:val="32"/>
          <w:lang w:val="en" w:eastAsia="zh-CN"/>
        </w:rPr>
        <w:t>。</w:t>
      </w:r>
      <w:r>
        <w:rPr>
          <w:rFonts w:hint="eastAsia" w:ascii="仿宋" w:hAnsi="仿宋" w:eastAsia="仿宋" w:cs="仿宋"/>
          <w:sz w:val="32"/>
          <w:szCs w:val="32"/>
          <w:lang w:val="en-US" w:eastAsia="zh-CN"/>
        </w:rPr>
        <w:t>主要是：1、</w:t>
      </w:r>
      <w:r>
        <w:rPr>
          <w:rFonts w:hint="eastAsia" w:ascii="仿宋" w:hAnsi="仿宋" w:eastAsia="仿宋" w:cs="仿宋"/>
          <w:sz w:val="32"/>
          <w:szCs w:val="32"/>
          <w:lang w:val="en" w:eastAsia="zh-CN"/>
        </w:rPr>
        <w:t>四楼指挥中心大屏幕拆分解谱保养，对投影显示单元进行调校，由厂家使用专用软硬件，提供上门维护，解决影响设备正常使用的单一故障，排除设备故障，恢复系统正常运行；</w:t>
      </w:r>
      <w:r>
        <w:rPr>
          <w:rFonts w:hint="eastAsia" w:ascii="仿宋" w:hAnsi="仿宋" w:eastAsia="仿宋" w:cs="仿宋"/>
          <w:sz w:val="32"/>
          <w:szCs w:val="32"/>
          <w:lang w:val="en-US" w:eastAsia="zh-CN"/>
        </w:rPr>
        <w:t>2、</w:t>
      </w:r>
      <w:r>
        <w:rPr>
          <w:rFonts w:hint="eastAsia" w:ascii="仿宋" w:hAnsi="仿宋" w:eastAsia="仿宋" w:cs="仿宋"/>
          <w:sz w:val="32"/>
          <w:szCs w:val="32"/>
          <w:lang w:val="en" w:eastAsia="zh-CN"/>
        </w:rPr>
        <w:t>对一楼大厅的大屏幕进行清洁处理。对各显示单元进行检测，对系统进行升级，对线路进行检测，完成视频会议系统对MCU、视频终端、摄像机云台进行除尘保养，对线路进行整理，对整体音、视频系统进行联调；</w:t>
      </w:r>
      <w:r>
        <w:rPr>
          <w:rFonts w:hint="eastAsia" w:ascii="仿宋" w:hAnsi="仿宋" w:eastAsia="仿宋" w:cs="仿宋"/>
          <w:sz w:val="32"/>
          <w:szCs w:val="32"/>
          <w:lang w:val="en-US" w:eastAsia="zh-CN"/>
        </w:rPr>
        <w:t>3、安排</w:t>
      </w:r>
      <w:r>
        <w:rPr>
          <w:rFonts w:hint="eastAsia" w:ascii="仿宋" w:hAnsi="仿宋" w:eastAsia="仿宋" w:cs="仿宋"/>
          <w:sz w:val="32"/>
          <w:szCs w:val="32"/>
          <w:lang w:val="en" w:eastAsia="zh-CN"/>
        </w:rPr>
        <w:t>驻场工程师一名，保障办公大楼和中心机房设备、指挥中心和视频会议系统无故障正常运行。</w:t>
      </w:r>
      <w:r>
        <w:rPr>
          <w:rFonts w:hint="eastAsia" w:ascii="仿宋" w:hAnsi="仿宋" w:eastAsia="仿宋" w:cs="仿宋"/>
          <w:sz w:val="32"/>
          <w:szCs w:val="32"/>
          <w:lang w:val="en-US" w:eastAsia="zh-CN"/>
        </w:rPr>
        <w:t>三是</w:t>
      </w:r>
      <w:r>
        <w:rPr>
          <w:rFonts w:hint="eastAsia" w:ascii="仿宋" w:hAnsi="仿宋" w:eastAsia="仿宋" w:cs="仿宋"/>
          <w:sz w:val="32"/>
          <w:szCs w:val="32"/>
          <w:lang w:val="en"/>
        </w:rPr>
        <w:t>畜牧兽医局门户网站及OA公文处理系统功能完善和运行维护</w:t>
      </w:r>
      <w:r>
        <w:rPr>
          <w:rFonts w:hint="eastAsia" w:ascii="仿宋" w:hAnsi="仿宋" w:eastAsia="仿宋" w:cs="仿宋"/>
          <w:sz w:val="32"/>
          <w:szCs w:val="32"/>
          <w:lang w:val="en" w:eastAsia="zh-CN"/>
        </w:rPr>
        <w:t>。</w:t>
      </w:r>
      <w:r>
        <w:rPr>
          <w:rFonts w:hint="eastAsia" w:ascii="仿宋" w:hAnsi="仿宋" w:eastAsia="仿宋" w:cs="仿宋"/>
          <w:sz w:val="32"/>
          <w:szCs w:val="32"/>
          <w:lang w:val="en-US" w:eastAsia="zh-CN"/>
        </w:rPr>
        <w:t>主要是：</w:t>
      </w:r>
      <w:r>
        <w:rPr>
          <w:rFonts w:hint="eastAsia" w:ascii="仿宋" w:hAnsi="仿宋" w:eastAsia="仿宋" w:cs="仿宋"/>
          <w:sz w:val="32"/>
          <w:szCs w:val="32"/>
          <w:lang w:val="en" w:eastAsia="zh-CN"/>
        </w:rPr>
        <w:t>1、根据畜牧业高质量发展的要求，适时调整门户网站的功能页面、使其更好地为畜牧业发展服务。2、做好门户网站的运行、安全和维护工作。3、做好OA 公文处理系统正常运维工作。4、做好门户网站的数据录入和熟练使用OA 公文办公处理系统培训工作。</w:t>
      </w:r>
      <w:r>
        <w:rPr>
          <w:rFonts w:hint="eastAsia" w:ascii="仿宋" w:hAnsi="仿宋" w:eastAsia="仿宋" w:cs="仿宋"/>
          <w:sz w:val="32"/>
          <w:szCs w:val="32"/>
          <w:lang w:val="en-US" w:eastAsia="zh-CN"/>
        </w:rPr>
        <w:t>四是</w:t>
      </w:r>
      <w:r>
        <w:rPr>
          <w:rFonts w:hint="eastAsia" w:ascii="仿宋" w:hAnsi="仿宋" w:eastAsia="仿宋" w:cs="仿宋"/>
          <w:sz w:val="32"/>
          <w:szCs w:val="32"/>
          <w:lang w:val="en" w:eastAsia="zh-CN"/>
        </w:rPr>
        <w:t>邮电费（网络链路）按时缴费，保证链路正常使用。</w:t>
      </w:r>
    </w:p>
    <w:p>
      <w:pPr>
        <w:spacing w:line="600" w:lineRule="exact"/>
        <w:ind w:firstLine="640" w:firstLineChars="200"/>
      </w:pP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本项目总投资</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万元，其中：</w:t>
      </w:r>
      <w:r>
        <w:rPr>
          <w:rFonts w:hint="eastAsia" w:eastAsia="仿宋_GB2312" w:cs="Times New Roman"/>
          <w:sz w:val="32"/>
          <w:szCs w:val="32"/>
          <w:lang w:val="en-US" w:eastAsia="zh-CN"/>
        </w:rPr>
        <w:t>自治区</w:t>
      </w:r>
      <w:r>
        <w:rPr>
          <w:rFonts w:ascii="Times New Roman" w:hAnsi="Times New Roman" w:eastAsia="仿宋_GB2312" w:cs="Times New Roman"/>
          <w:sz w:val="32"/>
          <w:szCs w:val="32"/>
        </w:rPr>
        <w:t>财政本级资金</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万元。项目实际支出</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万元，支出率为100%。</w:t>
      </w:r>
    </w:p>
    <w:p>
      <w:pPr>
        <w:spacing w:line="600" w:lineRule="exact"/>
        <w:ind w:firstLine="642"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highlight w:val="none"/>
          <w:lang w:val="en-US" w:eastAsia="zh-CN"/>
        </w:rPr>
        <w:t>150</w:t>
      </w:r>
      <w:r>
        <w:rPr>
          <w:rFonts w:eastAsia="仿宋_GB2312"/>
          <w:sz w:val="32"/>
          <w:szCs w:val="32"/>
          <w:highlight w:val="none"/>
        </w:rPr>
        <w:t>万</w:t>
      </w:r>
      <w:r>
        <w:rPr>
          <w:rFonts w:eastAsia="仿宋_GB2312"/>
          <w:sz w:val="32"/>
          <w:szCs w:val="32"/>
        </w:rPr>
        <w:t>元，按照单位财务制度等相关规定，资金支出符合</w:t>
      </w:r>
      <w:r>
        <w:rPr>
          <w:rFonts w:hint="eastAsia" w:eastAsia="仿宋_GB2312"/>
          <w:sz w:val="32"/>
          <w:szCs w:val="32"/>
        </w:rPr>
        <w:t>“新疆畜牧网”运行、保障及信息处理补助</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“新疆畜牧网”运行、保障及信息处理补助</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17"/>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cs="Times New Roman"/>
          <w:b w:val="0"/>
          <w:bCs w:val="0"/>
          <w:sz w:val="32"/>
          <w:szCs w:val="32"/>
          <w:lang w:val="en-US" w:eastAsia="zh-CN"/>
        </w:rPr>
        <w:t>一般财政拨款</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highlight w:val="none"/>
          <w:lang w:val="en-US" w:eastAsia="zh-CN"/>
        </w:rPr>
        <w:t>150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150</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2"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(1)保障新疆畜牧兽医局门户网站、OA无纸化办公系统正常运行、促进畜牧业高质量发展。新增赋码生产、打印、批量打印等模块；</w:t>
      </w:r>
    </w:p>
    <w:p>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(2)通过接入光纤电路、互联网链路，保障视频会议传输；计算机设备接入互联网；门户网站域名注册等；</w:t>
      </w:r>
    </w:p>
    <w:p>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(3)确保畜牧兽医局日常会议、电视电话会议、视频调度会议、腾讯会议、项目答辩视频会议等正常运行，并提供驻场服务；</w:t>
      </w:r>
    </w:p>
    <w:p>
      <w:pPr>
        <w:spacing w:line="600" w:lineRule="exact"/>
        <w:ind w:firstLine="640" w:firstLineChars="200"/>
        <w:rPr>
          <w:rFonts w:hint="eastAsia"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(4)机房设备运维，续保，设备扩容，故障设备更换，保障视频会议链路、设备正常并提供驻场服务</w:t>
      </w:r>
      <w:r>
        <w:rPr>
          <w:rFonts w:hint="eastAsia" w:eastAsia="仿宋_GB2312" w:cs="Times New Roman"/>
          <w:b w:val="0"/>
          <w:bCs w:val="0"/>
          <w:kern w:val="2"/>
          <w:sz w:val="32"/>
          <w:szCs w:val="32"/>
          <w:lang w:val="en-US" w:eastAsia="zh-CN" w:bidi="ar-SA"/>
        </w:rPr>
        <w:t>；</w:t>
      </w:r>
    </w:p>
    <w:p>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w:t>
      </w:r>
      <w:r>
        <w:rPr>
          <w:rFonts w:hint="eastAsia" w:eastAsia="仿宋_GB2312" w:cs="Times New Roman"/>
          <w:b w:val="0"/>
          <w:bCs w:val="0"/>
          <w:kern w:val="2"/>
          <w:sz w:val="32"/>
          <w:szCs w:val="32"/>
          <w:lang w:val="en-US" w:eastAsia="zh-CN" w:bidi="ar-SA"/>
        </w:rPr>
        <w:t>5</w:t>
      </w:r>
      <w:r>
        <w:rPr>
          <w:rFonts w:hint="eastAsia" w:ascii="Times New Roman" w:hAnsi="Times New Roman" w:eastAsia="仿宋_GB2312" w:cs="Times New Roman"/>
          <w:b w:val="0"/>
          <w:bCs w:val="0"/>
          <w:kern w:val="2"/>
          <w:sz w:val="32"/>
          <w:szCs w:val="32"/>
          <w:lang w:val="en-US" w:eastAsia="zh-CN" w:bidi="ar-SA"/>
        </w:rPr>
        <w:t>)保障牧业信息中心正常管理、使用和推广平台；</w:t>
      </w:r>
    </w:p>
    <w:p>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w:t>
      </w:r>
      <w:r>
        <w:rPr>
          <w:rFonts w:hint="eastAsia" w:eastAsia="仿宋_GB2312" w:cs="Times New Roman"/>
          <w:b w:val="0"/>
          <w:bCs w:val="0"/>
          <w:kern w:val="2"/>
          <w:sz w:val="32"/>
          <w:szCs w:val="32"/>
          <w:lang w:val="en-US" w:eastAsia="zh-CN" w:bidi="ar-SA"/>
        </w:rPr>
        <w:t>6</w:t>
      </w:r>
      <w:r>
        <w:rPr>
          <w:rFonts w:hint="eastAsia" w:ascii="Times New Roman" w:hAnsi="Times New Roman" w:eastAsia="仿宋_GB2312" w:cs="Times New Roman"/>
          <w:b w:val="0"/>
          <w:bCs w:val="0"/>
          <w:kern w:val="2"/>
          <w:sz w:val="32"/>
          <w:szCs w:val="32"/>
          <w:lang w:val="en-US" w:eastAsia="zh-CN" w:bidi="ar-SA"/>
        </w:rPr>
        <w:t>)改善机房运行环境和逐年更新老旧设备，确保无故障正常运行。</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2" w:firstLineChars="200"/>
        <w:rPr>
          <w:rFonts w:eastAsia="楷体_GB2312"/>
          <w:b/>
          <w:bCs/>
          <w:sz w:val="32"/>
          <w:szCs w:val="32"/>
        </w:rPr>
      </w:pPr>
      <w:r>
        <w:rPr>
          <w:rFonts w:eastAsia="楷体_GB2312"/>
          <w:b/>
          <w:bCs/>
          <w:sz w:val="32"/>
          <w:szCs w:val="32"/>
        </w:rPr>
        <w:t>（一）绩效评价目的、对象和范围</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“新疆畜牧网”运行、保障及信息处理补助项目所包含的全部项目建设内容。</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76" w:lineRule="exact"/>
        <w:ind w:firstLine="640" w:firstLineChars="200"/>
        <w:rPr>
          <w:rFonts w:ascii="仿宋_GB2312" w:hAnsi="仿宋_GB2312" w:eastAsia="仿宋_GB2312" w:cs="仿宋_GB2312"/>
          <w:sz w:val="32"/>
          <w:szCs w:val="32"/>
          <w:highlight w:val="yellow"/>
        </w:rPr>
      </w:pPr>
      <w:r>
        <w:rPr>
          <w:rFonts w:hint="eastAsia" w:ascii="Times New Roman" w:hAnsi="Times New Roman" w:eastAsia="仿宋_GB2312" w:cs="Times New Roman"/>
          <w:sz w:val="32"/>
          <w:szCs w:val="32"/>
        </w:rPr>
        <w:t>“新疆畜牧网”运行、保障及信息处理补助项目的决策、过程、产出、效益等。</w:t>
      </w:r>
    </w:p>
    <w:p>
      <w:pPr>
        <w:spacing w:line="600" w:lineRule="exact"/>
        <w:ind w:firstLine="642" w:firstLineChars="200"/>
      </w:pPr>
      <w:r>
        <w:rPr>
          <w:rFonts w:eastAsia="楷体_GB2312"/>
          <w:b/>
          <w:bCs/>
          <w:sz w:val="32"/>
          <w:szCs w:val="32"/>
        </w:rPr>
        <w:t>（二）绩效评价原则、评价指标体系（详情见表1）、评价方法、评价标准。</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7"/>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7"/>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17"/>
        <w:numPr>
          <w:ilvl w:val="0"/>
          <w:numId w:val="3"/>
        </w:numPr>
        <w:spacing w:before="0" w:after="0" w:line="600" w:lineRule="exact"/>
        <w:ind w:firstLine="710"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17"/>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cs="Times New Roman"/>
          <w:b w:val="0"/>
          <w:bCs w:val="0"/>
        </w:rPr>
        <w:t>“新疆畜牧网”运行、保障及信息处理补助</w:t>
      </w:r>
      <w:r>
        <w:rPr>
          <w:rFonts w:ascii="Times New Roman" w:hAnsi="Times New Roman" w:eastAsia="仿宋_GB2312"/>
          <w:b w:val="0"/>
          <w:bCs w:val="0"/>
        </w:rPr>
        <w:t>项目进行客观评价，最终评分结果：总得分为</w:t>
      </w:r>
      <w:r>
        <w:rPr>
          <w:rFonts w:ascii="Times New Roman" w:hAnsi="Times New Roman" w:eastAsia="仿宋_GB2312"/>
          <w:b w:val="0"/>
          <w:bCs w:val="0"/>
          <w:highlight w:val="none"/>
        </w:rPr>
        <w:t xml:space="preserve">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17"/>
        <w:rPr>
          <w:rFonts w:ascii="Times New Roman" w:hAnsi="Times New Roman" w:eastAsia="仿宋_GB2312"/>
          <w:sz w:val="30"/>
          <w:szCs w:val="30"/>
        </w:rPr>
      </w:pPr>
    </w:p>
    <w:p>
      <w:pPr>
        <w:pStyle w:val="17"/>
        <w:rPr>
          <w:rFonts w:ascii="Times New Roman" w:hAnsi="Times New Roman" w:eastAsia="仿宋_GB2312"/>
          <w:sz w:val="30"/>
          <w:szCs w:val="30"/>
        </w:rPr>
      </w:pPr>
    </w:p>
    <w:p>
      <w:pPr>
        <w:pStyle w:val="17"/>
        <w:rPr>
          <w:rFonts w:ascii="Times New Roman" w:hAnsi="Times New Roman" w:eastAsia="仿宋_GB2312"/>
          <w:sz w:val="30"/>
          <w:szCs w:val="30"/>
        </w:rPr>
      </w:pPr>
    </w:p>
    <w:p>
      <w:pPr>
        <w:pStyle w:val="17"/>
      </w:pPr>
      <w:r>
        <w:rPr>
          <w:rFonts w:ascii="Times New Roman" w:hAnsi="Times New Roman" w:eastAsia="仿宋_GB2312"/>
          <w:sz w:val="30"/>
          <w:szCs w:val="30"/>
        </w:rPr>
        <w:t>表1综合评分表</w:t>
      </w:r>
    </w:p>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17"/>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17"/>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17"/>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pPr>
        <w:pStyle w:val="17"/>
        <w:numPr>
          <w:ilvl w:val="0"/>
          <w:numId w:val="0"/>
        </w:numPr>
        <w:ind w:firstLine="640" w:firstLineChars="200"/>
        <w:jc w:val="left"/>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a.OA公文服务器软硬件运维指标，指标值为1台，实际完成1台，完成率100%，偏差率0%，偏差原因是无。（完成率=全年完成值/全年目标值*100%，偏差率=ABS（年度预期完成率-全年实际完成率））。</w:t>
      </w:r>
    </w:p>
    <w:p>
      <w:pPr>
        <w:spacing w:line="600" w:lineRule="exact"/>
        <w:ind w:firstLine="640" w:firstLineChars="200"/>
        <w:rPr>
          <w:rStyle w:val="51"/>
          <w:rFonts w:hint="eastAsia" w:eastAsia="仿宋_GB2312" w:cs="Times New Roman"/>
          <w:color w:val="auto"/>
          <w:highlight w:val="yellow"/>
          <w:lang w:eastAsia="zh-CN"/>
        </w:rPr>
      </w:pPr>
      <w:r>
        <w:rPr>
          <w:rStyle w:val="51"/>
          <w:rFonts w:ascii="Times New Roman" w:hAnsi="Times New Roman" w:cs="Times New Roman"/>
          <w:color w:val="auto"/>
        </w:rPr>
        <w:t>质量指标方面：</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a.系统故障发生率指标，指标值为3%，实际完成3%，完成率100%，偏差率0%，偏差原因是无。（完成率=全年完成值/全年目标值*100%，偏差率=ABS（年度预期完成率-全年实际完成率））。</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b.系统故障处理率指标，指标值为100%，实际完成1，完成率100%，偏差率0%，偏差原因是无。（完成率=全年完成值/全年目标值*100%，偏差率=ABS（年度预期完成率-全年实际完成率））。</w:t>
      </w:r>
    </w:p>
    <w:p>
      <w:pPr>
        <w:pStyle w:val="17"/>
        <w:spacing w:before="0" w:after="0" w:line="600" w:lineRule="exact"/>
        <w:ind w:firstLine="640" w:firstLineChars="200"/>
        <w:jc w:val="both"/>
        <w:rPr>
          <w:rStyle w:val="51"/>
          <w:rFonts w:ascii="Times New Roman" w:hAnsi="Times New Roman" w:cs="Times New Roman"/>
          <w:b w:val="0"/>
          <w:bCs w:val="0"/>
          <w:color w:val="auto"/>
        </w:rPr>
      </w:pPr>
      <w:r>
        <w:rPr>
          <w:rStyle w:val="51"/>
          <w:rFonts w:hint="eastAsia" w:ascii="Times New Roman" w:hAnsi="Times New Roman" w:cs="Times New Roman"/>
          <w:b w:val="0"/>
          <w:bCs w:val="0"/>
          <w:color w:val="auto"/>
        </w:rPr>
        <w:t>时效</w:t>
      </w:r>
      <w:r>
        <w:rPr>
          <w:rStyle w:val="51"/>
          <w:rFonts w:ascii="Times New Roman" w:hAnsi="Times New Roman" w:cs="Times New Roman"/>
          <w:b w:val="0"/>
          <w:bCs w:val="0"/>
          <w:color w:val="auto"/>
        </w:rPr>
        <w:t>指标方面：</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a.软件系统故障修复处理时间指标，指标值为1天，实际完成1天，完成率100%，偏差率0%，偏差原因是无。（完成率=全年完成值/全年目标值*100%，偏差率=ABS（年度预期完成率-全年实际完成率））。</w:t>
      </w:r>
    </w:p>
    <w:p>
      <w:pPr>
        <w:pStyle w:val="17"/>
        <w:spacing w:before="0" w:after="0" w:line="600" w:lineRule="exact"/>
        <w:ind w:firstLine="640" w:firstLineChars="200"/>
        <w:jc w:val="both"/>
        <w:rPr>
          <w:rStyle w:val="51"/>
          <w:rFonts w:ascii="Times New Roman" w:hAnsi="Times New Roman" w:cs="Times New Roman"/>
          <w:b w:val="0"/>
          <w:bCs w:val="0"/>
          <w:color w:val="auto"/>
        </w:rPr>
      </w:pPr>
      <w:r>
        <w:rPr>
          <w:rStyle w:val="51"/>
          <w:rFonts w:hint="eastAsia" w:ascii="Times New Roman" w:hAnsi="Times New Roman" w:cs="Times New Roman"/>
          <w:b w:val="0"/>
          <w:bCs w:val="0"/>
          <w:color w:val="auto"/>
        </w:rPr>
        <w:t>经济成本</w:t>
      </w:r>
      <w:r>
        <w:rPr>
          <w:rStyle w:val="51"/>
          <w:rFonts w:ascii="Times New Roman" w:hAnsi="Times New Roman" w:cs="Times New Roman"/>
          <w:b w:val="0"/>
          <w:bCs w:val="0"/>
          <w:color w:val="auto"/>
        </w:rPr>
        <w:t>指标方面：</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a.门户网站运维费用指标，指标值为10万元，实际完成10万元，完成率100%，偏差率0%，偏差原因是无。（完成率=全年完成值/全年目标值*100%，偏差率=ABS（年度预期完成率-全年实际完成率））。</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b.线路租用成本指标，指标值为25万元，实际完成25万元，完成率100%，偏差率0%，偏差原因是无。（完成率=全年完成值/全年目标值*100%，偏差率=ABS（年度预期完成率-全年实际完成率））。</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c.日常会议运维指标，指标值为48.25万元，实际完成48.25万元，完成率100%，偏差率0%，偏差原因是无。（完成率=全年完成值/全年目标值*100%，偏差率=ABS（年度预期完成率-全年实际完成率））。</w:t>
      </w:r>
    </w:p>
    <w:p>
      <w:pPr>
        <w:ind w:firstLine="420" w:firstLineChars="200"/>
      </w:pPr>
    </w:p>
    <w:p>
      <w:pPr>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d.机房维保指标，指标值为40万元，实际完成40万元，完成率100%，偏差率0%，偏差原因是无。（完成率=全年完成值/全年目标值*100%，偏差率=ABS（年度预期完成率-全年实际完成率））。</w:t>
      </w:r>
    </w:p>
    <w:p>
      <w:pPr>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e.大数据平台数据存储维护指标，指标值为11.75万元，实际完成11.75万元，完成率100%，偏差率0%，偏差原因是无。（完成率=全年完成值/全年目标值*100%，偏差率=ABS（年度预期完成率-全年实际完成率））。</w:t>
      </w:r>
    </w:p>
    <w:p>
      <w:pPr>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f.改善机房运行环境指标，指标值为15万元，实际完成15万元，完成率100%，偏差率0%，偏差原因是无。（完成率=全年完成值/全年目标值*100%，偏差率=ABS（年度预期完成率-全年实际完成率））。</w:t>
      </w:r>
    </w:p>
    <w:p>
      <w:pPr>
        <w:pStyle w:val="17"/>
        <w:spacing w:before="0" w:after="0" w:line="600" w:lineRule="exact"/>
        <w:ind w:firstLine="642" w:firstLineChars="200"/>
        <w:jc w:val="both"/>
      </w:pPr>
      <w:r>
        <w:rPr>
          <w:rFonts w:hint="eastAsia" w:ascii="Times New Roman" w:hAnsi="Times New Roman" w:eastAsia="楷体_GB2312"/>
        </w:rPr>
        <w:t>（</w:t>
      </w:r>
      <w:r>
        <w:rPr>
          <w:rFonts w:hint="eastAsia" w:ascii="Times New Roman" w:hAnsi="Times New Roman" w:eastAsia="楷体_GB2312"/>
          <w:lang w:val="en-US" w:eastAsia="zh-CN"/>
        </w:rPr>
        <w:t>五</w:t>
      </w:r>
      <w:r>
        <w:rPr>
          <w:rFonts w:hint="eastAsia" w:ascii="Times New Roman" w:hAnsi="Times New Roman" w:eastAsia="楷体_GB2312"/>
        </w:rPr>
        <w:t>）</w:t>
      </w:r>
      <w:r>
        <w:rPr>
          <w:rFonts w:ascii="Times New Roman" w:hAnsi="Times New Roman" w:eastAsia="楷体_GB2312"/>
        </w:rPr>
        <w:t>项目</w:t>
      </w:r>
      <w:r>
        <w:rPr>
          <w:rFonts w:hint="eastAsia" w:ascii="Times New Roman" w:hAnsi="Times New Roman" w:eastAsia="楷体_GB2312"/>
          <w:lang w:val="en-US" w:eastAsia="zh-CN"/>
        </w:rPr>
        <w:t>效益</w:t>
      </w:r>
    </w:p>
    <w:p>
      <w:pPr>
        <w:spacing w:line="600" w:lineRule="exact"/>
        <w:ind w:firstLine="640" w:firstLineChars="200"/>
        <w:rPr>
          <w:rStyle w:val="51"/>
          <w:rFonts w:ascii="Times New Roman" w:hAnsi="Times New Roman" w:cs="Times New Roman"/>
          <w:color w:val="auto"/>
        </w:rPr>
      </w:pPr>
      <w:r>
        <w:rPr>
          <w:rStyle w:val="51"/>
          <w:rFonts w:ascii="Times New Roman" w:hAnsi="Times New Roman" w:cs="Times New Roman"/>
          <w:color w:val="auto"/>
        </w:rPr>
        <w:t>社会效益指标方面：</w:t>
      </w:r>
    </w:p>
    <w:p>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a.提升整体服务应用能力和保障水平，指标值为有效提升，实际完成有效提升，完成率100%，偏差率0%，偏差原因是无。（完成率=全年完成值/全年目标值*100%，偏差率=ABS（年度预期完成率-全年实际完成率））。</w:t>
      </w:r>
    </w:p>
    <w:p>
      <w:pPr>
        <w:pStyle w:val="17"/>
        <w:numPr>
          <w:ilvl w:val="0"/>
          <w:numId w:val="0"/>
        </w:numPr>
        <w:ind w:firstLine="640" w:firstLineChars="200"/>
        <w:jc w:val="left"/>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b.为畜牧行业提供信息化服务，指标值为有效提升，实际完成有效提升，完成率100%，偏差率0%，偏差原因是无。（完成率=全年完成值/全年目标值*100%，偏差率=ABS（年度预期完成率-全年实际完成率））。</w:t>
      </w:r>
    </w:p>
    <w:p>
      <w:pPr>
        <w:spacing w:line="600" w:lineRule="exact"/>
        <w:ind w:firstLine="640" w:firstLineChars="200"/>
        <w:rPr>
          <w:rStyle w:val="51"/>
          <w:rFonts w:ascii="Times New Roman" w:hAnsi="Times New Roman" w:cs="Times New Roman"/>
          <w:color w:val="auto"/>
        </w:rPr>
      </w:pPr>
      <w:r>
        <w:rPr>
          <w:rStyle w:val="51"/>
          <w:rFonts w:ascii="Times New Roman" w:hAnsi="Times New Roman" w:cs="Times New Roman"/>
          <w:color w:val="auto"/>
        </w:rPr>
        <w:t>满意度指标方面：</w:t>
      </w:r>
    </w:p>
    <w:p>
      <w:pPr>
        <w:pStyle w:val="17"/>
        <w:numPr>
          <w:ilvl w:val="0"/>
          <w:numId w:val="0"/>
        </w:numPr>
        <w:ind w:firstLine="640" w:firstLineChars="200"/>
        <w:jc w:val="left"/>
        <w:rPr>
          <w:rStyle w:val="51"/>
          <w:rFonts w:ascii="Times New Roman" w:hAnsi="Times New Roman" w:cs="Times New Roman"/>
          <w:color w:val="auto"/>
        </w:rPr>
      </w:pPr>
      <w:r>
        <w:rPr>
          <w:rFonts w:hint="eastAsia" w:ascii="仿宋_GB2312" w:hAnsi="仿宋_GB2312" w:eastAsia="仿宋_GB2312" w:cs="仿宋_GB2312"/>
          <w:b w:val="0"/>
          <w:bCs w:val="0"/>
          <w:kern w:val="2"/>
          <w:sz w:val="32"/>
          <w:szCs w:val="32"/>
          <w:highlight w:val="none"/>
          <w:lang w:val="en-US" w:eastAsia="zh-CN" w:bidi="ar-SA"/>
        </w:rPr>
        <w:t>a.畜牧行业信息化相关设备使用人员满意度，指标值为有效提升，实际完成有效提升，完成率100%，偏差率0%，偏差原因是无。（完成率=全年完成值/全年目标值*100%，偏差率=ABS（年度预期完成率-全年实际完成率））。</w:t>
      </w:r>
    </w:p>
    <w:p>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6"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w:t>
      </w:r>
      <w:r>
        <w:rPr>
          <w:rFonts w:hint="eastAsia" w:eastAsia="仿宋_GB2312"/>
          <w:sz w:val="32"/>
          <w:szCs w:val="32"/>
          <w:lang w:val="en-US" w:eastAsia="zh-CN"/>
        </w:rPr>
        <w:t>体</w:t>
      </w:r>
      <w:r>
        <w:rPr>
          <w:rFonts w:eastAsia="仿宋_GB2312"/>
          <w:sz w:val="32"/>
          <w:szCs w:val="32"/>
        </w:rPr>
        <w:t>民意调查及项目防范工作。</w:t>
      </w:r>
    </w:p>
    <w:p>
      <w:pPr>
        <w:pStyle w:val="17"/>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w:t>
      </w:r>
      <w:r>
        <w:rPr>
          <w:rFonts w:hint="eastAsia" w:ascii="Times New Roman" w:hAnsi="Times New Roman" w:eastAsia="仿宋_GB2312"/>
          <w:b w:val="0"/>
          <w:bCs w:val="0"/>
          <w:kern w:val="2"/>
          <w:lang w:eastAsia="zh-CN"/>
        </w:rPr>
        <w:t>。</w:t>
      </w:r>
      <w:r>
        <w:rPr>
          <w:rFonts w:ascii="Times New Roman" w:hAnsi="Times New Roman" w:eastAsia="仿宋_GB2312"/>
          <w:b w:val="0"/>
          <w:bCs w:val="0"/>
          <w:kern w:val="2"/>
        </w:rPr>
        <w:t>跟踪检查到位</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lang w:val="en-US" w:eastAsia="zh-CN"/>
        </w:rPr>
        <w:t>驻场、单位业务人员、</w:t>
      </w:r>
      <w:r>
        <w:rPr>
          <w:rFonts w:ascii="Times New Roman" w:hAnsi="Times New Roman" w:eastAsia="仿宋_GB2312"/>
          <w:b w:val="0"/>
          <w:bCs w:val="0"/>
          <w:kern w:val="2"/>
        </w:rPr>
        <w:t>纪检</w:t>
      </w:r>
      <w:r>
        <w:rPr>
          <w:rFonts w:hint="eastAsia" w:ascii="Times New Roman" w:hAnsi="Times New Roman" w:eastAsia="仿宋_GB2312"/>
          <w:b w:val="0"/>
          <w:bCs w:val="0"/>
          <w:kern w:val="2"/>
          <w:lang w:val="en-US" w:eastAsia="zh-CN"/>
        </w:rPr>
        <w:t>干事</w:t>
      </w:r>
      <w:r>
        <w:rPr>
          <w:rFonts w:ascii="Times New Roman" w:hAnsi="Times New Roman" w:eastAsia="仿宋_GB2312"/>
          <w:b w:val="0"/>
          <w:bCs w:val="0"/>
          <w:kern w:val="2"/>
        </w:rPr>
        <w:t>等职能部门</w:t>
      </w:r>
      <w:r>
        <w:rPr>
          <w:rFonts w:hint="eastAsia" w:ascii="Times New Roman" w:hAnsi="Times New Roman" w:eastAsia="仿宋_GB2312"/>
          <w:b w:val="0"/>
          <w:bCs w:val="0"/>
          <w:kern w:val="2"/>
          <w:lang w:val="en-US" w:eastAsia="zh-CN"/>
        </w:rPr>
        <w:t>人员</w:t>
      </w:r>
      <w:r>
        <w:rPr>
          <w:rFonts w:ascii="Times New Roman" w:hAnsi="Times New Roman" w:eastAsia="仿宋_GB2312"/>
          <w:b w:val="0"/>
          <w:bCs w:val="0"/>
          <w:kern w:val="2"/>
        </w:rPr>
        <w:t>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2" w:firstLineChars="200"/>
        <w:rPr>
          <w:rFonts w:eastAsia="楷体_GB2312"/>
          <w:b/>
          <w:bCs/>
          <w:sz w:val="32"/>
          <w:szCs w:val="32"/>
        </w:rPr>
      </w:pPr>
      <w:r>
        <w:rPr>
          <w:rFonts w:eastAsia="楷体_GB2312"/>
          <w:b/>
          <w:bCs/>
          <w:sz w:val="32"/>
          <w:szCs w:val="32"/>
        </w:rPr>
        <w:t>存在的问题及原因分析</w:t>
      </w:r>
    </w:p>
    <w:p>
      <w:pPr>
        <w:pStyle w:val="17"/>
        <w:spacing w:before="0" w:after="0" w:line="600" w:lineRule="exact"/>
        <w:ind w:firstLine="640" w:firstLineChars="200"/>
        <w:jc w:val="both"/>
        <w:rPr>
          <w:rFonts w:hint="eastAsia" w:ascii="Times New Roman" w:hAnsi="Times New Roman" w:eastAsia="仿宋_GB2312"/>
          <w:b w:val="0"/>
          <w:bCs w:val="0"/>
          <w:kern w:val="2"/>
          <w:lang w:eastAsia="zh-CN"/>
        </w:rPr>
      </w:pPr>
      <w:r>
        <w:rPr>
          <w:rFonts w:hint="eastAsia" w:ascii="仿宋" w:hAnsi="仿宋" w:eastAsia="仿宋" w:cs="仿宋"/>
          <w:b w:val="0"/>
          <w:bCs w:val="0"/>
          <w:color w:val="auto"/>
          <w:sz w:val="32"/>
          <w:szCs w:val="32"/>
        </w:rPr>
        <w:t>我区畜牧业集约化规模化程度偏低（接近40%），生产经营主体推广和开展</w:t>
      </w:r>
      <w:r>
        <w:rPr>
          <w:rFonts w:hint="eastAsia" w:ascii="仿宋" w:hAnsi="仿宋" w:eastAsia="仿宋" w:cs="仿宋"/>
          <w:b w:val="0"/>
          <w:bCs w:val="0"/>
          <w:color w:val="auto"/>
          <w:sz w:val="32"/>
          <w:szCs w:val="32"/>
          <w:lang w:eastAsia="zh-CN"/>
        </w:rPr>
        <w:t>数字</w:t>
      </w:r>
      <w:r>
        <w:rPr>
          <w:rFonts w:hint="eastAsia" w:ascii="仿宋" w:hAnsi="仿宋" w:eastAsia="仿宋" w:cs="仿宋"/>
          <w:b w:val="0"/>
          <w:bCs w:val="0"/>
          <w:color w:val="auto"/>
          <w:sz w:val="32"/>
          <w:szCs w:val="32"/>
        </w:rPr>
        <w:t>化能力还较弱</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数据采集、传输、存储、共享的手段和方式单一</w:t>
      </w:r>
      <w:r>
        <w:rPr>
          <w:rFonts w:hint="eastAsia" w:ascii="仿宋" w:hAnsi="仿宋" w:eastAsia="仿宋" w:cs="仿宋"/>
          <w:b w:val="0"/>
          <w:bCs w:val="0"/>
          <w:color w:val="auto"/>
          <w:sz w:val="32"/>
          <w:szCs w:val="32"/>
          <w:lang w:eastAsia="zh-CN"/>
        </w:rPr>
        <w:t>；数字</w:t>
      </w:r>
      <w:r>
        <w:rPr>
          <w:rFonts w:hint="eastAsia" w:ascii="仿宋" w:hAnsi="仿宋" w:eastAsia="仿宋" w:cs="仿宋"/>
          <w:b w:val="0"/>
          <w:bCs w:val="0"/>
          <w:color w:val="auto"/>
          <w:sz w:val="32"/>
          <w:szCs w:val="32"/>
        </w:rPr>
        <w:t>技术在畜牧业领域的集成应用不充分，广度和深度不够</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各级行政事业单位、生产经营主体、养殖户分布分散，信息技术推广和维护成本较高。</w:t>
      </w:r>
    </w:p>
    <w:p/>
    <w:p>
      <w:pPr>
        <w:numPr>
          <w:ilvl w:val="0"/>
          <w:numId w:val="7"/>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一</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w:t>
      </w:r>
      <w:r>
        <w:rPr>
          <w:rFonts w:hint="eastAsia" w:ascii="仿宋_GB2312" w:hAnsi="仿宋_GB2312" w:eastAsia="仿宋_GB2312" w:cs="仿宋_GB2312"/>
          <w:sz w:val="32"/>
          <w:szCs w:val="28"/>
          <w:lang w:val="en-US" w:eastAsia="zh-CN"/>
        </w:rPr>
        <w:t>数据管理和网络</w:t>
      </w:r>
      <w:r>
        <w:rPr>
          <w:rFonts w:hint="eastAsia" w:ascii="仿宋_GB2312" w:hAnsi="仿宋_GB2312" w:eastAsia="仿宋_GB2312" w:cs="仿宋_GB2312"/>
          <w:sz w:val="32"/>
          <w:szCs w:val="28"/>
        </w:rPr>
        <w:t>安全考核建立</w:t>
      </w:r>
      <w:r>
        <w:rPr>
          <w:rFonts w:hint="eastAsia" w:ascii="仿宋_GB2312" w:hAnsi="仿宋_GB2312" w:eastAsia="仿宋_GB2312" w:cs="仿宋_GB2312"/>
          <w:sz w:val="32"/>
          <w:szCs w:val="28"/>
          <w:lang w:val="en-US" w:eastAsia="zh-CN"/>
        </w:rPr>
        <w:t>专业的</w:t>
      </w:r>
      <w:r>
        <w:rPr>
          <w:rFonts w:hint="eastAsia" w:ascii="仿宋_GB2312" w:hAnsi="仿宋_GB2312" w:eastAsia="仿宋_GB2312" w:cs="仿宋_GB2312"/>
          <w:sz w:val="32"/>
          <w:szCs w:val="28"/>
        </w:rPr>
        <w:t>绩效工作考核制度，加大对全面实施预算绩效管理和绩效管理工作的学习力度，让“花钱必问效，无效必问责”的理念深入工作每个环节。</w:t>
      </w:r>
    </w:p>
    <w:p>
      <w:pPr>
        <w:keepNext w:val="0"/>
        <w:keepLines w:val="0"/>
        <w:pageBreakBefore w:val="0"/>
        <w:kinsoku/>
        <w:wordWrap/>
        <w:overflowPunct/>
        <w:topLinePunct w:val="0"/>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kern w:val="0"/>
          <w:sz w:val="32"/>
          <w:szCs w:val="32"/>
          <w:lang w:val="en-US" w:eastAsia="zh-CN" w:bidi="ar-SA"/>
        </w:rPr>
        <w:t>（二）加大对畜牧业数字化的投入。</w:t>
      </w:r>
      <w:r>
        <w:rPr>
          <w:rFonts w:hint="eastAsia" w:ascii="仿宋" w:hAnsi="仿宋" w:eastAsia="仿宋" w:cs="仿宋"/>
          <w:b w:val="0"/>
          <w:bCs w:val="0"/>
          <w:color w:val="auto"/>
          <w:sz w:val="32"/>
          <w:szCs w:val="32"/>
        </w:rPr>
        <w:t>我区畜牧业化发展起步</w:t>
      </w:r>
      <w:r>
        <w:rPr>
          <w:rFonts w:hint="eastAsia" w:ascii="仿宋" w:hAnsi="仿宋" w:eastAsia="仿宋" w:cs="仿宋"/>
          <w:b w:val="0"/>
          <w:bCs w:val="0"/>
          <w:color w:val="auto"/>
          <w:sz w:val="32"/>
          <w:szCs w:val="32"/>
          <w:lang w:eastAsia="zh-CN"/>
        </w:rPr>
        <w:t>相对</w:t>
      </w:r>
      <w:r>
        <w:rPr>
          <w:rFonts w:hint="eastAsia" w:ascii="仿宋" w:hAnsi="仿宋" w:eastAsia="仿宋" w:cs="仿宋"/>
          <w:b w:val="0"/>
          <w:bCs w:val="0"/>
          <w:color w:val="auto"/>
          <w:sz w:val="32"/>
          <w:szCs w:val="32"/>
        </w:rPr>
        <w:t>较早，但因地方各级政府对畜牧兽医信息化的重要性、紧迫性的认识不到位，关心支持信息化发展的热度不够，投资偏少，历史欠账较多。</w:t>
      </w:r>
      <w:r>
        <w:rPr>
          <w:rFonts w:hint="eastAsia" w:ascii="仿宋" w:hAnsi="仿宋" w:eastAsia="仿宋" w:cs="仿宋"/>
          <w:b w:val="0"/>
          <w:bCs w:val="0"/>
          <w:color w:val="auto"/>
          <w:spacing w:val="5"/>
          <w:sz w:val="32"/>
          <w:szCs w:val="32"/>
          <w:shd w:val="clear" w:color="auto" w:fill="FFFFFF"/>
          <w:lang w:val="en-US" w:eastAsia="zh-CN"/>
        </w:rPr>
        <w:t>为推进我区畜牧业数字化加快发展，更好地支撑农业农村现代化和乡村全面振兴，</w:t>
      </w:r>
      <w:r>
        <w:rPr>
          <w:rFonts w:hint="eastAsia" w:ascii="仿宋" w:hAnsi="仿宋" w:eastAsia="仿宋" w:cs="仿宋"/>
          <w:b w:val="0"/>
          <w:bCs w:val="0"/>
          <w:color w:val="auto"/>
          <w:spacing w:val="5"/>
          <w:sz w:val="32"/>
          <w:szCs w:val="32"/>
          <w:shd w:val="clear" w:color="auto" w:fill="FFFFFF"/>
        </w:rPr>
        <w:t>需要</w:t>
      </w:r>
      <w:r>
        <w:rPr>
          <w:rFonts w:hint="eastAsia" w:ascii="仿宋" w:hAnsi="仿宋" w:eastAsia="仿宋" w:cs="仿宋"/>
          <w:b w:val="0"/>
          <w:bCs w:val="0"/>
          <w:color w:val="auto"/>
          <w:sz w:val="32"/>
          <w:szCs w:val="32"/>
        </w:rPr>
        <w:t>给予</w:t>
      </w:r>
      <w:r>
        <w:rPr>
          <w:rFonts w:hint="eastAsia" w:ascii="仿宋" w:hAnsi="仿宋" w:eastAsia="仿宋" w:cs="仿宋"/>
          <w:b w:val="0"/>
          <w:bCs w:val="0"/>
          <w:color w:val="auto"/>
          <w:sz w:val="32"/>
          <w:szCs w:val="32"/>
          <w:lang w:eastAsia="zh-CN"/>
        </w:rPr>
        <w:t>大力</w:t>
      </w:r>
      <w:r>
        <w:rPr>
          <w:rFonts w:hint="eastAsia" w:ascii="仿宋" w:hAnsi="仿宋" w:eastAsia="仿宋" w:cs="仿宋"/>
          <w:b w:val="0"/>
          <w:bCs w:val="0"/>
          <w:color w:val="auto"/>
          <w:spacing w:val="5"/>
          <w:sz w:val="32"/>
          <w:szCs w:val="32"/>
          <w:shd w:val="clear" w:color="auto" w:fill="FFFFFF"/>
        </w:rPr>
        <w:t>支持。</w:t>
      </w:r>
      <w:r>
        <w:rPr>
          <w:rFonts w:hint="eastAsia" w:ascii="仿宋" w:hAnsi="仿宋" w:eastAsia="仿宋" w:cs="仿宋"/>
          <w:b w:val="0"/>
          <w:bCs w:val="0"/>
          <w:color w:val="auto"/>
          <w:sz w:val="32"/>
          <w:szCs w:val="32"/>
        </w:rPr>
        <w:t xml:space="preserve"> </w:t>
      </w: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firstLine="640" w:firstLineChars="200"/>
        <w:textAlignment w:val="auto"/>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19"/>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pPr>
    </w:p>
    <w:p>
      <w:pPr>
        <w:pStyle w:val="19"/>
        <w:ind w:firstLine="320" w:firstLineChars="100"/>
        <w:rPr>
          <w:rFonts w:hint="eastAsia" w:ascii="仿宋_GB2312" w:hAnsi="仿宋_GB2312" w:eastAsia="仿宋_GB2312" w:cs="仿宋_GB2312"/>
          <w:sz w:val="32"/>
          <w:szCs w:val="32"/>
        </w:rPr>
        <w:sectPr>
          <w:footerReference r:id="rId3" w:type="default"/>
          <w:pgSz w:w="11906" w:h="16838"/>
          <w:pgMar w:top="1440" w:right="1558" w:bottom="1440" w:left="1800" w:header="851" w:footer="992" w:gutter="0"/>
          <w:cols w:space="425" w:num="1"/>
          <w:docGrid w:type="lines" w:linePitch="312" w:charSpace="0"/>
        </w:sectPr>
      </w:pPr>
    </w:p>
    <w:p>
      <w:pPr>
        <w:pStyle w:val="19"/>
        <w:keepNext w:val="0"/>
        <w:keepLines w:val="0"/>
        <w:pageBreakBefore w:val="0"/>
        <w:widowControl w:val="0"/>
        <w:kinsoku/>
        <w:wordWrap/>
        <w:overflowPunct/>
        <w:topLinePunct w:val="0"/>
        <w:autoSpaceDE/>
        <w:autoSpaceDN/>
        <w:bidi w:val="0"/>
        <w:adjustRightInd/>
        <w:snapToGrid/>
        <w:spacing w:line="48" w:lineRule="auto"/>
        <w:ind w:firstLine="280" w:firstLineChars="100"/>
        <w:jc w:val="center"/>
        <w:textAlignment w:val="auto"/>
        <w:rPr>
          <w:rFonts w:hint="eastAsia" w:ascii="方正公文小标宋" w:hAnsi="方正公文小标宋" w:eastAsia="方正公文小标宋" w:cs="方正公文小标宋"/>
          <w:b w:val="0"/>
          <w:bCs w:val="0"/>
          <w:i w:val="0"/>
          <w:iCs w:val="0"/>
          <w:color w:val="000000"/>
          <w:kern w:val="0"/>
          <w:sz w:val="28"/>
          <w:szCs w:val="28"/>
          <w:u w:val="none"/>
          <w:lang w:val="en-US" w:eastAsia="zh-CN" w:bidi="ar"/>
        </w:rPr>
      </w:pPr>
      <w:r>
        <w:rPr>
          <w:rFonts w:hint="eastAsia" w:ascii="方正公文小标宋" w:hAnsi="方正公文小标宋" w:eastAsia="方正公文小标宋" w:cs="方正公文小标宋"/>
          <w:b w:val="0"/>
          <w:bCs w:val="0"/>
          <w:i w:val="0"/>
          <w:iCs w:val="0"/>
          <w:color w:val="000000"/>
          <w:kern w:val="0"/>
          <w:sz w:val="28"/>
          <w:szCs w:val="28"/>
          <w:u w:val="none"/>
          <w:lang w:val="en-US" w:eastAsia="zh-CN" w:bidi="ar"/>
        </w:rPr>
        <w:t>项目支出绩效自评表</w:t>
      </w:r>
    </w:p>
    <w:p>
      <w:pPr>
        <w:pStyle w:val="19"/>
        <w:keepNext w:val="0"/>
        <w:keepLines w:val="0"/>
        <w:pageBreakBefore w:val="0"/>
        <w:widowControl w:val="0"/>
        <w:kinsoku/>
        <w:wordWrap/>
        <w:overflowPunct/>
        <w:topLinePunct w:val="0"/>
        <w:autoSpaceDE/>
        <w:autoSpaceDN/>
        <w:bidi w:val="0"/>
        <w:adjustRightInd/>
        <w:snapToGrid/>
        <w:spacing w:line="48" w:lineRule="auto"/>
        <w:ind w:firstLine="220" w:firstLineChars="100"/>
        <w:jc w:val="center"/>
        <w:textAlignment w:val="auto"/>
        <w:rPr>
          <w:rFonts w:hint="eastAsia" w:ascii="方正公文小标宋" w:hAnsi="方正公文小标宋" w:eastAsia="方正公文小标宋" w:cs="方正公文小标宋"/>
          <w:b w:val="0"/>
          <w:bCs w:val="0"/>
          <w:i w:val="0"/>
          <w:iCs w:val="0"/>
          <w:color w:val="000000"/>
          <w:kern w:val="0"/>
          <w:sz w:val="28"/>
          <w:szCs w:val="28"/>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（2024 年度）</w:t>
      </w:r>
    </w:p>
    <w:tbl>
      <w:tblPr>
        <w:tblStyle w:val="2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8"/>
        <w:gridCol w:w="807"/>
        <w:gridCol w:w="782"/>
        <w:gridCol w:w="1541"/>
        <w:gridCol w:w="1261"/>
        <w:gridCol w:w="1074"/>
        <w:gridCol w:w="1062"/>
        <w:gridCol w:w="875"/>
        <w:gridCol w:w="1014"/>
        <w:gridCol w:w="1232"/>
        <w:gridCol w:w="1076"/>
        <w:gridCol w:w="802"/>
        <w:gridCol w:w="748"/>
        <w:gridCol w:w="13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项目名称</w:t>
            </w:r>
          </w:p>
        </w:tc>
        <w:tc>
          <w:tcPr>
            <w:tcW w:w="45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“新疆畜牧网”运行及信息处理补助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主管部门</w:t>
            </w:r>
          </w:p>
        </w:tc>
        <w:tc>
          <w:tcPr>
            <w:tcW w:w="20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自治区畜牧兽医局</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实施单位</w:t>
            </w:r>
          </w:p>
        </w:tc>
        <w:tc>
          <w:tcPr>
            <w:tcW w:w="18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牧业信息中心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47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项目资金</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（万元）</w:t>
            </w: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资金来源</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年初预算数</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全年预算数</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全年执行数</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分值权重</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执行率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年度资金总额</w:t>
            </w:r>
          </w:p>
        </w:tc>
        <w:tc>
          <w:tcPr>
            <w:tcW w:w="445"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150万元</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150万元</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150万元</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8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其中：当年财政拨款</w:t>
            </w:r>
          </w:p>
        </w:tc>
        <w:tc>
          <w:tcPr>
            <w:tcW w:w="445"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150万元</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150万元</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150万元</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820"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其他资金</w:t>
            </w:r>
          </w:p>
        </w:tc>
        <w:tc>
          <w:tcPr>
            <w:tcW w:w="445" w:type="pct"/>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754"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6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年度总体目标</w:t>
            </w:r>
          </w:p>
        </w:tc>
        <w:tc>
          <w:tcPr>
            <w:tcW w:w="297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总体目标</w:t>
            </w:r>
          </w:p>
        </w:tc>
        <w:tc>
          <w:tcPr>
            <w:tcW w:w="18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297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1.保障新疆畜牧兽医局门户网站、OA无纸化办公系统正常运行、促进畜牧业高质量发展。新增赋码生产、打印、批量打印等模块；</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2.通过接入光纤电路、互联网链路，保障视频会议传输；计算机设备接入互联网；门户网站域名注册等；</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3.确保畜牧兽医局日常会议、电视电话会议、视频调度会议、腾讯会议、项目答辩视频会议等正常运行，并提供驻场服务；</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4.机房设备运维，续保，设备扩容，故障设备更换，保障视频会议链路、设备正常并提供驻场服务</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5.保障牧业信息中心正常管理、使用和推广平台；</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6.改善机房运行环境和逐年更新老旧设备，确保无故障正常运行。</w:t>
            </w:r>
          </w:p>
        </w:tc>
        <w:tc>
          <w:tcPr>
            <w:tcW w:w="18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保障门户网站和OA无纸化办公系统正常运行，新增赋码生产、打印、批量打印等模块1套，系统故障控制在3%以内。2、通过接入光纤电路、互联网链路，保障视频会议传输和接入互联网。3、加强日常会议、视频会议等系统运行维护能力，系统运行维护响应时间控制在24小时以内，系统故障修复处理时间控制在1天以内。保障牧业信息中心正常管理、使用和推广平台，提升整体服务应用、应急处理能力，为社会各行业提供畜牧业信息化服务。畜牧行业相关设备使用人员满意度达到95%以上（包含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指标值设置依据</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上年完成值</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指标分值权重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指标赋分规则</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佐证资料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指标实际完成值</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完成率</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指标得分</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年度绩效指标完成情况</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产出指标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数量指标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OA公文服务器软硬件运维</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&gt;=1台</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1台</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原始凭证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1台</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质量指标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系统故障发生率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&lt;=3%</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&lt;3%</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系统故障处理率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&gt;=100%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时效指标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软件系统故障修复处理时间</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&lt;=1天</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1天</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1天</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成本指标</w:t>
            </w:r>
          </w:p>
        </w:tc>
        <w:tc>
          <w:tcPr>
            <w:tcW w:w="2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经济成本指标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门户网站运维费用</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&lt;=10万元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10万元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原始凭证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10万元</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线路租用成本</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&lt;=25万元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25万元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原始凭证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25万元</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日常会议运维</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&lt;=48.25万元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48.25万元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48.25万元</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机房维保</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&lt;=40万元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40万元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原始凭证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40万元</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大数据平台数据存储维护</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&lt;=11.75万元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11.75万元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原始凭证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11.75万元</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改善机房运行环境</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&lt;=15万元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15万元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原始凭证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15万元</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效益指标</w:t>
            </w:r>
          </w:p>
        </w:tc>
        <w:tc>
          <w:tcPr>
            <w:tcW w:w="2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社会效益指标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提升整体服务应用能力和保障水平</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有效提升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有效提升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有效提升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为畜牧行业提供信息化服务</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有效提升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有效提升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有效提升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满意度指标</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相关设备使用人员满意度</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&gt;=95%</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计划标准</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说明材料</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295"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总分</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3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shd w:val="clear" w:color="auto" w:fill="auto"/>
                <w:lang w:val="en-US" w:eastAsia="zh-CN" w:bidi="ar"/>
              </w:rPr>
            </w:pPr>
            <w:r>
              <w:rPr>
                <w:rFonts w:hint="eastAsia" w:ascii="Times New Roman" w:hAnsi="Times New Roman" w:cs="Times New Roman"/>
                <w:i w:val="0"/>
                <w:iCs w:val="0"/>
                <w:color w:val="000000"/>
                <w:kern w:val="0"/>
                <w:sz w:val="18"/>
                <w:szCs w:val="18"/>
                <w:highlight w:val="none"/>
                <w:u w:val="none"/>
                <w:shd w:val="clear" w:color="auto" w:fill="auto"/>
                <w:lang w:val="en-US" w:eastAsia="zh-CN" w:bidi="ar"/>
              </w:rPr>
              <w:t>90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shd w:val="clear" w:color="auto" w:fill="auto"/>
                <w:lang w:val="en-US" w:eastAsia="zh-CN" w:bidi="ar"/>
              </w:rPr>
            </w:pPr>
            <w:r>
              <w:rPr>
                <w:rFonts w:hint="eastAsia" w:ascii="Times New Roman" w:hAnsi="Times New Roman" w:cs="Times New Roman"/>
                <w:i w:val="0"/>
                <w:iCs w:val="0"/>
                <w:color w:val="000000"/>
                <w:kern w:val="0"/>
                <w:sz w:val="18"/>
                <w:szCs w:val="18"/>
                <w:highlight w:val="none"/>
                <w:u w:val="none"/>
                <w:shd w:val="clear" w:color="auto" w:fill="auto"/>
                <w:lang w:val="en-US" w:eastAsia="zh-CN" w:bidi="ar"/>
              </w:rPr>
              <w:t>90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shd w:val="clear" w:color="auto" w:fill="auto"/>
                <w:lang w:val="en-US" w:eastAsia="zh-CN" w:bidi="ar"/>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shd w:val="clear" w:color="auto" w:fill="auto"/>
                <w:lang w:val="en-US" w:eastAsia="zh-CN" w:bidi="ar"/>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shd w:val="clear" w:color="auto" w:fill="auto"/>
                <w:lang w:val="en-US" w:eastAsia="zh-CN" w:bidi="ar"/>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shd w:val="clear" w:color="auto" w:fill="auto"/>
                <w:lang w:val="en-US" w:eastAsia="zh-CN" w:bidi="ar"/>
              </w:rPr>
            </w:pPr>
            <w:r>
              <w:rPr>
                <w:rFonts w:hint="eastAsia" w:ascii="Times New Roman" w:hAnsi="Times New Roman" w:cs="Times New Roman"/>
                <w:i w:val="0"/>
                <w:iCs w:val="0"/>
                <w:color w:val="000000"/>
                <w:kern w:val="0"/>
                <w:sz w:val="18"/>
                <w:szCs w:val="18"/>
                <w:highlight w:val="none"/>
                <w:u w:val="none"/>
                <w:shd w:val="clear" w:color="auto" w:fill="auto"/>
                <w:lang w:val="en-US" w:eastAsia="zh-CN" w:bidi="ar"/>
              </w:rPr>
              <w:t>90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bl>
    <w:p>
      <w:r>
        <w:rPr>
          <w:rFonts w:ascii="Times New Roman" w:hAnsi="Times New Roman" w:eastAsia="黑体"/>
          <w:b w:val="0"/>
          <w:bCs w:val="0"/>
        </w:rPr>
        <w:br w:type="page"/>
      </w:r>
    </w:p>
    <w:p>
      <w:pPr>
        <w:spacing w:line="600" w:lineRule="exact"/>
        <w:rPr>
          <w:bCs/>
          <w:sz w:val="32"/>
          <w:szCs w:val="32"/>
        </w:rPr>
      </w:pPr>
      <w:r>
        <w:rPr>
          <w:bCs/>
          <w:sz w:val="32"/>
          <w:szCs w:val="32"/>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pStyle w:val="17"/>
        <w:rPr>
          <w:rFonts w:ascii="Times New Roman" w:hAnsi="Times New Roman"/>
        </w:rPr>
      </w:pPr>
    </w:p>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modern"/>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方正楷体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公文小标宋">
    <w:altName w:val="方正小标宋_GBK"/>
    <w:panose1 w:val="02000500000000000000"/>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17</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ZDY2NDVkNDBjMjgwNTNkNjFkY2UxMTFjNzUxZGIifQ=="/>
  </w:docVars>
  <w:rsids>
    <w:rsidRoot w:val="00CA6457"/>
    <w:rsid w:val="00056465"/>
    <w:rsid w:val="000E50F0"/>
    <w:rsid w:val="000E586C"/>
    <w:rsid w:val="00121AE4"/>
    <w:rsid w:val="00146AAD"/>
    <w:rsid w:val="001B3A40"/>
    <w:rsid w:val="00200850"/>
    <w:rsid w:val="003748BB"/>
    <w:rsid w:val="003C18BC"/>
    <w:rsid w:val="00430B95"/>
    <w:rsid w:val="004366A8"/>
    <w:rsid w:val="00441793"/>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1B320E7"/>
    <w:rsid w:val="051A56F5"/>
    <w:rsid w:val="066D6EAA"/>
    <w:rsid w:val="06DC1681"/>
    <w:rsid w:val="08C662D4"/>
    <w:rsid w:val="09BD4D95"/>
    <w:rsid w:val="09D5381B"/>
    <w:rsid w:val="0ADB2CF4"/>
    <w:rsid w:val="0B0F58D6"/>
    <w:rsid w:val="0B2D5282"/>
    <w:rsid w:val="0EA33BF7"/>
    <w:rsid w:val="0F8D41CB"/>
    <w:rsid w:val="0FEE2F21"/>
    <w:rsid w:val="11C75270"/>
    <w:rsid w:val="12637CC3"/>
    <w:rsid w:val="12E657C5"/>
    <w:rsid w:val="133C6E2A"/>
    <w:rsid w:val="167C7687"/>
    <w:rsid w:val="168B3546"/>
    <w:rsid w:val="1A2374E0"/>
    <w:rsid w:val="1AFD2812"/>
    <w:rsid w:val="1C317CE2"/>
    <w:rsid w:val="1D5E60FE"/>
    <w:rsid w:val="1DD45808"/>
    <w:rsid w:val="1DED42AC"/>
    <w:rsid w:val="20005763"/>
    <w:rsid w:val="20FB313D"/>
    <w:rsid w:val="220B4804"/>
    <w:rsid w:val="228E273D"/>
    <w:rsid w:val="23AB72AF"/>
    <w:rsid w:val="278B653F"/>
    <w:rsid w:val="282475E3"/>
    <w:rsid w:val="290B2EE2"/>
    <w:rsid w:val="29E421D9"/>
    <w:rsid w:val="2C6100C1"/>
    <w:rsid w:val="30911942"/>
    <w:rsid w:val="3235157C"/>
    <w:rsid w:val="3264220D"/>
    <w:rsid w:val="32A83563"/>
    <w:rsid w:val="34993154"/>
    <w:rsid w:val="3700771B"/>
    <w:rsid w:val="38872456"/>
    <w:rsid w:val="3963178C"/>
    <w:rsid w:val="3BA5236D"/>
    <w:rsid w:val="3CED0699"/>
    <w:rsid w:val="3EB02FD6"/>
    <w:rsid w:val="416D61BF"/>
    <w:rsid w:val="41CC2676"/>
    <w:rsid w:val="462F56C6"/>
    <w:rsid w:val="46B21672"/>
    <w:rsid w:val="48001A5B"/>
    <w:rsid w:val="4BEE6C7E"/>
    <w:rsid w:val="4F552460"/>
    <w:rsid w:val="4FCC6863"/>
    <w:rsid w:val="500A214A"/>
    <w:rsid w:val="520D36B0"/>
    <w:rsid w:val="522D604D"/>
    <w:rsid w:val="5297585E"/>
    <w:rsid w:val="52AD7D6F"/>
    <w:rsid w:val="53206AC2"/>
    <w:rsid w:val="5549519D"/>
    <w:rsid w:val="5557596B"/>
    <w:rsid w:val="5A192D16"/>
    <w:rsid w:val="5B596DFC"/>
    <w:rsid w:val="5B6F6EA8"/>
    <w:rsid w:val="5DAE6D00"/>
    <w:rsid w:val="5DF03945"/>
    <w:rsid w:val="5F03526B"/>
    <w:rsid w:val="5FD52821"/>
    <w:rsid w:val="6065020A"/>
    <w:rsid w:val="62E515AF"/>
    <w:rsid w:val="637C2815"/>
    <w:rsid w:val="65B17A4E"/>
    <w:rsid w:val="666B4FDC"/>
    <w:rsid w:val="67FF13C8"/>
    <w:rsid w:val="682144B7"/>
    <w:rsid w:val="6B503F77"/>
    <w:rsid w:val="6E311968"/>
    <w:rsid w:val="6FD81873"/>
    <w:rsid w:val="72BA6C9D"/>
    <w:rsid w:val="78C21666"/>
    <w:rsid w:val="7A353D0B"/>
    <w:rsid w:val="7B14665D"/>
    <w:rsid w:val="7CB927D8"/>
    <w:rsid w:val="7D3A5E2F"/>
    <w:rsid w:val="FEFFA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Body Text"/>
    <w:basedOn w:val="1"/>
    <w:next w:val="1"/>
    <w:qFormat/>
    <w:uiPriority w:val="0"/>
    <w:pPr>
      <w:spacing w:after="120"/>
    </w:pPr>
  </w:style>
  <w:style w:type="paragraph" w:styleId="12">
    <w:name w:val="Body Text Indent"/>
    <w:basedOn w:val="1"/>
    <w:qFormat/>
    <w:uiPriority w:val="0"/>
    <w:pPr>
      <w:spacing w:after="120"/>
      <w:ind w:left="420" w:leftChars="200"/>
    </w:pPr>
    <w:rPr>
      <w:rFonts w:ascii="Calibri" w:hAnsi="Calibri"/>
    </w:r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1"/>
    <w:qFormat/>
    <w:uiPriority w:val="0"/>
    <w:pPr>
      <w:spacing w:after="0"/>
      <w:ind w:firstLine="200" w:firstLineChars="200"/>
    </w:pPr>
  </w:style>
  <w:style w:type="paragraph" w:styleId="19">
    <w:name w:val="Body Text First Indent 2"/>
    <w:basedOn w:val="12"/>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2"/>
    <w:semiHidden/>
    <w:qFormat/>
    <w:uiPriority w:val="9"/>
    <w:rPr>
      <w:rFonts w:asciiTheme="majorHAnsi" w:hAnsiTheme="majorHAnsi" w:eastAsiaTheme="majorEastAsia"/>
      <w:b/>
      <w:bCs/>
      <w:sz w:val="26"/>
      <w:szCs w:val="26"/>
    </w:rPr>
  </w:style>
  <w:style w:type="character" w:customStyle="1" w:styleId="27">
    <w:name w:val="标题 4 字符"/>
    <w:basedOn w:val="21"/>
    <w:link w:val="5"/>
    <w:semiHidden/>
    <w:qFormat/>
    <w:uiPriority w:val="9"/>
    <w:rPr>
      <w:b/>
      <w:bCs/>
      <w:sz w:val="28"/>
      <w:szCs w:val="28"/>
    </w:rPr>
  </w:style>
  <w:style w:type="character" w:customStyle="1" w:styleId="28">
    <w:name w:val="标题 5 字符"/>
    <w:basedOn w:val="21"/>
    <w:link w:val="6"/>
    <w:semiHidden/>
    <w:qFormat/>
    <w:uiPriority w:val="9"/>
    <w:rPr>
      <w:b/>
      <w:bCs/>
      <w:i/>
      <w:iCs/>
      <w:sz w:val="26"/>
      <w:szCs w:val="26"/>
    </w:rPr>
  </w:style>
  <w:style w:type="character" w:customStyle="1" w:styleId="29">
    <w:name w:val="标题 6 字符"/>
    <w:basedOn w:val="21"/>
    <w:link w:val="7"/>
    <w:semiHidden/>
    <w:qFormat/>
    <w:uiPriority w:val="9"/>
    <w:rPr>
      <w:b/>
      <w:bCs/>
    </w:rPr>
  </w:style>
  <w:style w:type="character" w:customStyle="1" w:styleId="30">
    <w:name w:val="标题 7 字符"/>
    <w:basedOn w:val="21"/>
    <w:link w:val="8"/>
    <w:semiHidden/>
    <w:qFormat/>
    <w:uiPriority w:val="9"/>
    <w:rPr>
      <w:sz w:val="24"/>
      <w:szCs w:val="24"/>
    </w:rPr>
  </w:style>
  <w:style w:type="character" w:customStyle="1" w:styleId="31">
    <w:name w:val="标题 8 字符"/>
    <w:basedOn w:val="21"/>
    <w:link w:val="9"/>
    <w:semiHidden/>
    <w:qFormat/>
    <w:uiPriority w:val="9"/>
    <w:rPr>
      <w:i/>
      <w:iCs/>
      <w:sz w:val="24"/>
      <w:szCs w:val="24"/>
    </w:rPr>
  </w:style>
  <w:style w:type="character" w:customStyle="1" w:styleId="32">
    <w:name w:val="标题 9 字符"/>
    <w:basedOn w:val="21"/>
    <w:link w:val="10"/>
    <w:semiHidden/>
    <w:qFormat/>
    <w:uiPriority w:val="9"/>
    <w:rPr>
      <w:rFonts w:asciiTheme="majorHAnsi" w:hAnsiTheme="majorHAnsi" w:eastAsiaTheme="majorEastAsia"/>
    </w:rPr>
  </w:style>
  <w:style w:type="character" w:customStyle="1" w:styleId="33">
    <w:name w:val="标题 字符"/>
    <w:basedOn w:val="21"/>
    <w:link w:val="17"/>
    <w:qFormat/>
    <w:uiPriority w:val="10"/>
    <w:rPr>
      <w:rFonts w:asciiTheme="majorHAnsi" w:hAnsiTheme="majorHAnsi" w:eastAsiaTheme="majorEastAsia"/>
      <w:b/>
      <w:bCs/>
      <w:kern w:val="28"/>
      <w:sz w:val="32"/>
      <w:szCs w:val="32"/>
    </w:rPr>
  </w:style>
  <w:style w:type="character" w:customStyle="1" w:styleId="34">
    <w:name w:val="副标题 字符"/>
    <w:basedOn w:val="21"/>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5"/>
    <w:qFormat/>
    <w:uiPriority w:val="99"/>
    <w:rPr>
      <w:rFonts w:ascii="Calibri" w:hAnsi="Calibri" w:eastAsia="宋体"/>
      <w:kern w:val="2"/>
      <w:sz w:val="18"/>
      <w:szCs w:val="18"/>
    </w:rPr>
  </w:style>
  <w:style w:type="character" w:customStyle="1" w:styleId="48">
    <w:name w:val="页脚 字符"/>
    <w:basedOn w:val="21"/>
    <w:link w:val="14"/>
    <w:qFormat/>
    <w:uiPriority w:val="99"/>
    <w:rPr>
      <w:rFonts w:ascii="Calibri" w:hAnsi="Calibri" w:eastAsia="宋体"/>
      <w:kern w:val="2"/>
      <w:sz w:val="18"/>
      <w:szCs w:val="18"/>
    </w:rPr>
  </w:style>
  <w:style w:type="character" w:customStyle="1" w:styleId="49">
    <w:name w:val="批注框文本 字符"/>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Default"/>
    <w:qFormat/>
    <w:uiPriority w:val="0"/>
    <w:pPr>
      <w:widowControl w:val="0"/>
      <w:autoSpaceDE w:val="0"/>
      <w:autoSpaceDN w:val="0"/>
      <w:adjustRightInd w:val="0"/>
    </w:pPr>
    <w:rPr>
      <w:rFonts w:ascii="方正小标宋_GBK" w:hAnsi="Calibri" w:eastAsia="方正小标宋_GBK"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6308</Words>
  <Characters>6697</Characters>
  <Lines>50</Lines>
  <Paragraphs>14</Paragraphs>
  <TotalTime>9</TotalTime>
  <ScaleCrop>false</ScaleCrop>
  <LinksUpToDate>false</LinksUpToDate>
  <CharactersWithSpaces>6717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user</cp:lastModifiedBy>
  <cp:lastPrinted>2020-01-01T00:02:00Z</cp:lastPrinted>
  <dcterms:modified xsi:type="dcterms:W3CDTF">2025-09-01T18:25:19Z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99F402F931D54499A41D900420BE9FBE_13</vt:lpwstr>
  </property>
  <property fmtid="{D5CDD505-2E9C-101B-9397-08002B2CF9AE}" pid="4" name="KSOSaveFontToCloudKey">
    <vt:lpwstr>0_btnclosed</vt:lpwstr>
  </property>
  <property fmtid="{D5CDD505-2E9C-101B-9397-08002B2CF9AE}" pid="5" name="KSOTemplateDocerSaveRecord">
    <vt:lpwstr>eyJoZGlkIjoiZjVjZDY2NDVkNDBjMjgwNTNkNjFkY2UxMTFjNzUxZGIiLCJ1c2VySWQiOiI3MzgxNjM4MzYifQ==</vt:lpwstr>
  </property>
</Properties>
</file>