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ody>
    <w:p>
      <w:pPr>
        <w:widowControl/>
        <w:jc w:val="left"/>
        <w:rPr>
          <w:rFonts w:ascii="黑体" w:cs="宋体" w:eastAsia="黑体" w:hAnsi="黑体"/>
          <w:color w:val="333333"/>
          <w:sz w:val="32"/>
          <w:szCs w:val="32"/>
          <w:lang w:bidi="ar"/>
        </w:rPr>
      </w:pPr>
      <w:r>
        <w:rPr>
          <w:rFonts w:ascii="黑体" w:cs="宋体" w:eastAsia="黑体" w:hAnsi="黑体" w:hint="eastAsia"/>
          <w:color w:val="333333"/>
          <w:sz w:val="32"/>
          <w:szCs w:val="32"/>
          <w:lang w:bidi="ar"/>
        </w:rPr>
        <w:t>附件4：</w:t>
      </w:r>
      <w:bookmarkStart w:id="1" w:name="_GoBack"/>
      <w:bookmarkEnd w:id="1"/>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部门单位整体支出绩效</w:t>
      </w: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自评报告</w:t>
      </w:r>
    </w:p>
    <w:p>
      <w:pPr>
        <w:spacing w:line="540" w:lineRule="exact"/>
        <w:jc w:val="center"/>
        <w:rPr>
          <w:rFonts w:ascii="华文中宋" w:cs="宋体" w:eastAsia="华文中宋" w:hAnsi="华文中宋"/>
          <w:b/>
          <w:kern w:val="0"/>
          <w:sz w:val="52"/>
          <w:szCs w:val="52"/>
        </w:rPr>
      </w:pPr>
    </w:p>
    <w:p>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ascii="仿宋_GB2312" w:eastAsia="仿宋_GB2312" w:hAnsi="宋体" w:hint="eastAsia"/>
          <w:b/>
          <w:sz w:val="32"/>
          <w:szCs w:val="32"/>
        </w:rPr>
        <w:t>2023</w:t>
      </w:r>
      <w:r>
        <w:rPr>
          <w:rFonts w:cs="宋体" w:eastAsia="仿宋_GB2312" w:hAnsi="宋体" w:hint="eastAsia"/>
          <w:kern w:val="0"/>
          <w:sz w:val="36"/>
          <w:szCs w:val="36"/>
        </w:rPr>
        <w:t>年度）</w:t>
      </w: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540" w:lineRule="exact"/>
        <w:ind w:firstLine="720" w:firstLineChars="200"/>
        <w:rPr>
          <w:rFonts w:cs="宋体" w:eastAsia="仿宋_GB2312" w:hAnsi="宋体"/>
          <w:kern w:val="0"/>
          <w:sz w:val="44"/>
          <w:szCs w:val="44"/>
        </w:rPr>
      </w:pPr>
      <w:r>
        <w:rPr>
          <w:rFonts w:cs="宋体" w:eastAsia="仿宋_GB2312" w:hAnsi="宋体" w:hint="eastAsia"/>
          <w:kern w:val="0"/>
          <w:sz w:val="36"/>
          <w:szCs w:val="36"/>
        </w:rPr>
        <w:t>部门单位名称（公章）</w:t>
      </w:r>
      <w:r>
        <w:rPr>
          <w:rFonts w:ascii="仿宋" w:cs="仿宋" w:eastAsia="仿宋" w:hAnsi="仿宋" w:hint="eastAsia"/>
          <w:kern w:val="0"/>
          <w:sz w:val="44"/>
          <w:szCs w:val="44"/>
        </w:rPr>
        <w:t>：</w:t>
      </w:r>
      <w:r>
        <w:rPr>
          <w:rStyle w:val="6"/>
          <w:rFonts w:ascii="仿宋" w:cs="仿宋" w:eastAsia="仿宋" w:hAnsi="仿宋" w:hint="eastAsia"/>
          <w:b w:val="0"/>
          <w:bCs w:val="0"/>
          <w:spacing w:val="-4"/>
          <w:sz w:val="44"/>
          <w:szCs w:val="44"/>
        </w:rPr>
        <w:t>自治区农业农村厅本级</w:t>
      </w:r>
    </w:p>
    <w:p>
      <w:pPr>
        <w:spacing w:line="540" w:lineRule="exact"/>
        <w:ind w:firstLine="720" w:firstLineChars="200"/>
        <w:rPr>
          <w:rFonts w:ascii="仿宋" w:cs="仿宋" w:eastAsia="仿宋" w:hAnsi="仿宋"/>
          <w:kern w:val="0"/>
          <w:sz w:val="44"/>
          <w:szCs w:val="44"/>
        </w:rPr>
      </w:pPr>
      <w:r>
        <w:rPr>
          <w:rFonts w:cs="宋体" w:eastAsia="仿宋_GB2312" w:hAnsi="宋体" w:hint="eastAsia"/>
          <w:kern w:val="0"/>
          <w:sz w:val="36"/>
          <w:szCs w:val="36"/>
        </w:rPr>
        <w:t>填报时间：</w:t>
      </w:r>
      <w:r>
        <w:rPr>
          <w:rStyle w:val="6"/>
          <w:rFonts w:ascii="仿宋" w:cs="仿宋" w:eastAsia="仿宋" w:hAnsi="仿宋" w:hint="eastAsia"/>
          <w:b w:val="0"/>
          <w:bCs w:val="0"/>
          <w:spacing w:val="-4"/>
          <w:sz w:val="44"/>
          <w:szCs w:val="44"/>
        </w:rPr>
        <w:t>2024年03月29日</w:t>
      </w: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基本概况：</w:t>
      </w:r>
    </w:p>
    <w:p>
      <w:pPr>
        <w:spacing w:line="600" w:lineRule="exact"/>
        <w:ind w:firstLine="964" w:firstLineChars="300"/>
        <w:jc w:val="left"/>
        <w:rPr>
          <w:rFonts w:ascii="Arial" w:cs="Arial" w:hAnsi="Arial" w:hint="eastAsia"/>
          <w:b/>
          <w:bCs/>
          <w:color w:val="333333"/>
          <w:sz w:val="30"/>
          <w:szCs w:val="30"/>
        </w:rPr>
      </w:pPr>
      <w:r>
        <w:rPr>
          <w:rFonts w:ascii="黑体" w:cs="宋体" w:eastAsia="黑体" w:hAnsi="黑体" w:hint="eastAsia"/>
          <w:b/>
          <w:color w:themeColor="text1" w:val="000000"/>
          <w:sz w:val="32"/>
          <w:szCs w:val="32"/>
          <w:lang w:bidi="ar"/>
          <w14:textFill>
            <w14:solidFill>
              <w14:schemeClr w14:val="tx1"/>
            </w14:solidFill>
          </w14:textFill>
        </w:rPr>
        <w:t>（一）</w:t>
      </w:r>
      <w:r>
        <w:rPr>
          <w:rFonts w:ascii="黑体" w:cs="宋体" w:eastAsia="黑体" w:hAnsi="黑体"/>
          <w:b/>
          <w:color w:themeColor="text1" w:val="000000"/>
          <w:sz w:val="32"/>
          <w:szCs w:val="32"/>
          <w:lang w:bidi="ar"/>
          <w14:textFill>
            <w14:solidFill>
              <w14:schemeClr w14:val="tx1"/>
            </w14:solidFill>
          </w14:textFill>
        </w:rPr>
        <w:t>部门单位基本情况</w:t>
      </w:r>
      <w:r>
        <w:rPr>
          <w:rFonts w:ascii="Arial" w:cs="Arial" w:hAnsi="Arial" w:hint="eastAsia"/>
          <w:b/>
          <w:bCs/>
          <w:color w:val="333333"/>
          <w:sz w:val="30"/>
          <w:szCs w:val="30"/>
        </w:rPr>
        <w:t>：</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一、基本概况</w:t>
        <w:br/>
        <w:t>（一）部门单位基本情况</w:t>
        <w:br/>
        <w:t>1.主要职能</w:t>
        <w:br/>
        <w:t>组织实施自治区“三农”工作的发展战略、中长期规划、重大政策；统筹推动发展农村社会事业、农村公共服务、农村文化、农村基础设施和乡村治理；贯彻深化农村经济体制改革和巩固完善农村基本经营制度的政策；指导乡村特色产业、农产品加工业、休闲农业和乡镇企业发展工作；负责种植业、地方国有农场、农业机械化等农业各产业的监督管理；负责农产品质量安全监督管理；组织农业资源区划工作；负责自治区有关农业生产资料和农业投入品的监督管理；负责自治区农业防灾减灾、农作物重大病虫害防治工作；负责自治区农业投资管理；承担农业科技体制改革和农业科技创新体系建设；指导农业农村人才工作；牵头开展农业对外合作工作。</w:t>
        <w:br/>
        <w:t>2.机构人员构成</w:t>
        <w:br/>
        <w:t>2023年自治区农业农村厅独立编制机构数28个，其中行政单位1个，事业单位27个。</w:t>
        <w:br/>
        <w:t>部门编制数1167，实有人员1672人，其中：在职人员1043人，退休623人，离休6人。</w:t>
      </w:r>
      <w:bookmarkStart w:id="0" w:name="_Hlk43849111"/>
      <w:bookmarkEnd w:id="0"/>
    </w:p>
    <w:p>
      <w:pPr>
        <w:spacing w:line="600" w:lineRule="exact"/>
        <w:ind w:firstLine="964" w:firstLineChars="300"/>
        <w:jc w:val="left"/>
        <w:rPr>
          <w:rFonts w:ascii="黑体" w:cs="宋体" w:eastAsia="黑体" w:hAnsi="黑体" w:hint="eastAsia"/>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（二）</w:t>
      </w:r>
      <w:r>
        <w:rPr>
          <w:rFonts w:ascii="黑体" w:cs="宋体" w:eastAsia="黑体" w:hAnsi="黑体"/>
          <w:b/>
          <w:color w:themeColor="text1" w:val="000000"/>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（二）部门单位年度重点工作</w:t>
        <w:br/>
        <w:t>1.年度工作计划</w:t>
        <w:br/>
        <w:t>（1）全方位夯实粮食安全根基，牢牢把住粮食安全主动权。贯彻落实《地方党委和政府领导班子及成员粮食安全责任制规定》《自治区粮食安全保障条例》，严格粮食安全责任制考核。优化粮食生产结构。合理确定小麦种植面积，积极扩大玉米种植，支持大豆油料和花生种植。健全种粮农民收益保障机制和主产区利益补偿机制。稳定和加强种粮农民补贴，让农民种粮有利可图。充分发挥新疆植物、动物、水产品等资源丰富的优势，全方位、多途径开发食物资源，丰富食物品种、提升食物品质，构建多元化食物供给体系。</w:t>
        <w:br/>
        <w:t>（2）加快建设农业强区，推动农业高质量发展。稳定粮食产量的同时，巩固棉花产业优势地位。实施肉羊综合产能提升工程，稳步提高羊肉产能，持续推进肉牛增产、奶业振兴，加快发展马、生猪、家禽、水产和其他特色养殖业，实现畜牧业全面振兴。稳定特色作物种植面积，加快发展南疆设施蔬菜产业，支持发展戈壁设施农业。加快培养农业科技领军人才，推进自治区现代农业产业技术体系建设。深入实施种业振兴行动，加快建设现代种业基地，构建商业化育种体系。大力发展数字农业、智慧农业，推动智能化、信息化、精准化新型农机具推广应用。完善农产品质量安全体系，争创一批国家农产品质量安全县。提升耕地质量水平，完成自治区435万亩高标准农田建设任务。大力推广农业高效节水技术，提高水资源集约节约利用水平。</w:t>
        <w:br/>
        <w:t>（3）积极发展乡村特色产业，拓宽农民增收致富渠道。以加快建设粮油、棉花和纺织服装、绿色有机果蔬、优质畜产品产业集群为抓手，推进农业全产业链建设，加快培育一批“链主型”农业龙头企业，建设一批现代农业产业园、农业产业强镇，新认定自治区级现代农业产业园10个。强化农产品产销对接，推动实施“互联网+”农产品出村进城工程，压实农产品销售属地责任制，用好援疆机制，抓好展会平台对接，充分发挥农产品产销联盟作用，持续深化农产品疆内收购、疆外销售“两张网”建设。建设农产品区域公用品牌、企业品牌和产品品牌协同发展的农业品牌体系，集中打造“品味新疆”农业品牌整体形象。加快发展外向型农业。大力推进农产品对外贸易，加快推进农业国际贸易高质量发展基地建设。贯彻落实旅游兴疆战略，围绕打造“新疆是个好地方”农文旅融合品牌，建设一批休闲农业重点县、乡村旅游重点村、休闲农业精品农庄（园）、精品民宿，推介一批乡村休闲旅游精品景点线路。发挥乡村特色资源优势，积极引导小众类、多样性特色食品、特色手工等乡村特色产业发展。加快发展生产性服务业，立足服务农业生产全过程，重点在农业市场信息、农资供应、绿色生产技术、农机作业及维修、农产品加工、市场开拓等方面拓宽服务内容。</w:t>
        <w:br/>
        <w:t>（4）巩固拓展脱贫攻坚成果，坚决守住不发展规模性返贫底线。保持主要帮扶政策总体稳定。落实防止返贫动态监测和帮扶机制，坚持动态监测、实时预警、未贫先防、突贫速扶、常态清零，对易返贫致贫人口早发现、早干预、早帮扶，确保脱贫群众收入增速高于当地农民收入增速、脱贫地区农民收入增速高于全区农民收入增速。加大脱贫地区产业扶持力度。大力发展劳动密集型产业，确保中央衔接资金用于产业的比例不低于60%，支持脱贫地区补上产业技术、设施等短板。结合国土空间布局，支持有条件的脱贫地区通过优化水资源配置，利用荒山、荒地、荒漠等国有未利用土地发展林果、畜牧业、设施农业，带动农民受益。用足用好对口援疆、定点帮扶、区内协作、社会帮扶等各种帮扶资源和力量，提升脱贫地区整体发展水平。全面落实各类就业帮扶政策。实施就业优先战略，引导农民就地就近就业和有序转移输出就业有机结合，保持乡村公益性岗位规模不降，大力推广以工代赈。</w:t>
        <w:br/>
        <w:t>（5）大力实施乡村建设行动，推进宜居宜业和美乡村建设。深入实施自治区农村人居环境整治提升五年行动。扎实推进农村厕所革命，分类分区推进农村生活污水治理，巩固提升农村生活垃圾治理水平，推动村容村貌整体提升。加快建立健全农村人居环境整治长效管护机制。统筹乡村基础设施和公共服务布局。加快推进有条件有需求的村庄编制村庄规划。加强农村基础性、普惠性、兜底性民生建设。重点推进通自然村道路、冷链物流设施等既方便生活又促进生产的基础设施建设。提升基本公共服务能力，推动教育、医疗、文化、安居等公共资源在县域内优化配置，提高养老、育幼和城乡低保、特困人员、残疾人等社会保障水平。</w:t>
        <w:br/>
        <w:t>（6）突出实效改进乡村治理，维护农村稳定安宁。健全党组织领导的自治、法治、德治相结合的乡村治理体系，完善基层直接民主制度体系和工作体系，巩固提升清单制、积分制推广应用成果。深入推进法治乡村建设，持续实施乡村“法律明白人”工程。加强农村精神文明建设，有形有感有效铸牢中华民族共同体意识。深入推进乡村治理试点示范。</w:t>
        <w:br/>
        <w:t>（7）深化农村改革，激发农业农村发展活力。推动成立自治区农村综合产权交易中心，依法规范开展相关产权流转交易。开展农村产权流转交易市场规范化建设试点，抓好伊宁市、奇台县农村宅基地制度改革试点工作，支持盘活利用闲置宅基地和闲置农房发展乡村休闲旅游业、乡村民宿等富民产业。深化农村集体资产股份合作制改革成效，全面提升农村集体经济组织统筹功能，加强农村集体资产监督管理，促进保值增值。规范农村集体经济组织运行管理，强化要素保障支撑，积极探索和拓宽发展新途径，推动“薄弱村”消除、“一般村”提升、“经济强村”不断壮大。实施新型农业经营主体提升行动，加快推动农民合作社、家庭农场两类新型农业经营主体高质量发展，稳步推进农民合作社质量提升整县推进试点。聚焦关键薄弱环节和小农户，以农业生产托管为重点，以国家和自治区创新试点为抓手，大力发展多元化、多层次、多类型的农业社会化服务。</w:t>
        <w:br/>
        <w:t>2.机构人员保障情况</w:t>
        <w:br/>
        <w:t>新疆维吾尔自治区农业农村厅包括局本级及28个事业单位，具体为：</w:t>
        <w:br/>
        <w:t>1.新疆维吾尔自治区农业农村厅办公室</w:t>
        <w:br/>
        <w:t>2.新疆维吾尔自治区农业资源区划和遥感应用中心</w:t>
        <w:br/>
        <w:t>3.新疆维吾尔自治区农村合作经济发展指导中心</w:t>
        <w:br/>
        <w:t>4.新疆维吾尔自治区农垦经济发展中心</w:t>
        <w:br/>
        <w:t>5.新疆维吾尔自治区农业农村厅机关服务中心</w:t>
        <w:br/>
        <w:t>6.新疆维吾尔自治区农业农村厅信息中心</w:t>
        <w:br/>
        <w:t>7.新疆维吾尔自治区种业发展中心</w:t>
        <w:br/>
        <w:t>8.新疆维吾尔自治区农业技术推广总站</w:t>
        <w:br/>
        <w:t>9.新疆维吾尔自治区农村能源工作站</w:t>
        <w:br/>
        <w:t>10.新疆维吾尔自治区土壤肥料工作站</w:t>
        <w:br/>
        <w:t>11.新疆农业职业技术学院</w:t>
        <w:br/>
        <w:t>12.新疆农业广播电视学校（新疆维吾尔自治区农民科技教育培训中心）</w:t>
        <w:br/>
        <w:t>13.新疆维吾尔自治区农业农村厅农业科技编译中心</w:t>
        <w:br/>
        <w:t>14.新疆维吾尔自治区植物保护站</w:t>
        <w:br/>
        <w:t>15.新疆维吾尔自治区农业规划研究院</w:t>
        <w:br/>
        <w:t>16.新疆维吾尔自治区农业生态与资源保护站</w:t>
        <w:br/>
        <w:t>17.新疆维吾尔自治区农业农村厅哈密植物检疫工作站</w:t>
        <w:br/>
        <w:t>18.新疆维吾尔自治区农产品质量安全中心</w:t>
        <w:br/>
        <w:t>19.新疆维吾尔自治区优质农产品产销服务中心</w:t>
        <w:br/>
        <w:t>20.新疆维吾尔自治区蜂业技术指导站</w:t>
        <w:br/>
        <w:t>21.新疆维吾尔自治区海南良种繁育基地</w:t>
        <w:br/>
        <w:t>22.新疆维吾尔自治区农药检定所</w:t>
        <w:br/>
        <w:t>23.新疆维吾尔自治区农业对外合作中心</w:t>
        <w:br/>
        <w:t>24.新疆维吾尔自治区农产品加工技术推广中心</w:t>
        <w:br/>
        <w:t>25.新疆维吾尔自治区休闲观光农业促进中心</w:t>
        <w:br/>
        <w:t>26.新疆维吾尔自治区农业产业化培训中心</w:t>
        <w:br/>
        <w:t>27.新疆维吾尔自治区水产科学研究所</w:t>
        <w:br/>
        <w:t>28.新疆维吾尔自治区水产发展中心</w:t>
        <w:br/>
        <w:t>部门内设22个处室，分别是：办公室、法规处、政策与改革处、发展规划处、计划财务处、乡村产业发展处、农村社 会事业促进处、农村合作经济指导处、市场与信息化处、国际合作处、科技教 育处、农产品质量安全监管处、种植业和农药管理处、渔业监督处、农垦处、种业管理处、农业机械化管理处、农田建设管理处、综合执法局、人事处、机关党委、离退休干部工作处。</w:t>
        <w:br/>
        <w:t>具体人员保障情况为：2023年末，新疆维吾尔自治区农业农村厅在职人员982人，较上年减少24人。其中：行政人员117人，较上年减少4人，事业人员865人，较上年减少20人。</w:t>
      </w:r>
    </w:p>
    <w:p>
      <w:pPr>
        <w:spacing w:line="600" w:lineRule="exact"/>
        <w:ind w:firstLine="964" w:firstLineChars="300"/>
        <w:jc w:val="left"/>
        <w:rPr>
          <w:rFonts w:ascii="黑体" w:cs="宋体" w:eastAsia="黑体" w:hAnsi="黑体" w:hint="eastAsia"/>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（三）</w:t>
      </w:r>
      <w:r>
        <w:rPr>
          <w:rFonts w:ascii="黑体" w:cs="宋体" w:eastAsia="黑体" w:hAnsi="黑体"/>
          <w:b/>
          <w:color w:themeColor="text1" w:val="000000"/>
          <w:sz w:val="32"/>
          <w:szCs w:val="32"/>
          <w:lang w:bidi="ar"/>
          <w14:textFill>
            <w14:solidFill>
              <w14:schemeClr w14:val="tx1"/>
            </w14:solidFill>
          </w14:textFill>
        </w:rPr>
        <w:t>部门单位整体预算规模及安排情况：</w:t>
      </w:r>
    </w:p>
    <w:p>
      <w:pPr>
        <w:spacing w:line="600" w:lineRule="exact"/>
        <w:ind w:firstLine="960" w:firstLineChars="300"/>
        <w:jc w:val="left"/>
        <w:rPr>
          <w:rFonts w:ascii="仿宋_GB2312" w:eastAsia="仿宋_GB2312" w:hAnsi="宋体" w:hint="eastAsia"/>
          <w:bCs/>
          <w:sz w:val="32"/>
          <w:szCs w:val="32"/>
        </w:rPr>
      </w:pPr>
      <w:r>
        <w:rPr>
          <w:rFonts w:ascii="仿宋_GB2312" w:eastAsia="仿宋_GB2312" w:hAnsi="宋体" w:hint="eastAsia"/>
          <w:bCs/>
          <w:sz w:val="32"/>
          <w:szCs w:val="32"/>
        </w:rPr>
        <w:t>（三）部门单位整体预算规模及安排情况</w:t>
        <w:br/>
        <w:t>1.年初预算安排</w:t>
        <w:br/>
        <w:t>2023年我部门年初安排预算数为223500.37万元，其中：年中央安排574万元，自治区安排202222.5万元，其他资金安排20703.87万元。</w:t>
        <w:br/>
        <w:t>2.预算年中调整情况</w:t>
        <w:br/>
        <w:t>我部门年初批复预算数223500.37万元，年中调整数-143947.47万元，调整后全年预算数79552.9万元，预算调整率-64.41%。调整预算的主要原因为：对下转移支付资金决算数未体现在农业厅本级决算中体现。</w:t>
        <w:br/>
        <w:t>3.资金使用主要内容、涉及的范围</w:t>
        <w:br/>
        <w:t>2023年我部门全年预算数为79552.9万元，其中：年初结转和结余6,878.50万元，财政拨款63,730.61万元，非财政拨款8,943.79万元。全年实际支出资金73,977.61万元，预算执行率为92.99%。其中：基本支出34157.42万元、项目支出39407.28万元、经营支出412.91万元。</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二、部门单位整体支出管理及使用情况</w:t>
        <w:br/>
        <w:t>（一）预算管理情况</w:t>
        <w:br/>
        <w:t>1.管理制度健全性</w:t>
        <w:br/>
        <w:t>本部门为加强预算管理，规范财务行为，已制定《自治区农业农村厅农业项目管理办法（试行）》等健全完整的各项管理制度，有效保障了我部门高效的履行工作职能，较好的促进事业发展。</w:t>
        <w:br/>
        <w:t>2.资金使用合规性和安全性</w:t>
        <w:br/>
        <w:t>部门预算资金使用符合国家法规和财务管理制度；预算资金拨付有完整的审批程序和手续，符合项目预算批复或合同规定的用途；不存在截留、挤占、挪用、虚列支出等情况，确保我部门预算资金规范运行。</w:t>
        <w:br/>
        <w:t>3.预决算信息公开性</w:t>
        <w:br/>
        <w:t>我部门严格按照财政部门预算编制与预算调整的工作要求，在预算编制、分配依据充分的条件下，切实做好“先定目标再编预算”，确保预算分配结果合理。同时按照自治区财政厅预决算信息公开工作要求，部门预算及绩效目标在自治区农业农村厅网站公开，广泛接受社会监督。</w:t>
        <w:br/>
        <w:t>（二）基本支出投入、管理和使用情况</w:t>
        <w:br/>
        <w:t>1.基本支出投入和使用情况</w:t>
        <w:br/>
        <w:t>2023年我部门基本支出年初预算安排32709万元，全年预算总额34157.42万元，全年实际支出34157.42万元，资金执行率100%，占总支出的46.17％，其中：人员经费支出29,890.55万元、公用经费支出4,266.87万元。</w:t>
        <w:br/>
        <w:t>2.基本支出管理情况</w:t>
        <w:br/>
        <w:t>基本支出严格按照财务管理制度执行。人员工资由相关部门逐个审核，按月申报及发放。基本公用经费主要用于支付单位日常的办公费、邮电费、差旅费、维修（护）费、劳务费、车辆运行维护费等。公务用车运行维护费主要用于单位车辆加油、维修及购买车辆保险。</w:t>
        <w:br/>
        <w:t>（三）项目专项支出投入、管理和使用情况</w:t>
        <w:br/>
        <w:t>1.项目专项支出投入和使用情况</w:t>
        <w:br/>
        <w:t>2023年专项项目年初预算25,041.37万元，全年预算总投入39,407.28万元，全年实际支出39,261.69万元，资金执行率99.63%，占总支出的53.07％，其中：财政拨款项目支出31619.89万元，占总项目支出的比重80.24%；其他资金项目支出7787.39万元，占总项目支出的比重19.76%。</w:t>
        <w:br/>
        <w:t>财政拨款项目支出主要用于教育支出9,101.10万元，科学技术支出3.43万元，农林水支出16,674.82万元，其他地方自行试点项目收益专项债券收入安排的支出5,837.17万元。</w:t>
        <w:br/>
        <w:t>非财政拨款项目支出主要用于教育支出6,772.70万元，农林水支出1,014.69万元。</w:t>
        <w:br/>
        <w:t>2023年本部门单位共有58个项目，其中0个属经常性项目、0个属当年度新增项目。已完成项目58个、未完成项目0个。</w:t>
        <w:br/>
        <w:t>2.项目专项支出管理情况</w:t>
        <w:br/>
        <w:t>为规范专项资金使用，提高专项资金使用效益，我部门主要采取四项措施。一是制订专项资金管理制度；二是各专项资金建立了专账；三是制定了项目实施方案；四是认真组织项目验收。切实确保专项资金都做到了专款专用。专项资金的使用符合国家法规和财务管理制度，专项资金拨付有完整的审批程序和手续，符合项目预算批复或合同规定的用途，不存在截留、挤占、挪用、虚列支出等情况。</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eastAsia="仿宋_GB2312" w:hAnsi="宋体"/>
          <w:b/>
          <w:sz w:val="32"/>
          <w:szCs w:val="32"/>
        </w:rPr>
      </w:pPr>
      <w:r>
        <w:rPr>
          <w:rFonts w:ascii="黑体" w:cs="宋体" w:eastAsia="黑体" w:hAnsi="黑体" w:hint="eastAsia"/>
          <w:bCs/>
          <w:color w:val="333333"/>
          <w:sz w:val="32"/>
          <w:szCs w:val="32"/>
          <w:lang w:bidi="ar"/>
        </w:rPr>
        <w:t xml:space="preserve"> </w:t>
      </w:r>
      <w:r>
        <w:rPr>
          <w:rFonts w:ascii="仿宋_GB2312" w:eastAsia="仿宋_GB2312" w:hAnsi="宋体" w:hint="eastAsia"/>
          <w:bCs/>
          <w:sz w:val="32"/>
          <w:szCs w:val="32"/>
        </w:rPr>
        <w:t>三、部门单位整体支出绩效分析</w:t>
        <w:br/>
        <w:t>我部门整体绩效目标共设置一级指标2个，二级指标2个，三级指标11个，详细说明如下：</w:t>
        <w:br/>
        <w:t>（一）指标一：履职效能	</w:t>
        <w:br/>
        <w:t>1.数量指标：</w:t>
        <w:br/>
        <w:t>指标①：新建高标准农田面积，指标值：187.24万亩，年中监控完成值：119.47万亩；自评完成值：187.24万亩，指标完成率100%，指标成效分析：通过项目建设，有效改善项目区农田基础设施条件，提升耕地质量，提高粮食综合生产能力，提升农田灌溉排水和节水能力。偏差率0%，偏差原因及改进措施：无。</w:t>
        <w:br/>
        <w:t>指标②：新增高效节水灌溉面积，指标值：56.6万亩，年中监控完成值：56.6万亩；自评完成值：56.6万亩，指标完成率100%，指标成效分析：通过项目建设，有效改善项目区农田基础设施条件，提升耕地质量，提高粮食综合生产能力，提升农田灌溉排水和节水能力。偏差率0%，偏差原因及改进措施：无。</w:t>
        <w:br/>
        <w:t>指标③：保障粮食综合生产能力，指标值：&gt;=1850万吨，年中监控完成值：0万吨；自评完成值：2119.2万吨，指标完成率114.55%，指标成效分析：粮食产量迈上新台阶。按照“扩面积、攻单产、增总量、提产能”工作思路，抓牢粮食生产，使粮食再获丰收。偏差率0%，偏差原因及改进措施：无。</w:t>
        <w:br/>
        <w:t>指标④：保障棉花产量，指标值：&gt;=500万吨，年中监控完成值：0万吨；自评完成值：511.2万吨，指标完成率102.24%，指标成效分析：棉花生产继续向25个主产县（市、区）和68个团场集中，主产区种植面积和产量占93%以上。紧盯棉花整地、播种、打顶、脱叶等产量和质量提升关键技术环节，先后召开棉花打顶现场推进会、南北疆棉花脱叶剂喷施现场推进会，通过规范品种推广、强化田间管理、统一采收加工标准等强技强管关键措施，有效应对低温冻害、大风沙尘、冰雹等灾害天气不利影响，实现了“单产增、总产稳、质量优”的目标，今年棉花种植面积3553.96万亩，总产量511.2万吨、占全国总产量的九成以上，总产、单产、商品调拨量连续30年居全国首位。偏差率0%，偏差原因及改进措施：无。</w:t>
        <w:br/>
        <w:t>指标⑤：春小麦补贴面积，指标值：69.96万亩，年中监控完成值：69.96万亩；自评完成值：69.96万亩，指标完成率100%，指标成效分析：通过给春小麦种植的农户补贴，增加农民收入，提高春小麦种植的积极性。偏差率0%，偏差原因及改进措施：无。</w:t>
        <w:br/>
        <w:t>指标⑥：建设农产品加工园区，指标值：&gt;=10个，年中监控完成值：10个；自评完成值：10个，指标完成率100%，指标成效分析：产业产值、农产品加工转化率、仓储物流能力不断加强、农民人均收入不断增长。偏差率0%，偏差原因及改进措施：无。</w:t>
        <w:br/>
        <w:t>指标⑦：农机购置补贴机具数，指标值：&gt;=6400台（套），年中监控完成值：6533台（套）；自评完成值：6533台（套），指标完成率100%，指标成效分析：我区充分发挥农机购置与应用补贴政策导向作用，强化粮食及重要农产品生产机械装备保障能力，调整优化农机购置补贴范围，持续加大政策宣传培训力度，加强补贴违规经营行为查处，通过严格规范补贴操作程序、完善创新便民利民举措、狠抓政策落实延伸绩效管理，确保了农机购置与应用补贴政策精准高效落实。偏差率0%，偏差原因及改进措施：无。</w:t>
        <w:br/>
        <w:t>指标⑧：带动销售特色农产品，指标值：&gt;=5000吨，年中监控完成值：0吨；自评完成值：5000吨，指标完成率100%，指标成效分析：促进了农村地区的经济发展，提高了农民的收入来源，提高了他们的生活水平。偏差率0%，偏差原因及改进措施：无。</w:t>
        <w:br/>
        <w:t>指标⑨：农业科技推广示范村全年农户人均增收，指标值：&gt;=500元/户，年中监控完成值：200元/户；自评完成值：500元/户，指标完成率100%，指标成效分析：通过引入先进的农业科技和现代化的农业管理模式，示范村成功地提高了农作物的产量和质量，增加了农产品的市场竞争力，从而带动了农户的经济收入增长。偏差率0%，偏差原因及改进措施：无。</w:t>
        <w:br/>
        <w:t>2.质量指标：</w:t>
        <w:br/>
        <w:t>指标①：对全区涉农县市农产品质量检测覆盖率，指标值：100%，年中监控完成值：100%；自评完成值：100%，指标完成率100%，指标成效分析：保障了农产品的质量安全，推动了农业生产的标准化和规范化，还促进了农业产业链的优化和升级，提升了农业部门的公信力和形象。偏差率0%，偏差原因及改进措施：无。</w:t>
        <w:br/>
        <w:t>（二）指标一：社会效益	</w:t>
        <w:br/>
        <w:t>质量指标：</w:t>
        <w:br/>
        <w:t>指标：田间道路通达度，指标值：平原区达到100%，丘陵区达到&gt;=90%，年中监控完成值：0%；自评完成值：100%，指标完成率100%，指标成效分析：通过项目建设，有效改善项目区农田基础设施条件，提升耕地质量，提高粮食综合生产能力，提升农田灌溉排水和节水能力。偏差率0%，偏差原因及改进措施：无。</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评价结论：</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四、	评价结论</w:t>
        <w:br/>
        <w:t>2023年度部门整体支出绩效自评综合得分99.3分，评价结果为“优”。</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五、	存在的主要问题及原因分析</w:t>
        <w:br/>
        <w:t>一是乡村产业发展结构性矛盾仍然突出。推进农业供给侧结构性改革还没有从根本上由追逐数量向追求质量转变，普通农产品多，优质、绿色农产品少。农产品加工转化能力不足，农产品初级加工多、精深加工少，难以满足市场对高品质农产品的需要。二是农业农村基础设施建设任重道远。农村污水处理、“厕所革命”任务还很艰巨，农村生活垃圾收集、转运和处置体系不够健全，收运处置设施建设存在短板。水资源利用效率低，渠系配套不完善，农田高效节水设施缺乏有效的运行管护机制，用水方式粗放。三是农业科技支撑能力亟待提升。农业科技研究和推广体制机制不健全，队伍不稳定，研究成果质量不高，市场认可度低，难以大面积推广。</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改进措施和建议：</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六、	改进措施和建议</w:t>
        <w:br/>
        <w:t>1.坚定坚决推进维稳措施落实。全面贯彻“一套好机制”，打好维稳组合拳，确保农业农村系统和谐稳定。扎实履行综治维稳安全防范主体责任，狠抓农业系统综治维稳监管督导，积极防范粮食安全风险、生产资料价格波动风险、重大输入性疫病风险、市场竞争加剧风险。深入开展农业领域矛盾纠纷排查调处工作，持续推动农业农村系统扫黑除恶专项斗争走向深入。持续开展“访惠聚”驻村工作、“民族团结一家亲”和民族团结联谊活动。</w:t>
        <w:br/>
        <w:t>2.坚定坚决推动从严治党向纵深发展。抓好习近平新时代中国特色社会主义思想以及党中央治疆方略学习培训。持续跟踪贯彻落实习近平总书记关于新疆工作的重要指示批示精神情况。深入推进常态化政治巡察，强化落实中央八项规定及实施细则精神，认真执行自治区“十改进、十不准”，深挖严查政治上的“两面人”。继续强化干部作风整顿。</w:t>
        <w:br/>
        <w:t>3.抓好十项重点工作。一是稳定粮食面积和产量。二是务必完成生猪稳产保供任务。三是切实抓好产业扶贫。四是推进农业绿色发展。五是大力发展富民乡村产业。六是完成农村人居环境整治三年行动任务。七是大力推进农村基础设施建设和公共服务改善。八是强化农业农村科技装备人才支撑。九是扎实推进农村改革重点任务。十是加强和改进乡村治理。</w:t>
      </w:r>
    </w:p>
    <w:p/>
    <w:sectPr>
      <w:pgSz w:h="16838" w:w="11906"/>
      <w:pgMar w:bottom="1440" w:footer="992" w:gutter="0" w:header="851" w:left="1080" w:right="1080" w:top="1440"/>
      <w:cols w:num="1" w:space="425"/>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hanging="720" w:left="1368"/>
      </w:pPr>
      <w:rPr>
        <w:rFonts w:hint="default"/>
      </w:rPr>
    </w:lvl>
    <w:lvl w:ilvl="1" w:tentative="0">
      <w:start w:val="1"/>
      <w:numFmt w:val="lowerLetter"/>
      <w:lvlText w:val="%2)"/>
      <w:lvlJc w:val="left"/>
      <w:pPr>
        <w:ind w:hanging="420" w:left="1488"/>
      </w:pPr>
    </w:lvl>
    <w:lvl w:ilvl="2" w:tentative="0">
      <w:start w:val="1"/>
      <w:numFmt w:val="lowerRoman"/>
      <w:lvlText w:val="%3."/>
      <w:lvlJc w:val="right"/>
      <w:pPr>
        <w:ind w:hanging="420" w:left="1908"/>
      </w:pPr>
    </w:lvl>
    <w:lvl w:ilvl="3" w:tentative="0">
      <w:start w:val="1"/>
      <w:numFmt w:val="decimal"/>
      <w:lvlText w:val="%4."/>
      <w:lvlJc w:val="left"/>
      <w:pPr>
        <w:ind w:hanging="420" w:left="2328"/>
      </w:pPr>
    </w:lvl>
    <w:lvl w:ilvl="4" w:tentative="0">
      <w:start w:val="1"/>
      <w:numFmt w:val="lowerLetter"/>
      <w:lvlText w:val="%5)"/>
      <w:lvlJc w:val="left"/>
      <w:pPr>
        <w:ind w:hanging="420" w:left="2748"/>
      </w:pPr>
    </w:lvl>
    <w:lvl w:ilvl="5" w:tentative="0">
      <w:start w:val="1"/>
      <w:numFmt w:val="lowerRoman"/>
      <w:lvlText w:val="%6."/>
      <w:lvlJc w:val="right"/>
      <w:pPr>
        <w:ind w:hanging="420" w:left="3168"/>
      </w:pPr>
    </w:lvl>
    <w:lvl w:ilvl="6" w:tentative="0">
      <w:start w:val="1"/>
      <w:numFmt w:val="decimal"/>
      <w:lvlText w:val="%7."/>
      <w:lvlJc w:val="left"/>
      <w:pPr>
        <w:ind w:hanging="420" w:left="3588"/>
      </w:pPr>
    </w:lvl>
    <w:lvl w:ilvl="7" w:tentative="0">
      <w:start w:val="1"/>
      <w:numFmt w:val="lowerLetter"/>
      <w:lvlText w:val="%8)"/>
      <w:lvlJc w:val="left"/>
      <w:pPr>
        <w:ind w:hanging="420" w:left="4008"/>
      </w:pPr>
    </w:lvl>
    <w:lvl w:ilvl="8" w:tentative="0">
      <w:start w:val="1"/>
      <w:numFmt w:val="lowerRoman"/>
      <w:lvlText w:val="%9."/>
      <w:lvlJc w:val="right"/>
      <w:pPr>
        <w:ind w:hanging="420" w:left="4428"/>
      </w:pPr>
    </w:lvl>
  </w:abstractNum>
  <w:num w:numId="1">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heme="minorHAnsi" w:cstheme="minorBidi" w:eastAsiaTheme="minorEastAsia" w:hAnsiTheme="minorHAnsi"/>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qFormat="1" w:semiHidden="0" w:uiPriority="99"/>
    <w:lsdException w:name="footer" w:qFormat="1" w:semiHidden="0" w:uiPriority="99"/>
    <w:lsdException w:name="index heading" w:uiPriority="99"/>
    <w:lsdException w:name="caption" w:qFormat="1" w:uiPriority="35"/>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semiHidden="0" w:uiPriority="10" w:unhideWhenUsed="0"/>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qFormat="1" w:semiHidden="0" w:uiPriority="11" w:unhideWhenUsed="0"/>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qFormat="1" w:semiHidden="0" w:uiPriority="0" w:unhideWhenUsed="0"/>
    <w:lsdException w:name="Emphasis" w:qFormat="1" w:semiHidden="0" w:uiPriority="20" w:unhideWhenUsed="0"/>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Table Theme"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pPr>
      <w:widowControl w:val="0"/>
      <w:jc w:val="both"/>
    </w:pPr>
    <w:rPr>
      <w:rFonts w:ascii="Times New Roman" w:cs="Times New Roman" w:eastAsia="宋体" w:hAnsi="Times New Roman"/>
      <w:kern w:val="2"/>
      <w:sz w:val="21"/>
      <w:szCs w:val="24"/>
      <w:lang w:bidi="ar-SA" w:eastAsia="zh-CN" w:val="en-US"/>
    </w:rPr>
  </w:style>
  <w:style w:default="1" w:styleId="5" w:type="character">
    <w:name w:val="Default Paragraph Font"/>
    <w:semiHidden/>
    <w:unhideWhenUsed/>
    <w:uiPriority w:val="1"/>
  </w:style>
  <w:style w:default="1" w:styleId="4" w:type="table">
    <w:name w:val="Normal Table"/>
    <w:semiHidden/>
    <w:unhideWhenUsed/>
    <w:uiPriority w:val="99"/>
    <w:tblPr>
      <w:tblCellMar>
        <w:top w:type="dxa" w:w="0"/>
        <w:left w:type="dxa" w:w="108"/>
        <w:bottom w:type="dxa" w:w="0"/>
        <w:right w:type="dxa" w:w="108"/>
      </w:tblCellMar>
    </w:tblPr>
  </w:style>
  <w:style w:styleId="2" w:type="paragraph">
    <w:name w:val="footer"/>
    <w:basedOn w:val="1"/>
    <w:link w:val="8"/>
    <w:unhideWhenUsed/>
    <w:qFormat/>
    <w:uiPriority w:val="99"/>
    <w:pPr>
      <w:tabs>
        <w:tab w:pos="4153" w:val="center"/>
        <w:tab w:pos="8306" w:val="right"/>
      </w:tabs>
      <w:snapToGrid w:val="0"/>
      <w:jc w:val="left"/>
    </w:pPr>
    <w:rPr>
      <w:sz w:val="18"/>
      <w:szCs w:val="18"/>
    </w:rPr>
  </w:style>
  <w:style w:styleId="3" w:type="paragraph">
    <w:name w:val="header"/>
    <w:basedOn w:val="1"/>
    <w:link w:val="7"/>
    <w:unhideWhenUsed/>
    <w:qFormat/>
    <w:uiPriority w:val="99"/>
    <w:pPr>
      <w:pBdr>
        <w:bottom w:color="auto" w:space="1" w:sz="6" w:val="single"/>
      </w:pBdr>
      <w:tabs>
        <w:tab w:pos="4153" w:val="center"/>
        <w:tab w:pos="8306" w:val="right"/>
      </w:tabs>
      <w:snapToGrid w:val="0"/>
      <w:jc w:val="center"/>
    </w:pPr>
    <w:rPr>
      <w:sz w:val="18"/>
      <w:szCs w:val="18"/>
    </w:rPr>
  </w:style>
  <w:style w:styleId="6" w:type="character">
    <w:name w:val="Strong"/>
    <w:basedOn w:val="5"/>
    <w:qFormat/>
    <w:uiPriority w:val="0"/>
    <w:rPr>
      <w:b/>
      <w:bCs/>
    </w:rPr>
  </w:style>
  <w:style w:customStyle="1" w:styleId="7" w:type="character">
    <w:name w:val="页眉 字符"/>
    <w:basedOn w:val="5"/>
    <w:link w:val="3"/>
    <w:qFormat/>
    <w:uiPriority w:val="99"/>
    <w:rPr>
      <w:sz w:val="18"/>
      <w:szCs w:val="18"/>
    </w:rPr>
  </w:style>
  <w:style w:customStyle="1" w:styleId="8" w:type="character">
    <w:name w:val="页脚 字符"/>
    <w:basedOn w:val="5"/>
    <w:link w:val="2"/>
    <w:qFormat/>
    <w:uiPriority w:val="99"/>
    <w:rPr>
      <w:sz w:val="18"/>
      <w:szCs w:val="18"/>
    </w:rPr>
  </w:style>
  <w:style w:styleId="9" w:type="paragraph">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2052-12.1.0.16250</vt:lpwstr>
  </property>
  <property fmtid="{D5CDD505-2E9C-101B-9397-08002B2CF9AE}" name="ICV" pid="3">
    <vt:lpwstr>4E2A216151A24EE5A190066F518526B7</vt:lpwstr>
  </property>
</Properties>
</file>