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hint="default" w:ascii="Times New Roman" w:hAnsi="Times New Roman" w:eastAsia="华文中宋" w:cs="Times New Roman"/>
          <w:b/>
          <w:kern w:val="0"/>
          <w:sz w:val="72"/>
          <w:szCs w:val="72"/>
        </w:rPr>
      </w:pPr>
      <w:bookmarkStart w:id="2" w:name="_GoBack"/>
      <w:bookmarkEnd w:id="2"/>
    </w:p>
    <w:p>
      <w:pPr>
        <w:pStyle w:val="17"/>
        <w:rPr>
          <w:rFonts w:hint="default" w:ascii="Times New Roman" w:hAnsi="Times New Roman" w:cs="Times New Roman"/>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方正小标宋_GBK" w:cs="Times New Roman"/>
          <w:kern w:val="0"/>
          <w:sz w:val="48"/>
          <w:szCs w:val="48"/>
        </w:rPr>
      </w:pPr>
      <w:r>
        <w:rPr>
          <w:rFonts w:hint="default" w:ascii="Times New Roman" w:hAnsi="Times New Roman" w:eastAsia="方正小标宋_GBK" w:cs="Times New Roman"/>
          <w:kern w:val="0"/>
          <w:sz w:val="48"/>
          <w:szCs w:val="48"/>
          <w:lang w:eastAsia="zh-CN"/>
        </w:rPr>
        <w:t>自治区</w:t>
      </w:r>
      <w:r>
        <w:rPr>
          <w:rFonts w:hint="default" w:ascii="Times New Roman" w:hAnsi="Times New Roman" w:eastAsia="方正小标宋_GBK" w:cs="Times New Roman"/>
          <w:kern w:val="0"/>
          <w:sz w:val="48"/>
          <w:szCs w:val="48"/>
        </w:rPr>
        <w:t>资金项目支出绩效评价</w:t>
      </w:r>
    </w:p>
    <w:p>
      <w:pPr>
        <w:spacing w:line="540" w:lineRule="exact"/>
        <w:jc w:val="center"/>
        <w:rPr>
          <w:rFonts w:hint="default" w:ascii="Times New Roman" w:hAnsi="Times New Roman" w:eastAsia="方正小标宋_GBK" w:cs="Times New Roman"/>
          <w:kern w:val="0"/>
          <w:sz w:val="48"/>
          <w:szCs w:val="48"/>
        </w:rPr>
      </w:pPr>
      <w:r>
        <w:rPr>
          <w:rFonts w:hint="default" w:ascii="Times New Roman" w:hAnsi="Times New Roman" w:eastAsia="方正小标宋_GBK" w:cs="Times New Roman"/>
          <w:kern w:val="0"/>
          <w:sz w:val="48"/>
          <w:szCs w:val="48"/>
        </w:rPr>
        <w:t>报告</w:t>
      </w: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 202</w:t>
      </w:r>
      <w:r>
        <w:rPr>
          <w:rFonts w:hint="default" w:ascii="Times New Roman" w:hAnsi="Times New Roman" w:eastAsia="仿宋_GB2312" w:cs="Times New Roman"/>
          <w:kern w:val="0"/>
          <w:sz w:val="36"/>
          <w:szCs w:val="36"/>
          <w:lang w:val="en-US" w:eastAsia="zh-CN"/>
        </w:rPr>
        <w:t>3</w:t>
      </w:r>
      <w:r>
        <w:rPr>
          <w:rFonts w:hint="default" w:ascii="Times New Roman" w:hAnsi="Times New Roman" w:eastAsia="仿宋_GB2312" w:cs="Times New Roman"/>
          <w:kern w:val="0"/>
          <w:sz w:val="36"/>
          <w:szCs w:val="36"/>
        </w:rPr>
        <w:t>年度）</w:t>
      </w: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spacing w:line="540" w:lineRule="exact"/>
        <w:rPr>
          <w:rFonts w:hint="default" w:ascii="Times New Roman" w:hAnsi="Times New Roman" w:eastAsia="仿宋_GB2312" w:cs="Times New Roman"/>
          <w:kern w:val="0"/>
          <w:sz w:val="30"/>
          <w:szCs w:val="30"/>
        </w:rPr>
      </w:pPr>
    </w:p>
    <w:p>
      <w:pPr>
        <w:jc w:val="both"/>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项目名称：</w:t>
      </w:r>
      <w:r>
        <w:rPr>
          <w:rFonts w:hint="default" w:ascii="Times New Roman" w:hAnsi="Times New Roman" w:eastAsia="仿宋_GB2312" w:cs="Times New Roman"/>
          <w:kern w:val="0"/>
          <w:sz w:val="36"/>
          <w:szCs w:val="36"/>
          <w:lang w:val="en-US" w:eastAsia="zh-CN"/>
        </w:rPr>
        <w:t>自治区畜牧业生产发展资金（兽药饲料检验项目、畜产品质量安全监测）</w:t>
      </w:r>
    </w:p>
    <w:p>
      <w:pPr>
        <w:spacing w:line="700" w:lineRule="exact"/>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实施单位（公章）：</w:t>
      </w:r>
      <w:r>
        <w:rPr>
          <w:rFonts w:hint="default" w:ascii="Times New Roman" w:hAnsi="Times New Roman" w:eastAsia="仿宋_GB2312" w:cs="Times New Roman"/>
          <w:b w:val="0"/>
          <w:bCs/>
          <w:w w:val="90"/>
          <w:kern w:val="0"/>
          <w:sz w:val="36"/>
          <w:szCs w:val="36"/>
        </w:rPr>
        <w:t>新疆维吾尔自治区兽药饲料监察所</w:t>
      </w:r>
    </w:p>
    <w:p>
      <w:pPr>
        <w:spacing w:line="700" w:lineRule="exact"/>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主管部门（公章）：</w:t>
      </w:r>
      <w:r>
        <w:rPr>
          <w:rFonts w:hint="default" w:ascii="Times New Roman" w:hAnsi="Times New Roman" w:eastAsia="仿宋_GB2312" w:cs="Times New Roman"/>
          <w:b w:val="0"/>
          <w:bCs/>
          <w:kern w:val="0"/>
          <w:sz w:val="36"/>
          <w:szCs w:val="36"/>
        </w:rPr>
        <w:t>自治区畜牧兽医局</w:t>
      </w:r>
    </w:p>
    <w:p>
      <w:pPr>
        <w:spacing w:line="700" w:lineRule="exact"/>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项目负责人（签章）：</w:t>
      </w:r>
      <w:r>
        <w:rPr>
          <w:rFonts w:hint="default" w:ascii="Times New Roman" w:hAnsi="Times New Roman" w:eastAsia="仿宋_GB2312" w:cs="Times New Roman"/>
          <w:kern w:val="0"/>
          <w:sz w:val="36"/>
          <w:szCs w:val="36"/>
          <w:lang w:val="en-US" w:eastAsia="zh-CN"/>
        </w:rPr>
        <w:t>杨建中</w:t>
      </w:r>
    </w:p>
    <w:p>
      <w:pPr>
        <w:spacing w:line="700" w:lineRule="exact"/>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填报时间：</w:t>
      </w:r>
      <w:r>
        <w:rPr>
          <w:rFonts w:hint="default" w:ascii="Times New Roman" w:hAnsi="Times New Roman" w:eastAsia="仿宋_GB2312" w:cs="Times New Roman"/>
          <w:kern w:val="0"/>
          <w:sz w:val="36"/>
          <w:szCs w:val="36"/>
          <w:lang w:val="en-US" w:eastAsia="zh-CN"/>
        </w:rPr>
        <w:t>2024</w:t>
      </w:r>
      <w:r>
        <w:rPr>
          <w:rFonts w:hint="default" w:ascii="Times New Roman" w:hAnsi="Times New Roman" w:eastAsia="仿宋_GB2312" w:cs="Times New Roman"/>
          <w:kern w:val="0"/>
          <w:sz w:val="36"/>
          <w:szCs w:val="36"/>
        </w:rPr>
        <w:t>年</w:t>
      </w:r>
      <w:r>
        <w:rPr>
          <w:rFonts w:hint="default" w:ascii="Times New Roman" w:hAnsi="Times New Roman" w:eastAsia="仿宋_GB2312" w:cs="Times New Roman"/>
          <w:kern w:val="0"/>
          <w:sz w:val="36"/>
          <w:szCs w:val="36"/>
          <w:lang w:val="en-US" w:eastAsia="zh-CN"/>
        </w:rPr>
        <w:t>1</w:t>
      </w:r>
      <w:r>
        <w:rPr>
          <w:rFonts w:hint="default" w:ascii="Times New Roman" w:hAnsi="Times New Roman" w:eastAsia="仿宋_GB2312" w:cs="Times New Roman"/>
          <w:kern w:val="0"/>
          <w:sz w:val="36"/>
          <w:szCs w:val="36"/>
        </w:rPr>
        <w:t>月</w:t>
      </w:r>
      <w:r>
        <w:rPr>
          <w:rFonts w:hint="default" w:ascii="Times New Roman" w:hAnsi="Times New Roman" w:eastAsia="仿宋_GB2312" w:cs="Times New Roman"/>
          <w:kern w:val="0"/>
          <w:sz w:val="36"/>
          <w:szCs w:val="36"/>
          <w:lang w:val="en-US" w:eastAsia="zh-CN"/>
        </w:rPr>
        <w:t>15</w:t>
      </w:r>
      <w:r>
        <w:rPr>
          <w:rFonts w:hint="default" w:ascii="Times New Roman" w:hAnsi="Times New Roman" w:eastAsia="仿宋_GB2312" w:cs="Times New Roman"/>
          <w:kern w:val="0"/>
          <w:sz w:val="36"/>
          <w:szCs w:val="36"/>
        </w:rPr>
        <w:t>日</w:t>
      </w:r>
    </w:p>
    <w:p>
      <w:pPr>
        <w:spacing w:line="540" w:lineRule="exact"/>
        <w:jc w:val="center"/>
        <w:rPr>
          <w:rFonts w:hint="default" w:ascii="Times New Roman" w:hAnsi="Times New Roman" w:eastAsia="仿宋_GB2312" w:cs="Times New Roman"/>
          <w:kern w:val="0"/>
          <w:sz w:val="30"/>
          <w:szCs w:val="30"/>
        </w:rPr>
      </w:pPr>
    </w:p>
    <w:p>
      <w:pPr>
        <w:spacing w:line="540" w:lineRule="exact"/>
        <w:rPr>
          <w:rStyle w:val="23"/>
          <w:rFonts w:hint="default" w:ascii="Times New Roman" w:hAnsi="Times New Roman" w:eastAsia="黑体" w:cs="Times New Roman"/>
          <w:b w:val="0"/>
          <w:spacing w:val="-4"/>
          <w:sz w:val="32"/>
          <w:szCs w:val="32"/>
        </w:rPr>
      </w:pPr>
    </w:p>
    <w:p>
      <w:pPr>
        <w:spacing w:line="540" w:lineRule="exact"/>
        <w:ind w:firstLine="640"/>
        <w:rPr>
          <w:rStyle w:val="23"/>
          <w:rFonts w:hint="default" w:ascii="Times New Roman" w:hAnsi="Times New Roman" w:eastAsia="黑体" w:cs="Times New Roman"/>
          <w:b w:val="0"/>
          <w:spacing w:val="-4"/>
          <w:sz w:val="32"/>
          <w:szCs w:val="32"/>
        </w:rPr>
      </w:pPr>
    </w:p>
    <w:p>
      <w:pPr>
        <w:spacing w:line="540" w:lineRule="exact"/>
        <w:rPr>
          <w:rStyle w:val="23"/>
          <w:rFonts w:hint="default" w:ascii="Times New Roman" w:hAnsi="Times New Roman" w:eastAsia="黑体" w:cs="Times New Roman"/>
          <w:b w:val="0"/>
          <w:spacing w:val="-4"/>
          <w:sz w:val="32"/>
          <w:szCs w:val="32"/>
        </w:rPr>
      </w:pPr>
    </w:p>
    <w:p>
      <w:pPr>
        <w:spacing w:line="600" w:lineRule="exact"/>
        <w:jc w:val="center"/>
        <w:rPr>
          <w:rFonts w:hint="default" w:ascii="Times New Roman" w:hAnsi="Times New Roman" w:eastAsia="黑体" w:cs="Times New Roman"/>
          <w:bCs/>
          <w:sz w:val="32"/>
          <w:szCs w:val="32"/>
        </w:rPr>
      </w:pPr>
    </w:p>
    <w:p>
      <w:pPr>
        <w:keepNext w:val="0"/>
        <w:keepLines w:val="0"/>
        <w:pageBreakBefore w:val="0"/>
        <w:kinsoku/>
        <w:wordWrap/>
        <w:overflowPunct/>
        <w:topLinePunct w:val="0"/>
        <w:bidi w:val="0"/>
        <w:snapToGrid/>
        <w:spacing w:line="560" w:lineRule="exact"/>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pPr>
        <w:keepNext w:val="0"/>
        <w:keepLines w:val="0"/>
        <w:pageBreakBefore w:val="0"/>
        <w:kinsoku/>
        <w:wordWrap/>
        <w:overflowPunct/>
        <w:topLinePunct w:val="0"/>
        <w:bidi w:val="0"/>
        <w:snapToGrid/>
        <w:spacing w:line="560" w:lineRule="exact"/>
        <w:ind w:firstLine="641"/>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pPr>
        <w:keepNext w:val="0"/>
        <w:keepLines w:val="0"/>
        <w:pageBreakBefore w:val="0"/>
        <w:kinsoku/>
        <w:wordWrap/>
        <w:overflowPunct/>
        <w:topLinePunct w:val="0"/>
        <w:bidi w:val="0"/>
        <w:snapToGrid/>
        <w:spacing w:line="560" w:lineRule="exact"/>
        <w:ind w:firstLine="641"/>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1、项目背景</w:t>
      </w:r>
    </w:p>
    <w:p>
      <w:pPr>
        <w:keepNext w:val="0"/>
        <w:keepLines w:val="0"/>
        <w:pageBreakBefore w:val="0"/>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为贯彻落实《中华人民共和国食品安全法》、《中华人民共和国农产品质量安全法》及《生猪屠宰条例》，根据《农业农村部办公厅关于印发&lt;2022年兽药质量监督抽检和风险检测计划&gt;的通知》（农办牧〔2022〕1号）、《农业农村部办公厅关于印发&lt;2022年饲料质量安全监管工作方案&gt;的通知》（农办牧〔2022〕6号）</w:t>
      </w:r>
      <w:r>
        <w:rPr>
          <w:rFonts w:hint="eastAsia"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农业农村部办公厅关于印发2022年生猪等畜禽屠宰质量安全风险监测计划的通知》（农办牧〔2022〕9号）要求，结合全区食用畜产品生产布局情况、畜产品质量安全例行检测发现问题情况，计划开展2023年畜产品质量安全监测工作，为全区畜产品质量安全监管提供技术依据，保证我区畜产品质量安全，强化屠宰环节风险物质监测，提升畜禽产品质量，保障人民群众身体健康。</w:t>
      </w:r>
    </w:p>
    <w:p>
      <w:pPr>
        <w:pStyle w:val="18"/>
        <w:keepNext w:val="0"/>
        <w:keepLines w:val="0"/>
        <w:pageBreakBefore w:val="0"/>
        <w:numPr>
          <w:ilvl w:val="0"/>
          <w:numId w:val="1"/>
        </w:numPr>
        <w:kinsoku/>
        <w:wordWrap/>
        <w:overflowPunct/>
        <w:topLinePunct w:val="0"/>
        <w:bidi w:val="0"/>
        <w:snapToGrid/>
        <w:spacing w:before="0" w:after="0" w:line="560" w:lineRule="exact"/>
        <w:ind w:firstLine="642" w:firstLineChars="200"/>
        <w:jc w:val="both"/>
        <w:textAlignment w:val="auto"/>
        <w:rPr>
          <w:rFonts w:hint="default" w:ascii="Times New Roman" w:hAnsi="Times New Roman" w:eastAsia="仿宋_GB2312" w:cs="Times New Roman"/>
          <w:kern w:val="2"/>
        </w:rPr>
      </w:pPr>
      <w:r>
        <w:rPr>
          <w:rFonts w:hint="default" w:ascii="Times New Roman" w:hAnsi="Times New Roman" w:eastAsia="仿宋_GB2312" w:cs="Times New Roman"/>
          <w:kern w:val="2"/>
        </w:rPr>
        <w:t>项目主要内容：</w:t>
      </w:r>
    </w:p>
    <w:p>
      <w:pPr>
        <w:keepNext w:val="0"/>
        <w:keepLines w:val="0"/>
        <w:pageBreakBefore w:val="0"/>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完成对全疆兽药质量监督抽检和风险监测工作、核实兽药二维码追溯情况、兽用生物制品批签发工作、兽药生产企业GMP运行情况检查等；完成畜产品</w:t>
      </w:r>
      <w:r>
        <w:rPr>
          <w:rFonts w:hint="default" w:ascii="Times New Roman" w:hAnsi="Times New Roman" w:eastAsia="仿宋_GB2312" w:cs="Times New Roman"/>
          <w:color w:val="000000"/>
          <w:sz w:val="32"/>
          <w:szCs w:val="32"/>
          <w:lang w:eastAsia="zh-CN"/>
        </w:rPr>
        <w:t>质量安全</w:t>
      </w:r>
      <w:r>
        <w:rPr>
          <w:rFonts w:hint="default" w:ascii="Times New Roman" w:hAnsi="Times New Roman" w:eastAsia="仿宋_GB2312" w:cs="Times New Roman"/>
          <w:color w:val="000000"/>
          <w:sz w:val="32"/>
          <w:szCs w:val="32"/>
          <w:lang w:val="en-US" w:eastAsia="zh-CN"/>
        </w:rPr>
        <w:t>风险</w:t>
      </w:r>
      <w:r>
        <w:rPr>
          <w:rFonts w:hint="default" w:ascii="Times New Roman" w:hAnsi="Times New Roman" w:eastAsia="仿宋_GB2312" w:cs="Times New Roman"/>
          <w:color w:val="000000"/>
          <w:sz w:val="32"/>
          <w:szCs w:val="32"/>
          <w:lang w:eastAsia="zh-CN"/>
        </w:rPr>
        <w:t>监测</w:t>
      </w:r>
      <w:r>
        <w:rPr>
          <w:rFonts w:hint="default" w:ascii="Times New Roman" w:hAnsi="Times New Roman" w:eastAsia="仿宋_GB2312" w:cs="Times New Roman"/>
          <w:color w:val="000000"/>
          <w:sz w:val="32"/>
          <w:szCs w:val="32"/>
          <w:lang w:val="en-US" w:eastAsia="zh-CN"/>
        </w:rPr>
        <w:t>、畜禽及畜禽产品兽药</w:t>
      </w:r>
      <w:r>
        <w:rPr>
          <w:rFonts w:hint="default" w:ascii="Times New Roman" w:hAnsi="Times New Roman" w:eastAsia="仿宋_GB2312" w:cs="Times New Roman"/>
          <w:color w:val="000000"/>
          <w:sz w:val="32"/>
          <w:szCs w:val="32"/>
          <w:lang w:eastAsia="zh-CN"/>
        </w:rPr>
        <w:t>残留监控</w:t>
      </w:r>
      <w:r>
        <w:rPr>
          <w:rFonts w:hint="default" w:ascii="Times New Roman" w:hAnsi="Times New Roman" w:eastAsia="仿宋_GB2312" w:cs="Times New Roman"/>
          <w:color w:val="000000"/>
          <w:sz w:val="32"/>
          <w:szCs w:val="32"/>
          <w:lang w:val="en-US" w:eastAsia="zh-CN"/>
        </w:rPr>
        <w:t>工作；完成对</w:t>
      </w:r>
      <w:r>
        <w:rPr>
          <w:rFonts w:hint="default" w:ascii="Times New Roman" w:hAnsi="Times New Roman" w:eastAsia="仿宋_GB2312" w:cs="Times New Roman"/>
          <w:sz w:val="32"/>
          <w:szCs w:val="32"/>
          <w:lang w:val="en-US" w:eastAsia="zh-CN"/>
        </w:rPr>
        <w:t>全疆饲料质量安全监测工作，协助饲料主管部门对饲料生产企业现场审查工作等。</w:t>
      </w:r>
    </w:p>
    <w:p>
      <w:pPr>
        <w:keepNext w:val="0"/>
        <w:keepLines w:val="0"/>
        <w:pageBreakBefore w:val="0"/>
        <w:kinsoku/>
        <w:wordWrap/>
        <w:overflowPunct/>
        <w:topLinePunct w:val="0"/>
        <w:bidi w:val="0"/>
        <w:snapToGrid/>
        <w:spacing w:line="560" w:lineRule="exact"/>
        <w:ind w:firstLine="640" w:firstLineChars="200"/>
        <w:textAlignment w:val="auto"/>
        <w:rPr>
          <w:rFonts w:hint="default" w:ascii="Times New Roman" w:hAnsi="Times New Roman" w:cs="Times New Roman"/>
        </w:rPr>
      </w:pPr>
      <w:r>
        <w:rPr>
          <w:rFonts w:hint="default" w:ascii="Times New Roman" w:hAnsi="Times New Roman" w:eastAsia="仿宋_GB2312" w:cs="Times New Roman"/>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p>
    <w:p>
      <w:pPr>
        <w:keepNext w:val="0"/>
        <w:keepLines w:val="0"/>
        <w:pageBreakBefore w:val="0"/>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202</w:t>
      </w:r>
      <w:r>
        <w:rPr>
          <w:rFonts w:hint="default" w:ascii="Times New Roman" w:hAnsi="Times New Roman" w:eastAsia="仿宋_GB2312" w:cs="Times New Roman"/>
          <w:color w:val="000000"/>
          <w:sz w:val="32"/>
          <w:szCs w:val="32"/>
          <w:lang w:val="en-US" w:eastAsia="zh-CN"/>
        </w:rPr>
        <w:t>3</w:t>
      </w:r>
      <w:r>
        <w:rPr>
          <w:rFonts w:hint="default" w:ascii="Times New Roman" w:hAnsi="Times New Roman" w:eastAsia="仿宋_GB2312" w:cs="Times New Roman"/>
          <w:color w:val="000000"/>
          <w:sz w:val="32"/>
          <w:szCs w:val="32"/>
        </w:rPr>
        <w:t>年自治区畜牧业生产发展资金（兽药饲料检验项目、畜产品质量安全监测）财政预算资金325万元，财政</w:t>
      </w:r>
      <w:r>
        <w:rPr>
          <w:rFonts w:hint="default" w:ascii="Times New Roman" w:hAnsi="Times New Roman" w:eastAsia="仿宋_GB2312" w:cs="Times New Roman"/>
          <w:sz w:val="32"/>
          <w:szCs w:val="32"/>
        </w:rPr>
        <w:t>资金到位325万元</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color w:val="000000"/>
          <w:sz w:val="32"/>
          <w:szCs w:val="32"/>
        </w:rPr>
        <w:t>项目实际支出</w:t>
      </w:r>
      <w:r>
        <w:rPr>
          <w:rFonts w:hint="default" w:ascii="Times New Roman" w:hAnsi="Times New Roman" w:eastAsia="仿宋_GB2312" w:cs="Times New Roman"/>
          <w:color w:val="000000"/>
          <w:sz w:val="32"/>
          <w:szCs w:val="32"/>
          <w:lang w:val="en-US" w:eastAsia="zh-CN"/>
        </w:rPr>
        <w:t>325</w:t>
      </w:r>
      <w:r>
        <w:rPr>
          <w:rFonts w:hint="default" w:ascii="Times New Roman" w:hAnsi="Times New Roman" w:eastAsia="仿宋_GB2312" w:cs="Times New Roman"/>
          <w:color w:val="000000"/>
          <w:sz w:val="32"/>
          <w:szCs w:val="32"/>
        </w:rPr>
        <w:t>万元，支出率为100%。</w:t>
      </w:r>
    </w:p>
    <w:p>
      <w:pPr>
        <w:keepNext w:val="0"/>
        <w:keepLines w:val="0"/>
        <w:pageBreakBefore w:val="0"/>
        <w:kinsoku/>
        <w:wordWrap/>
        <w:overflowPunct/>
        <w:topLinePunct w:val="0"/>
        <w:bidi w:val="0"/>
        <w:snapToGrid/>
        <w:spacing w:line="560" w:lineRule="exact"/>
        <w:ind w:firstLine="642"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3、资金投入和使用情况</w:t>
      </w:r>
    </w:p>
    <w:p>
      <w:pPr>
        <w:keepNext w:val="0"/>
        <w:keepLines w:val="0"/>
        <w:pageBreakBefore w:val="0"/>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sz w:val="20"/>
          <w:szCs w:val="20"/>
        </w:rPr>
      </w:pPr>
      <w:r>
        <w:rPr>
          <w:rFonts w:hint="default" w:ascii="Times New Roman" w:hAnsi="Times New Roman" w:eastAsia="仿宋_GB2312" w:cs="Times New Roman"/>
          <w:sz w:val="32"/>
          <w:szCs w:val="32"/>
        </w:rPr>
        <w:t>（1）资金安排</w:t>
      </w:r>
    </w:p>
    <w:p>
      <w:pPr>
        <w:keepNext w:val="0"/>
        <w:keepLines w:val="0"/>
        <w:pageBreakBefore w:val="0"/>
        <w:kinsoku/>
        <w:wordWrap/>
        <w:overflowPunct/>
        <w:topLinePunct w:val="0"/>
        <w:bidi w:val="0"/>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项目总投资</w:t>
      </w:r>
      <w:r>
        <w:rPr>
          <w:rFonts w:hint="default" w:ascii="Times New Roman" w:hAnsi="Times New Roman" w:eastAsia="仿宋_GB2312" w:cs="Times New Roman"/>
          <w:sz w:val="32"/>
          <w:szCs w:val="32"/>
          <w:lang w:val="en-US" w:eastAsia="zh-CN"/>
        </w:rPr>
        <w:t>325</w:t>
      </w:r>
      <w:r>
        <w:rPr>
          <w:rFonts w:hint="default" w:ascii="Times New Roman" w:hAnsi="Times New Roman" w:eastAsia="仿宋_GB2312" w:cs="Times New Roman"/>
          <w:sz w:val="32"/>
          <w:szCs w:val="32"/>
        </w:rPr>
        <w:t>万元，按照单位财务制度等相关规定，资金支出符合</w:t>
      </w:r>
      <w:r>
        <w:rPr>
          <w:rFonts w:hint="default" w:ascii="Times New Roman" w:hAnsi="Times New Roman" w:eastAsia="仿宋_GB2312" w:cs="Times New Roman"/>
          <w:sz w:val="32"/>
          <w:szCs w:val="32"/>
          <w:lang w:val="en-US" w:eastAsia="zh-CN"/>
        </w:rPr>
        <w:t>自治区畜牧业生产发展资金（兽药饲料检验项目、畜产品质量安全监测）</w:t>
      </w:r>
      <w:r>
        <w:rPr>
          <w:rFonts w:hint="default" w:ascii="Times New Roman" w:hAnsi="Times New Roman" w:eastAsia="仿宋_GB2312" w:cs="Times New Roman"/>
          <w:sz w:val="32"/>
          <w:szCs w:val="32"/>
        </w:rPr>
        <w:t>专项资金费用范围，做到了专款专用。在项目资金拨付和使用过程中，为确保项目资金的安全性，提高项目资金使用效率，严格遵循</w:t>
      </w:r>
      <w:r>
        <w:rPr>
          <w:rFonts w:hint="default" w:ascii="Times New Roman" w:hAnsi="Times New Roman" w:eastAsia="仿宋_GB2312" w:cs="Times New Roman"/>
          <w:sz w:val="32"/>
          <w:szCs w:val="32"/>
          <w:lang w:eastAsia="zh-CN"/>
        </w:rPr>
        <w:t>项目</w:t>
      </w:r>
      <w:r>
        <w:rPr>
          <w:rFonts w:hint="default" w:ascii="Times New Roman" w:hAnsi="Times New Roman" w:eastAsia="仿宋_GB2312" w:cs="Times New Roman"/>
          <w:sz w:val="32"/>
          <w:szCs w:val="32"/>
        </w:rPr>
        <w:t>资金的拨付程序，认真审核项目实施各阶段的相关材料和手续，根据项目实施进展情况拨付资金。</w:t>
      </w:r>
    </w:p>
    <w:p>
      <w:pPr>
        <w:keepNext w:val="0"/>
        <w:keepLines w:val="0"/>
        <w:pageBreakBefore w:val="0"/>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（2）预算资金来源及使用情况</w:t>
      </w:r>
      <w:bookmarkStart w:id="0" w:name="page10"/>
      <w:bookmarkEnd w:id="0"/>
    </w:p>
    <w:p>
      <w:pPr>
        <w:pStyle w:val="18"/>
        <w:keepNext w:val="0"/>
        <w:keepLines w:val="0"/>
        <w:pageBreakBefore w:val="0"/>
        <w:kinsoku/>
        <w:wordWrap/>
        <w:overflowPunct/>
        <w:topLinePunct w:val="0"/>
        <w:bidi w:val="0"/>
        <w:snapToGrid/>
        <w:spacing w:before="0" w:after="0" w:line="560" w:lineRule="exact"/>
        <w:ind w:firstLine="640" w:firstLineChars="200"/>
        <w:jc w:val="both"/>
        <w:textAlignment w:val="auto"/>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项目预算资金来源于自治区畜牧业生产发展资金</w:t>
      </w:r>
      <w:r>
        <w:rPr>
          <w:rFonts w:hint="eastAsia" w:ascii="Times New Roman" w:hAnsi="Times New Roman" w:eastAsia="仿宋_GB2312" w:cs="Times New Roman"/>
          <w:b w:val="0"/>
          <w:bCs w:val="0"/>
          <w:kern w:val="2"/>
          <w:lang w:eastAsia="zh-CN"/>
        </w:rPr>
        <w:t>，</w:t>
      </w:r>
      <w:r>
        <w:rPr>
          <w:rFonts w:hint="default" w:ascii="Times New Roman" w:hAnsi="Times New Roman" w:eastAsia="仿宋_GB2312" w:cs="Times New Roman"/>
          <w:b w:val="0"/>
          <w:bCs w:val="0"/>
          <w:kern w:val="2"/>
        </w:rPr>
        <w:t>项目资金到位</w:t>
      </w:r>
      <w:r>
        <w:rPr>
          <w:rFonts w:hint="default" w:ascii="Times New Roman" w:hAnsi="Times New Roman" w:eastAsia="仿宋_GB2312" w:cs="Times New Roman"/>
          <w:b w:val="0"/>
          <w:bCs w:val="0"/>
          <w:kern w:val="2"/>
          <w:lang w:val="en-US" w:eastAsia="zh-CN"/>
        </w:rPr>
        <w:t>325</w:t>
      </w:r>
      <w:r>
        <w:rPr>
          <w:rFonts w:hint="default" w:ascii="Times New Roman" w:hAnsi="Times New Roman" w:eastAsia="仿宋_GB2312" w:cs="Times New Roman"/>
          <w:b w:val="0"/>
          <w:bCs w:val="0"/>
          <w:kern w:val="2"/>
        </w:rPr>
        <w:t>万元，全年执行</w:t>
      </w:r>
      <w:r>
        <w:rPr>
          <w:rFonts w:hint="default" w:ascii="Times New Roman" w:hAnsi="Times New Roman" w:eastAsia="仿宋_GB2312" w:cs="Times New Roman"/>
          <w:b w:val="0"/>
          <w:bCs w:val="0"/>
          <w:kern w:val="2"/>
          <w:lang w:val="en-US" w:eastAsia="zh-CN"/>
        </w:rPr>
        <w:t>325</w:t>
      </w:r>
      <w:r>
        <w:rPr>
          <w:rFonts w:hint="default" w:ascii="Times New Roman" w:hAnsi="Times New Roman" w:eastAsia="仿宋_GB2312" w:cs="Times New Roman"/>
          <w:b w:val="0"/>
          <w:bCs w:val="0"/>
          <w:kern w:val="2"/>
        </w:rPr>
        <w:t>万元，预算执行率为</w:t>
      </w:r>
      <w:r>
        <w:rPr>
          <w:rFonts w:hint="default" w:ascii="Times New Roman" w:hAnsi="Times New Roman" w:eastAsia="仿宋_GB2312" w:cs="Times New Roman"/>
          <w:b w:val="0"/>
          <w:bCs w:val="0"/>
          <w:kern w:val="2"/>
          <w:lang w:val="en-US" w:eastAsia="zh-CN"/>
        </w:rPr>
        <w:t>100</w:t>
      </w:r>
      <w:r>
        <w:rPr>
          <w:rFonts w:hint="default" w:ascii="Times New Roman" w:hAnsi="Times New Roman" w:eastAsia="仿宋_GB2312" w:cs="Times New Roman"/>
          <w:b w:val="0"/>
          <w:bCs w:val="0"/>
          <w:kern w:val="2"/>
        </w:rPr>
        <w:t>%</w:t>
      </w:r>
      <w:r>
        <w:rPr>
          <w:rFonts w:hint="eastAsia" w:ascii="Times New Roman" w:hAnsi="Times New Roman" w:eastAsia="仿宋_GB2312" w:cs="Times New Roman"/>
          <w:b w:val="0"/>
          <w:bCs w:val="0"/>
          <w:kern w:val="2"/>
          <w:lang w:eastAsia="zh-CN"/>
        </w:rPr>
        <w:t>，</w:t>
      </w:r>
      <w:r>
        <w:rPr>
          <w:rFonts w:hint="default" w:ascii="Times New Roman" w:hAnsi="Times New Roman" w:eastAsia="仿宋_GB2312" w:cs="Times New Roman"/>
          <w:b w:val="0"/>
          <w:bCs w:val="0"/>
          <w:kern w:val="2"/>
        </w:rPr>
        <w:t>主要用于支付项目实施进程中的各项费用。</w:t>
      </w:r>
    </w:p>
    <w:p>
      <w:pPr>
        <w:pStyle w:val="18"/>
        <w:keepNext w:val="0"/>
        <w:keepLines w:val="0"/>
        <w:pageBreakBefore w:val="0"/>
        <w:kinsoku/>
        <w:wordWrap/>
        <w:overflowPunct/>
        <w:topLinePunct w:val="0"/>
        <w:bidi w:val="0"/>
        <w:snapToGrid/>
        <w:spacing w:before="0" w:after="0" w:line="560" w:lineRule="exact"/>
        <w:ind w:firstLine="640" w:firstLineChars="200"/>
        <w:jc w:val="both"/>
        <w:textAlignment w:val="auto"/>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202</w:t>
      </w:r>
      <w:r>
        <w:rPr>
          <w:rFonts w:hint="default" w:ascii="Times New Roman" w:hAnsi="Times New Roman" w:eastAsia="仿宋_GB2312" w:cs="Times New Roman"/>
          <w:b w:val="0"/>
          <w:bCs w:val="0"/>
          <w:kern w:val="2"/>
          <w:lang w:val="en-US" w:eastAsia="zh-CN"/>
        </w:rPr>
        <w:t>3</w:t>
      </w:r>
      <w:r>
        <w:rPr>
          <w:rFonts w:hint="default" w:ascii="Times New Roman" w:hAnsi="Times New Roman" w:eastAsia="仿宋_GB2312" w:cs="Times New Roman"/>
          <w:b w:val="0"/>
          <w:bCs w:val="0"/>
          <w:kern w:val="2"/>
        </w:rPr>
        <w:t>年本项目申请资金3</w:t>
      </w:r>
      <w:r>
        <w:rPr>
          <w:rFonts w:hint="default" w:ascii="Times New Roman" w:hAnsi="Times New Roman" w:eastAsia="仿宋_GB2312" w:cs="Times New Roman"/>
          <w:b w:val="0"/>
          <w:bCs w:val="0"/>
          <w:kern w:val="2"/>
          <w:lang w:val="en-US" w:eastAsia="zh-CN"/>
        </w:rPr>
        <w:t>2</w:t>
      </w:r>
      <w:r>
        <w:rPr>
          <w:rFonts w:hint="default" w:ascii="Times New Roman" w:hAnsi="Times New Roman" w:eastAsia="仿宋_GB2312" w:cs="Times New Roman"/>
          <w:b w:val="0"/>
          <w:bCs w:val="0"/>
          <w:kern w:val="2"/>
        </w:rPr>
        <w:t>5万元，具体资金分配明细如下：</w:t>
      </w:r>
    </w:p>
    <w:p>
      <w:pPr>
        <w:pStyle w:val="18"/>
        <w:keepNext w:val="0"/>
        <w:keepLines w:val="0"/>
        <w:pageBreakBefore w:val="0"/>
        <w:kinsoku/>
        <w:wordWrap/>
        <w:overflowPunct/>
        <w:topLinePunct w:val="0"/>
        <w:bidi w:val="0"/>
        <w:snapToGrid/>
        <w:spacing w:before="0" w:after="0" w:line="560" w:lineRule="exact"/>
        <w:ind w:firstLine="640" w:firstLineChars="200"/>
        <w:jc w:val="both"/>
        <w:textAlignment w:val="auto"/>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lang w:eastAsia="zh-CN"/>
        </w:rPr>
        <w:t>（一）</w:t>
      </w:r>
      <w:r>
        <w:rPr>
          <w:rFonts w:hint="default" w:ascii="Times New Roman" w:hAnsi="Times New Roman" w:eastAsia="仿宋_GB2312" w:cs="Times New Roman"/>
          <w:b w:val="0"/>
          <w:bCs w:val="0"/>
          <w:kern w:val="2"/>
        </w:rPr>
        <w:t>畜产品监测1000批次，共计1</w:t>
      </w:r>
      <w:r>
        <w:rPr>
          <w:rFonts w:hint="default" w:ascii="Times New Roman" w:hAnsi="Times New Roman" w:eastAsia="仿宋_GB2312" w:cs="Times New Roman"/>
          <w:b w:val="0"/>
          <w:bCs w:val="0"/>
          <w:kern w:val="2"/>
          <w:lang w:val="en-US" w:eastAsia="zh-CN"/>
        </w:rPr>
        <w:t>25.9</w:t>
      </w:r>
      <w:r>
        <w:rPr>
          <w:rFonts w:hint="default" w:ascii="Times New Roman" w:hAnsi="Times New Roman" w:eastAsia="仿宋_GB2312" w:cs="Times New Roman"/>
          <w:b w:val="0"/>
          <w:bCs w:val="0"/>
          <w:kern w:val="2"/>
        </w:rPr>
        <w:t>万元。</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color w:val="000000" w:themeColor="text1"/>
          <w:kern w:val="0"/>
          <w:sz w:val="32"/>
          <w:szCs w:val="32"/>
          <w:shd w:val="clear" w:color="auto" w:fill="auto"/>
          <w:lang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shd w:val="clear" w:color="auto" w:fill="auto"/>
          <w14:textFill>
            <w14:solidFill>
              <w14:schemeClr w14:val="tx1"/>
            </w14:solidFill>
          </w14:textFill>
        </w:rPr>
        <w:t xml:space="preserve">1、抽样费 </w:t>
      </w:r>
      <w:r>
        <w:rPr>
          <w:rFonts w:hint="default" w:ascii="Times New Roman" w:hAnsi="Times New Roman" w:eastAsia="仿宋_GB2312" w:cs="Times New Roman"/>
          <w:color w:val="000000" w:themeColor="text1"/>
          <w:kern w:val="0"/>
          <w:sz w:val="32"/>
          <w:szCs w:val="32"/>
          <w:shd w:val="clear" w:color="auto" w:fill="auto"/>
          <w:lang w:val="en-US" w:eastAsia="zh-CN"/>
          <w14:textFill>
            <w14:solidFill>
              <w14:schemeClr w14:val="tx1"/>
            </w14:solidFill>
          </w14:textFill>
        </w:rPr>
        <w:t>28</w:t>
      </w:r>
      <w:r>
        <w:rPr>
          <w:rFonts w:hint="default" w:ascii="Times New Roman" w:hAnsi="Times New Roman" w:eastAsia="仿宋_GB2312" w:cs="Times New Roman"/>
          <w:color w:val="000000" w:themeColor="text1"/>
          <w:kern w:val="0"/>
          <w:sz w:val="32"/>
          <w:szCs w:val="32"/>
          <w:shd w:val="clear" w:color="auto" w:fill="auto"/>
          <w14:textFill>
            <w14:solidFill>
              <w14:schemeClr w14:val="tx1"/>
            </w14:solidFill>
          </w14:textFill>
        </w:rPr>
        <w:t>0元/批×1000批</w:t>
      </w:r>
      <w:r>
        <w:rPr>
          <w:rFonts w:hint="default" w:ascii="Times New Roman" w:hAnsi="Times New Roman" w:eastAsia="仿宋_GB2312" w:cs="Times New Roman"/>
          <w:color w:val="000000" w:themeColor="text1"/>
          <w:kern w:val="0"/>
          <w:sz w:val="32"/>
          <w:szCs w:val="32"/>
          <w:shd w:val="clear" w:color="auto" w:fill="auto"/>
          <w:lang w:eastAsia="zh-CN"/>
          <w14:textFill>
            <w14:solidFill>
              <w14:schemeClr w14:val="tx1"/>
            </w14:solidFill>
          </w14:textFill>
        </w:rPr>
        <w:t>（</w:t>
      </w:r>
      <w:r>
        <w:rPr>
          <w:rFonts w:hint="default" w:ascii="Times New Roman" w:hAnsi="Times New Roman" w:eastAsia="仿宋_GB2312" w:cs="Times New Roman"/>
          <w:color w:val="000000" w:themeColor="text1"/>
          <w:kern w:val="0"/>
          <w:sz w:val="32"/>
          <w:szCs w:val="32"/>
          <w:shd w:val="clear" w:color="auto" w:fill="auto"/>
          <w14:textFill>
            <w14:solidFill>
              <w14:schemeClr w14:val="tx1"/>
            </w14:solidFill>
          </w14:textFill>
        </w:rPr>
        <w:t>样品费170元/批次、车辆及交通费70元/批次、抽样费</w:t>
      </w:r>
      <w:r>
        <w:rPr>
          <w:rFonts w:hint="default" w:ascii="Times New Roman" w:hAnsi="Times New Roman" w:eastAsia="仿宋_GB2312" w:cs="Times New Roman"/>
          <w:color w:val="000000" w:themeColor="text1"/>
          <w:kern w:val="0"/>
          <w:sz w:val="32"/>
          <w:szCs w:val="32"/>
          <w:shd w:val="clear" w:color="auto" w:fill="auto"/>
          <w:lang w:val="en-US" w:eastAsia="zh-CN"/>
          <w14:textFill>
            <w14:solidFill>
              <w14:schemeClr w14:val="tx1"/>
            </w14:solidFill>
          </w14:textFill>
        </w:rPr>
        <w:t>4</w:t>
      </w:r>
      <w:r>
        <w:rPr>
          <w:rFonts w:hint="default" w:ascii="Times New Roman" w:hAnsi="Times New Roman" w:eastAsia="仿宋_GB2312" w:cs="Times New Roman"/>
          <w:color w:val="000000" w:themeColor="text1"/>
          <w:kern w:val="0"/>
          <w:sz w:val="32"/>
          <w:szCs w:val="32"/>
          <w:shd w:val="clear" w:color="auto" w:fill="auto"/>
          <w14:textFill>
            <w14:solidFill>
              <w14:schemeClr w14:val="tx1"/>
            </w14:solidFill>
          </w14:textFill>
        </w:rPr>
        <w:t>0元/批次</w:t>
      </w:r>
      <w:r>
        <w:rPr>
          <w:rFonts w:hint="default" w:ascii="Times New Roman" w:hAnsi="Times New Roman" w:eastAsia="仿宋_GB2312" w:cs="Times New Roman"/>
          <w:color w:val="000000" w:themeColor="text1"/>
          <w:kern w:val="0"/>
          <w:sz w:val="32"/>
          <w:szCs w:val="32"/>
          <w:shd w:val="clear" w:color="auto" w:fill="auto"/>
          <w:lang w:eastAsia="zh-CN"/>
          <w14:textFill>
            <w14:solidFill>
              <w14:schemeClr w14:val="tx1"/>
            </w14:solidFill>
          </w14:textFill>
        </w:rPr>
        <w:t>）</w:t>
      </w:r>
      <w:r>
        <w:rPr>
          <w:rFonts w:hint="default" w:ascii="Times New Roman" w:hAnsi="Times New Roman" w:eastAsia="仿宋_GB2312" w:cs="Times New Roman"/>
          <w:color w:val="000000" w:themeColor="text1"/>
          <w:kern w:val="0"/>
          <w:sz w:val="32"/>
          <w:szCs w:val="32"/>
          <w:shd w:val="clear" w:color="auto" w:fill="auto"/>
          <w14:textFill>
            <w14:solidFill>
              <w14:schemeClr w14:val="tx1"/>
            </w14:solidFill>
          </w14:textFill>
        </w:rPr>
        <w:t>，合计</w:t>
      </w:r>
      <w:r>
        <w:rPr>
          <w:rFonts w:hint="default" w:ascii="Times New Roman" w:hAnsi="Times New Roman" w:eastAsia="仿宋_GB2312" w:cs="Times New Roman"/>
          <w:color w:val="000000" w:themeColor="text1"/>
          <w:kern w:val="0"/>
          <w:sz w:val="32"/>
          <w:szCs w:val="32"/>
          <w:shd w:val="clear" w:color="auto" w:fill="auto"/>
          <w:lang w:val="en-US" w:eastAsia="zh-CN"/>
          <w14:textFill>
            <w14:solidFill>
              <w14:schemeClr w14:val="tx1"/>
            </w14:solidFill>
          </w14:textFill>
        </w:rPr>
        <w:t>28</w:t>
      </w:r>
      <w:r>
        <w:rPr>
          <w:rFonts w:hint="default" w:ascii="Times New Roman" w:hAnsi="Times New Roman" w:eastAsia="仿宋_GB2312" w:cs="Times New Roman"/>
          <w:color w:val="000000" w:themeColor="text1"/>
          <w:kern w:val="0"/>
          <w:sz w:val="32"/>
          <w:szCs w:val="32"/>
          <w:shd w:val="clear" w:color="auto" w:fill="auto"/>
          <w14:textFill>
            <w14:solidFill>
              <w14:schemeClr w14:val="tx1"/>
            </w14:solidFill>
          </w14:textFill>
        </w:rPr>
        <w:t>万元</w:t>
      </w:r>
      <w:r>
        <w:rPr>
          <w:rFonts w:hint="default" w:ascii="Times New Roman" w:hAnsi="Times New Roman" w:eastAsia="仿宋_GB2312" w:cs="Times New Roman"/>
          <w:color w:val="000000" w:themeColor="text1"/>
          <w:kern w:val="0"/>
          <w:sz w:val="32"/>
          <w:szCs w:val="32"/>
          <w:shd w:val="clear" w:color="auto" w:fill="auto"/>
          <w:lang w:eastAsia="zh-CN"/>
          <w14:textFill>
            <w14:solidFill>
              <w14:schemeClr w14:val="tx1"/>
            </w14:solidFill>
          </w14:textFill>
        </w:rPr>
        <w:t>；</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color w:val="000000" w:themeColor="text1"/>
          <w:kern w:val="0"/>
          <w:sz w:val="32"/>
          <w:szCs w:val="32"/>
          <w:shd w:val="clear" w:color="auto" w:fill="auto"/>
          <w:lang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shd w:val="clear" w:color="auto" w:fill="auto"/>
          <w14:textFill>
            <w14:solidFill>
              <w14:schemeClr w14:val="tx1"/>
            </w14:solidFill>
          </w14:textFill>
        </w:rPr>
        <w:t>2、消耗试剂（基准试剂/标准对照</w:t>
      </w:r>
      <w:r>
        <w:rPr>
          <w:rFonts w:hint="default" w:ascii="Times New Roman" w:hAnsi="Times New Roman" w:eastAsia="仿宋_GB2312" w:cs="Times New Roman"/>
          <w:color w:val="000000" w:themeColor="text1"/>
          <w:kern w:val="0"/>
          <w:sz w:val="32"/>
          <w:szCs w:val="32"/>
          <w:shd w:val="clear" w:color="auto" w:fill="auto"/>
          <w:lang w:eastAsia="zh-CN"/>
          <w14:textFill>
            <w14:solidFill>
              <w14:schemeClr w14:val="tx1"/>
            </w14:solidFill>
          </w14:textFill>
        </w:rPr>
        <w:t>、</w:t>
      </w:r>
      <w:r>
        <w:rPr>
          <w:rFonts w:hint="default" w:ascii="Times New Roman" w:hAnsi="Times New Roman" w:eastAsia="仿宋_GB2312" w:cs="Times New Roman"/>
          <w:color w:val="000000" w:themeColor="text1"/>
          <w:kern w:val="0"/>
          <w:sz w:val="32"/>
          <w:szCs w:val="32"/>
          <w:shd w:val="clear" w:color="auto" w:fill="auto"/>
          <w14:textFill>
            <w14:solidFill>
              <w14:schemeClr w14:val="tx1"/>
            </w14:solidFill>
          </w14:textFill>
        </w:rPr>
        <w:t>甲醇、乙氰、测试盒、分析小柱等）</w:t>
      </w:r>
      <w:r>
        <w:rPr>
          <w:rFonts w:hint="default" w:ascii="Times New Roman" w:hAnsi="Times New Roman" w:eastAsia="仿宋_GB2312" w:cs="Times New Roman"/>
          <w:color w:val="000000" w:themeColor="text1"/>
          <w:kern w:val="0"/>
          <w:sz w:val="32"/>
          <w:szCs w:val="32"/>
          <w:shd w:val="clear" w:color="auto" w:fill="auto"/>
          <w:lang w:val="en-US" w:eastAsia="zh-CN"/>
          <w14:textFill>
            <w14:solidFill>
              <w14:schemeClr w14:val="tx1"/>
            </w14:solidFill>
          </w14:textFill>
        </w:rPr>
        <w:t>300</w:t>
      </w:r>
      <w:r>
        <w:rPr>
          <w:rFonts w:hint="default" w:ascii="Times New Roman" w:hAnsi="Times New Roman" w:eastAsia="仿宋_GB2312" w:cs="Times New Roman"/>
          <w:color w:val="000000" w:themeColor="text1"/>
          <w:kern w:val="0"/>
          <w:sz w:val="32"/>
          <w:szCs w:val="32"/>
          <w:shd w:val="clear" w:color="auto" w:fill="auto"/>
          <w14:textFill>
            <w14:solidFill>
              <w14:schemeClr w14:val="tx1"/>
            </w14:solidFill>
          </w14:textFill>
        </w:rPr>
        <w:t>元/批×1000批</w:t>
      </w:r>
      <w:r>
        <w:rPr>
          <w:rFonts w:hint="default" w:ascii="Times New Roman" w:hAnsi="Times New Roman" w:eastAsia="仿宋_GB2312" w:cs="Times New Roman"/>
          <w:color w:val="000000" w:themeColor="text1"/>
          <w:kern w:val="0"/>
          <w:sz w:val="32"/>
          <w:szCs w:val="32"/>
          <w:shd w:val="clear" w:color="auto" w:fill="auto"/>
          <w:lang w:eastAsia="zh-CN"/>
          <w14:textFill>
            <w14:solidFill>
              <w14:schemeClr w14:val="tx1"/>
            </w14:solidFill>
          </w14:textFill>
        </w:rPr>
        <w:t>，</w:t>
      </w:r>
      <w:r>
        <w:rPr>
          <w:rFonts w:hint="default" w:ascii="Times New Roman" w:hAnsi="Times New Roman" w:eastAsia="仿宋_GB2312" w:cs="Times New Roman"/>
          <w:color w:val="000000" w:themeColor="text1"/>
          <w:kern w:val="0"/>
          <w:sz w:val="32"/>
          <w:szCs w:val="32"/>
          <w:shd w:val="clear" w:color="auto" w:fill="auto"/>
          <w:lang w:val="en-US" w:eastAsia="zh-CN"/>
          <w14:textFill>
            <w14:solidFill>
              <w14:schemeClr w14:val="tx1"/>
            </w14:solidFill>
          </w14:textFill>
        </w:rPr>
        <w:t>合</w:t>
      </w:r>
      <w:r>
        <w:rPr>
          <w:rFonts w:hint="default" w:ascii="Times New Roman" w:hAnsi="Times New Roman" w:eastAsia="仿宋_GB2312" w:cs="Times New Roman"/>
          <w:color w:val="000000" w:themeColor="text1"/>
          <w:kern w:val="0"/>
          <w:sz w:val="32"/>
          <w:szCs w:val="32"/>
          <w:shd w:val="clear" w:color="auto" w:fill="auto"/>
          <w14:textFill>
            <w14:solidFill>
              <w14:schemeClr w14:val="tx1"/>
            </w14:solidFill>
          </w14:textFill>
        </w:rPr>
        <w:t>计</w:t>
      </w:r>
      <w:r>
        <w:rPr>
          <w:rFonts w:hint="default" w:ascii="Times New Roman" w:hAnsi="Times New Roman" w:eastAsia="仿宋_GB2312" w:cs="Times New Roman"/>
          <w:color w:val="000000" w:themeColor="text1"/>
          <w:kern w:val="0"/>
          <w:sz w:val="32"/>
          <w:szCs w:val="32"/>
          <w:shd w:val="clear" w:color="auto" w:fill="auto"/>
          <w:lang w:val="en-US" w:eastAsia="zh-CN"/>
          <w14:textFill>
            <w14:solidFill>
              <w14:schemeClr w14:val="tx1"/>
            </w14:solidFill>
          </w14:textFill>
        </w:rPr>
        <w:t>30</w:t>
      </w:r>
      <w:r>
        <w:rPr>
          <w:rFonts w:hint="default" w:ascii="Times New Roman" w:hAnsi="Times New Roman" w:eastAsia="仿宋_GB2312" w:cs="Times New Roman"/>
          <w:color w:val="000000" w:themeColor="text1"/>
          <w:kern w:val="0"/>
          <w:sz w:val="32"/>
          <w:szCs w:val="32"/>
          <w:shd w:val="clear" w:color="auto" w:fill="auto"/>
          <w14:textFill>
            <w14:solidFill>
              <w14:schemeClr w14:val="tx1"/>
            </w14:solidFill>
          </w14:textFill>
        </w:rPr>
        <w:t>万元</w:t>
      </w:r>
      <w:r>
        <w:rPr>
          <w:rFonts w:hint="default" w:ascii="Times New Roman" w:hAnsi="Times New Roman" w:eastAsia="仿宋_GB2312" w:cs="Times New Roman"/>
          <w:color w:val="000000" w:themeColor="text1"/>
          <w:kern w:val="0"/>
          <w:sz w:val="32"/>
          <w:szCs w:val="32"/>
          <w:shd w:val="clear" w:color="auto" w:fill="auto"/>
          <w:lang w:eastAsia="zh-CN"/>
          <w14:textFill>
            <w14:solidFill>
              <w14:schemeClr w14:val="tx1"/>
            </w14:solidFill>
          </w14:textFill>
        </w:rPr>
        <w:t>；</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color w:val="000000" w:themeColor="text1"/>
          <w:kern w:val="0"/>
          <w:sz w:val="32"/>
          <w:szCs w:val="32"/>
          <w:shd w:val="clear" w:color="auto" w:fill="auto"/>
          <w:lang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shd w:val="clear" w:color="auto" w:fill="auto"/>
          <w14:textFill>
            <w14:solidFill>
              <w14:schemeClr w14:val="tx1"/>
            </w14:solidFill>
          </w14:textFill>
        </w:rPr>
        <w:t>3、设备消耗</w:t>
      </w:r>
      <w:r>
        <w:rPr>
          <w:rFonts w:hint="default" w:ascii="Times New Roman" w:hAnsi="Times New Roman" w:eastAsia="仿宋_GB2312" w:cs="Times New Roman"/>
          <w:color w:val="000000" w:themeColor="text1"/>
          <w:kern w:val="0"/>
          <w:sz w:val="32"/>
          <w:szCs w:val="32"/>
          <w:shd w:val="clear" w:color="auto" w:fill="auto"/>
          <w:lang w:eastAsia="zh-CN"/>
          <w14:textFill>
            <w14:solidFill>
              <w14:schemeClr w14:val="tx1"/>
            </w14:solidFill>
          </w14:textFill>
        </w:rPr>
        <w:t>及</w:t>
      </w:r>
      <w:r>
        <w:rPr>
          <w:rFonts w:hint="default" w:ascii="Times New Roman" w:hAnsi="Times New Roman" w:eastAsia="仿宋_GB2312" w:cs="Times New Roman"/>
          <w:color w:val="000000" w:themeColor="text1"/>
          <w:kern w:val="0"/>
          <w:sz w:val="32"/>
          <w:szCs w:val="32"/>
          <w:shd w:val="clear" w:color="auto" w:fill="auto"/>
          <w14:textFill>
            <w14:solidFill>
              <w14:schemeClr w14:val="tx1"/>
            </w14:solidFill>
          </w14:textFill>
        </w:rPr>
        <w:t>实验用易耗品（记录、报告用纸、墨盒、移液器、过滤器等）</w:t>
      </w:r>
      <w:r>
        <w:rPr>
          <w:rFonts w:hint="default" w:ascii="Times New Roman" w:hAnsi="Times New Roman" w:eastAsia="仿宋_GB2312" w:cs="Times New Roman"/>
          <w:color w:val="000000" w:themeColor="text1"/>
          <w:kern w:val="0"/>
          <w:sz w:val="32"/>
          <w:szCs w:val="32"/>
          <w:shd w:val="clear" w:color="auto" w:fill="auto"/>
          <w:lang w:val="en-US" w:eastAsia="zh-CN"/>
          <w14:textFill>
            <w14:solidFill>
              <w14:schemeClr w14:val="tx1"/>
            </w14:solidFill>
          </w14:textFill>
        </w:rPr>
        <w:t>22</w:t>
      </w:r>
      <w:r>
        <w:rPr>
          <w:rFonts w:hint="default" w:ascii="Times New Roman" w:hAnsi="Times New Roman" w:eastAsia="仿宋_GB2312" w:cs="Times New Roman"/>
          <w:color w:val="000000" w:themeColor="text1"/>
          <w:kern w:val="0"/>
          <w:sz w:val="32"/>
          <w:szCs w:val="32"/>
          <w:shd w:val="clear" w:color="auto" w:fill="auto"/>
          <w14:textFill>
            <w14:solidFill>
              <w14:schemeClr w14:val="tx1"/>
            </w14:solidFill>
          </w14:textFill>
        </w:rPr>
        <w:t>0元/批×1000批次，合计</w:t>
      </w:r>
      <w:r>
        <w:rPr>
          <w:rFonts w:hint="default" w:ascii="Times New Roman" w:hAnsi="Times New Roman" w:eastAsia="仿宋_GB2312" w:cs="Times New Roman"/>
          <w:color w:val="000000" w:themeColor="text1"/>
          <w:kern w:val="0"/>
          <w:sz w:val="32"/>
          <w:szCs w:val="32"/>
          <w:shd w:val="clear" w:color="auto" w:fill="auto"/>
          <w:lang w:val="en-US" w:eastAsia="zh-CN"/>
          <w14:textFill>
            <w14:solidFill>
              <w14:schemeClr w14:val="tx1"/>
            </w14:solidFill>
          </w14:textFill>
        </w:rPr>
        <w:t>22</w:t>
      </w:r>
      <w:r>
        <w:rPr>
          <w:rFonts w:hint="default" w:ascii="Times New Roman" w:hAnsi="Times New Roman" w:eastAsia="仿宋_GB2312" w:cs="Times New Roman"/>
          <w:color w:val="000000" w:themeColor="text1"/>
          <w:kern w:val="0"/>
          <w:sz w:val="32"/>
          <w:szCs w:val="32"/>
          <w:shd w:val="clear" w:color="auto" w:fill="auto"/>
          <w14:textFill>
            <w14:solidFill>
              <w14:schemeClr w14:val="tx1"/>
            </w14:solidFill>
          </w14:textFill>
        </w:rPr>
        <w:t>万元</w:t>
      </w:r>
      <w:r>
        <w:rPr>
          <w:rFonts w:hint="default" w:ascii="Times New Roman" w:hAnsi="Times New Roman" w:eastAsia="仿宋_GB2312" w:cs="Times New Roman"/>
          <w:color w:val="000000" w:themeColor="text1"/>
          <w:kern w:val="0"/>
          <w:sz w:val="32"/>
          <w:szCs w:val="32"/>
          <w:shd w:val="clear" w:color="auto" w:fill="auto"/>
          <w:lang w:eastAsia="zh-CN"/>
          <w14:textFill>
            <w14:solidFill>
              <w14:schemeClr w14:val="tx1"/>
            </w14:solidFill>
          </w14:textFill>
        </w:rPr>
        <w:t>；</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4</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、购置实验室</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仪器</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设备</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19.1</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万（全自动均质仪</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9.8万、球磨机8.8万、真空泵0.5万</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5</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、实验室维修</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改造等</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12</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万元</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u w:val="none"/>
          <w:shd w:val="clear" w:color="auto" w:fill="auto"/>
          <w:lang w:eastAsia="zh-CN"/>
          <w14:textFill>
            <w14:solidFill>
              <w14:schemeClr w14:val="tx1"/>
            </w14:solidFill>
          </w14:textFill>
        </w:rPr>
      </w:pPr>
      <w:r>
        <w:rPr>
          <w:rFonts w:hint="default" w:ascii="Times New Roman" w:hAnsi="Times New Roman" w:eastAsia="仿宋_GB2312" w:cs="Times New Roman"/>
          <w:color w:val="000000" w:themeColor="text1"/>
          <w:sz w:val="32"/>
          <w:szCs w:val="32"/>
          <w:u w:val="none"/>
          <w:shd w:val="clear" w:color="auto" w:fill="auto"/>
          <w:lang w:val="en-US" w:eastAsia="zh-CN"/>
          <w14:textFill>
            <w14:solidFill>
              <w14:schemeClr w14:val="tx1"/>
            </w14:solidFill>
          </w14:textFill>
        </w:rPr>
        <w:t>6、</w:t>
      </w:r>
      <w:r>
        <w:rPr>
          <w:rFonts w:hint="default" w:ascii="Times New Roman" w:hAnsi="Times New Roman" w:eastAsia="仿宋_GB2312" w:cs="Times New Roman"/>
          <w:color w:val="000000" w:themeColor="text1"/>
          <w:sz w:val="32"/>
          <w:szCs w:val="32"/>
          <w:u w:val="none"/>
          <w:shd w:val="clear" w:color="auto" w:fill="auto"/>
          <w14:textFill>
            <w14:solidFill>
              <w14:schemeClr w14:val="tx1"/>
            </w14:solidFill>
          </w14:textFill>
        </w:rPr>
        <w:t>实验室废液</w:t>
      </w:r>
      <w:r>
        <w:rPr>
          <w:rFonts w:hint="default" w:ascii="Times New Roman" w:hAnsi="Times New Roman" w:eastAsia="仿宋_GB2312" w:cs="Times New Roman"/>
          <w:color w:val="000000" w:themeColor="text1"/>
          <w:sz w:val="32"/>
          <w:szCs w:val="32"/>
          <w:u w:val="none"/>
          <w:shd w:val="clear" w:color="auto" w:fill="auto"/>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u w:val="none"/>
          <w:shd w:val="clear" w:color="auto" w:fill="auto"/>
          <w14:textFill>
            <w14:solidFill>
              <w14:schemeClr w14:val="tx1"/>
            </w14:solidFill>
          </w14:textFill>
        </w:rPr>
        <w:t>废气装置维护</w:t>
      </w:r>
      <w:r>
        <w:rPr>
          <w:rFonts w:hint="default" w:ascii="Times New Roman" w:hAnsi="Times New Roman" w:eastAsia="仿宋_GB2312" w:cs="Times New Roman"/>
          <w:color w:val="000000" w:themeColor="text1"/>
          <w:sz w:val="32"/>
          <w:szCs w:val="32"/>
          <w:u w:val="none"/>
          <w:shd w:val="clear" w:color="auto" w:fill="auto"/>
          <w:lang w:eastAsia="zh-CN"/>
          <w14:textFill>
            <w14:solidFill>
              <w14:schemeClr w14:val="tx1"/>
            </w14:solidFill>
          </w14:textFill>
        </w:rPr>
        <w:t>保养</w:t>
      </w:r>
      <w:r>
        <w:rPr>
          <w:rFonts w:hint="default" w:ascii="Times New Roman" w:hAnsi="Times New Roman" w:eastAsia="仿宋_GB2312" w:cs="Times New Roman"/>
          <w:color w:val="000000" w:themeColor="text1"/>
          <w:sz w:val="32"/>
          <w:szCs w:val="32"/>
          <w:u w:val="none"/>
          <w:shd w:val="clear" w:color="auto" w:fill="auto"/>
          <w14:textFill>
            <w14:solidFill>
              <w14:schemeClr w14:val="tx1"/>
            </w14:solidFill>
          </w14:textFill>
        </w:rPr>
        <w:t>14.8万</w:t>
      </w:r>
      <w:r>
        <w:rPr>
          <w:rFonts w:hint="default" w:ascii="Times New Roman" w:hAnsi="Times New Roman" w:eastAsia="仿宋_GB2312" w:cs="Times New Roman"/>
          <w:color w:val="000000" w:themeColor="text1"/>
          <w:sz w:val="32"/>
          <w:szCs w:val="32"/>
          <w:u w:val="none"/>
          <w:shd w:val="clear" w:color="auto" w:fill="auto"/>
          <w:lang w:eastAsia="zh-CN"/>
          <w14:textFill>
            <w14:solidFill>
              <w14:schemeClr w14:val="tx1"/>
            </w14:solidFill>
          </w14:textFill>
        </w:rPr>
        <w:t>。</w:t>
      </w:r>
    </w:p>
    <w:p>
      <w:pPr>
        <w:pStyle w:val="18"/>
        <w:keepNext w:val="0"/>
        <w:keepLines w:val="0"/>
        <w:pageBreakBefore w:val="0"/>
        <w:kinsoku/>
        <w:wordWrap/>
        <w:overflowPunct/>
        <w:topLinePunct w:val="0"/>
        <w:bidi w:val="0"/>
        <w:snapToGrid/>
        <w:spacing w:before="0" w:after="0" w:line="560" w:lineRule="exact"/>
        <w:ind w:firstLine="640" w:firstLineChars="200"/>
        <w:jc w:val="both"/>
        <w:textAlignment w:val="auto"/>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lang w:eastAsia="zh-CN"/>
        </w:rPr>
        <w:t>（</w:t>
      </w:r>
      <w:r>
        <w:rPr>
          <w:rFonts w:hint="default" w:ascii="Times New Roman" w:hAnsi="Times New Roman" w:eastAsia="仿宋_GB2312" w:cs="Times New Roman"/>
          <w:b w:val="0"/>
          <w:bCs w:val="0"/>
          <w:kern w:val="2"/>
        </w:rPr>
        <w:t>二</w:t>
      </w:r>
      <w:r>
        <w:rPr>
          <w:rFonts w:hint="default" w:ascii="Times New Roman" w:hAnsi="Times New Roman" w:eastAsia="仿宋_GB2312" w:cs="Times New Roman"/>
          <w:b w:val="0"/>
          <w:bCs w:val="0"/>
          <w:kern w:val="2"/>
          <w:lang w:eastAsia="zh-CN"/>
        </w:rPr>
        <w:t>）</w:t>
      </w:r>
      <w:r>
        <w:rPr>
          <w:rFonts w:hint="default" w:ascii="Times New Roman" w:hAnsi="Times New Roman" w:eastAsia="仿宋_GB2312" w:cs="Times New Roman"/>
          <w:b w:val="0"/>
          <w:bCs w:val="0"/>
          <w:kern w:val="2"/>
        </w:rPr>
        <w:t>兽药监督</w:t>
      </w:r>
      <w:r>
        <w:rPr>
          <w:rFonts w:hint="default" w:ascii="Times New Roman" w:hAnsi="Times New Roman" w:eastAsia="仿宋_GB2312" w:cs="Times New Roman"/>
          <w:b w:val="0"/>
          <w:bCs w:val="0"/>
          <w:kern w:val="2"/>
          <w:lang w:val="en-US" w:eastAsia="zh-CN"/>
        </w:rPr>
        <w:t>抽检6</w:t>
      </w:r>
      <w:r>
        <w:rPr>
          <w:rFonts w:hint="default" w:ascii="Times New Roman" w:hAnsi="Times New Roman" w:eastAsia="仿宋_GB2312" w:cs="Times New Roman"/>
          <w:b w:val="0"/>
          <w:bCs w:val="0"/>
          <w:kern w:val="2"/>
        </w:rPr>
        <w:t>00批、风险监测</w:t>
      </w:r>
      <w:r>
        <w:rPr>
          <w:rFonts w:hint="default" w:ascii="Times New Roman" w:hAnsi="Times New Roman" w:eastAsia="仿宋_GB2312" w:cs="Times New Roman"/>
          <w:b w:val="0"/>
          <w:bCs w:val="0"/>
          <w:kern w:val="2"/>
          <w:lang w:val="en-US" w:eastAsia="zh-CN"/>
        </w:rPr>
        <w:t>2</w:t>
      </w:r>
      <w:r>
        <w:rPr>
          <w:rFonts w:hint="default" w:ascii="Times New Roman" w:hAnsi="Times New Roman" w:eastAsia="仿宋_GB2312" w:cs="Times New Roman"/>
          <w:b w:val="0"/>
          <w:bCs w:val="0"/>
          <w:kern w:val="2"/>
        </w:rPr>
        <w:t>00批及兽药残留监</w:t>
      </w:r>
      <w:r>
        <w:rPr>
          <w:rFonts w:hint="default" w:ascii="Times New Roman" w:hAnsi="Times New Roman" w:eastAsia="仿宋_GB2312" w:cs="Times New Roman"/>
          <w:b w:val="0"/>
          <w:bCs w:val="0"/>
          <w:kern w:val="2"/>
          <w:lang w:val="en-US" w:eastAsia="zh-CN"/>
        </w:rPr>
        <w:t>测4</w:t>
      </w:r>
      <w:r>
        <w:rPr>
          <w:rFonts w:hint="default" w:ascii="Times New Roman" w:hAnsi="Times New Roman" w:eastAsia="仿宋_GB2312" w:cs="Times New Roman"/>
          <w:b w:val="0"/>
          <w:bCs w:val="0"/>
          <w:kern w:val="2"/>
        </w:rPr>
        <w:t>00批</w:t>
      </w:r>
      <w:r>
        <w:rPr>
          <w:rFonts w:hint="default" w:ascii="Times New Roman" w:hAnsi="Times New Roman" w:eastAsia="仿宋_GB2312" w:cs="Times New Roman"/>
          <w:b w:val="0"/>
          <w:bCs w:val="0"/>
          <w:kern w:val="2"/>
          <w:lang w:eastAsia="zh-CN"/>
        </w:rPr>
        <w:t>，</w:t>
      </w:r>
      <w:r>
        <w:rPr>
          <w:rFonts w:hint="default" w:ascii="Times New Roman" w:hAnsi="Times New Roman" w:eastAsia="仿宋_GB2312" w:cs="Times New Roman"/>
          <w:b w:val="0"/>
          <w:bCs w:val="0"/>
          <w:kern w:val="2"/>
        </w:rPr>
        <w:t>共计</w:t>
      </w:r>
      <w:r>
        <w:rPr>
          <w:rFonts w:hint="default" w:ascii="Times New Roman" w:hAnsi="Times New Roman" w:eastAsia="仿宋_GB2312" w:cs="Times New Roman"/>
          <w:b w:val="0"/>
          <w:bCs w:val="0"/>
          <w:kern w:val="2"/>
          <w:lang w:val="en-US" w:eastAsia="zh-CN"/>
        </w:rPr>
        <w:t>99.6</w:t>
      </w:r>
      <w:r>
        <w:rPr>
          <w:rFonts w:hint="default" w:ascii="Times New Roman" w:hAnsi="Times New Roman" w:eastAsia="仿宋_GB2312" w:cs="Times New Roman"/>
          <w:b w:val="0"/>
          <w:bCs w:val="0"/>
          <w:kern w:val="2"/>
        </w:rPr>
        <w:t>万元</w:t>
      </w:r>
      <w:r>
        <w:rPr>
          <w:rFonts w:hint="default" w:ascii="Times New Roman" w:hAnsi="Times New Roman" w:eastAsia="仿宋_GB2312" w:cs="Times New Roman"/>
          <w:b w:val="0"/>
          <w:bCs w:val="0"/>
          <w:kern w:val="2"/>
          <w:lang w:eastAsia="zh-CN"/>
        </w:rPr>
        <w:t>。</w:t>
      </w:r>
      <w:r>
        <w:rPr>
          <w:rFonts w:hint="default" w:ascii="Times New Roman" w:hAnsi="Times New Roman" w:eastAsia="仿宋_GB2312" w:cs="Times New Roman"/>
          <w:b w:val="0"/>
          <w:bCs w:val="0"/>
          <w:kern w:val="2"/>
        </w:rPr>
        <w:tab/>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1、抽样费280元/批×</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120</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0批次（样品费170元/批次、车辆及交通费70元/批次、抽样40元/批次），合计</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33.6</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万元</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2、消耗试剂（基准试剂/标准对照品</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甲醇、乙醇、高氯酸、分析小柱等）2</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25</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元/批×</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12</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00批，合计</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27</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万元</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3、设备消耗</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及</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实验用易耗品（记录、报告用纸、墨盒、移液器、过滤器等）</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210</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元/批×</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12</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00批次，合计</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25.2</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万元</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4</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、购置智能高温冷凝回流提取仪</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2.3万</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5、购置实验室辅助设备5.5万（电脑、冰箱、空调等）；</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b w:val="0"/>
          <w:bCs w:val="0"/>
          <w:kern w:val="2"/>
        </w:rPr>
      </w:pP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6、</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实验室制水机维护保养6万</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w:t>
      </w:r>
      <w:r>
        <w:rPr>
          <w:rFonts w:hint="default" w:ascii="Times New Roman" w:hAnsi="Times New Roman" w:eastAsia="仿宋_GB2312" w:cs="Times New Roman"/>
          <w:b w:val="0"/>
          <w:bCs w:val="0"/>
          <w:kern w:val="2"/>
        </w:rPr>
        <w:t xml:space="preserve"> </w:t>
      </w:r>
    </w:p>
    <w:p>
      <w:pPr>
        <w:pStyle w:val="18"/>
        <w:keepNext w:val="0"/>
        <w:keepLines w:val="0"/>
        <w:pageBreakBefore w:val="0"/>
        <w:kinsoku/>
        <w:wordWrap/>
        <w:overflowPunct/>
        <w:topLinePunct w:val="0"/>
        <w:bidi w:val="0"/>
        <w:snapToGrid/>
        <w:spacing w:before="0" w:after="0" w:line="560" w:lineRule="exact"/>
        <w:ind w:firstLine="640" w:firstLineChars="200"/>
        <w:jc w:val="both"/>
        <w:textAlignment w:val="auto"/>
        <w:rPr>
          <w:rFonts w:hint="default" w:ascii="Times New Roman" w:hAnsi="Times New Roman" w:eastAsia="仿宋_GB2312" w:cs="Times New Roman"/>
          <w:b w:val="0"/>
          <w:bCs w:val="0"/>
          <w:kern w:val="2"/>
          <w:lang w:val="en-US" w:eastAsia="zh-CN"/>
        </w:rPr>
      </w:pPr>
      <w:r>
        <w:rPr>
          <w:rFonts w:hint="default" w:ascii="Times New Roman" w:hAnsi="Times New Roman" w:eastAsia="仿宋_GB2312" w:cs="Times New Roman"/>
          <w:b w:val="0"/>
          <w:bCs w:val="0"/>
          <w:kern w:val="2"/>
        </w:rPr>
        <w:t>（三）动物源细菌耐药性</w:t>
      </w:r>
      <w:r>
        <w:rPr>
          <w:rFonts w:hint="default" w:ascii="Times New Roman" w:hAnsi="Times New Roman" w:eastAsia="仿宋_GB2312" w:cs="Times New Roman"/>
          <w:b w:val="0"/>
          <w:bCs w:val="0"/>
          <w:kern w:val="2"/>
          <w:lang w:val="en-US" w:eastAsia="zh-CN"/>
        </w:rPr>
        <w:t>2</w:t>
      </w:r>
      <w:r>
        <w:rPr>
          <w:rFonts w:hint="default" w:ascii="Times New Roman" w:hAnsi="Times New Roman" w:eastAsia="仿宋_GB2312" w:cs="Times New Roman"/>
          <w:b w:val="0"/>
          <w:bCs w:val="0"/>
          <w:kern w:val="2"/>
        </w:rPr>
        <w:t>00批，共计</w:t>
      </w:r>
      <w:r>
        <w:rPr>
          <w:rFonts w:hint="default" w:ascii="Times New Roman" w:hAnsi="Times New Roman" w:eastAsia="仿宋_GB2312" w:cs="Times New Roman"/>
          <w:b w:val="0"/>
          <w:bCs w:val="0"/>
          <w:kern w:val="2"/>
          <w:lang w:val="en-US" w:eastAsia="zh-CN"/>
        </w:rPr>
        <w:t>27.8</w:t>
      </w:r>
      <w:r>
        <w:rPr>
          <w:rFonts w:hint="default" w:ascii="Times New Roman" w:hAnsi="Times New Roman" w:eastAsia="仿宋_GB2312" w:cs="Times New Roman"/>
          <w:b w:val="0"/>
          <w:bCs w:val="0"/>
          <w:kern w:val="2"/>
        </w:rPr>
        <w:t>万</w:t>
      </w:r>
      <w:r>
        <w:rPr>
          <w:rFonts w:hint="default" w:ascii="Times New Roman" w:hAnsi="Times New Roman" w:eastAsia="仿宋_GB2312" w:cs="Times New Roman"/>
          <w:b w:val="0"/>
          <w:bCs w:val="0"/>
          <w:kern w:val="2"/>
          <w:lang w:eastAsia="zh-CN"/>
        </w:rPr>
        <w:t>元。</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1、抽样费120元/批×</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2</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00批次（车辆及交通费70元/批次、抽样50元/批次）</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合计</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2.4</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万元</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2、实验用易耗品（培养基、接种环、鉴定卡、保存管、血平板）800元/批×</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2</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00批，合计</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16</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万元</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3、设备消耗</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及</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实验用易耗品（记录、报告用纸、墨盒等）</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8</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0元/批×</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2</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00批次，合计</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1.6</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万元</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4</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、购置培养箱</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7.8</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万元</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w:t>
      </w:r>
    </w:p>
    <w:p>
      <w:pPr>
        <w:pStyle w:val="18"/>
        <w:keepNext w:val="0"/>
        <w:keepLines w:val="0"/>
        <w:pageBreakBefore w:val="0"/>
        <w:kinsoku/>
        <w:wordWrap/>
        <w:overflowPunct/>
        <w:topLinePunct w:val="0"/>
        <w:bidi w:val="0"/>
        <w:snapToGrid/>
        <w:spacing w:before="0" w:after="0" w:line="560" w:lineRule="exact"/>
        <w:ind w:firstLine="640" w:firstLineChars="200"/>
        <w:jc w:val="both"/>
        <w:textAlignment w:val="auto"/>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（四）饲料/饲料添加剂品质安全监督检验</w:t>
      </w:r>
      <w:r>
        <w:rPr>
          <w:rFonts w:hint="default" w:ascii="Times New Roman" w:hAnsi="Times New Roman" w:eastAsia="仿宋_GB2312" w:cs="Times New Roman"/>
          <w:b w:val="0"/>
          <w:bCs w:val="0"/>
          <w:kern w:val="2"/>
          <w:lang w:val="en-US" w:eastAsia="zh-CN"/>
        </w:rPr>
        <w:t>4</w:t>
      </w:r>
      <w:r>
        <w:rPr>
          <w:rFonts w:hint="default" w:ascii="Times New Roman" w:hAnsi="Times New Roman" w:eastAsia="仿宋_GB2312" w:cs="Times New Roman"/>
          <w:b w:val="0"/>
          <w:bCs w:val="0"/>
          <w:kern w:val="2"/>
        </w:rPr>
        <w:t>00批次，共计</w:t>
      </w:r>
      <w:r>
        <w:rPr>
          <w:rFonts w:hint="default" w:ascii="Times New Roman" w:hAnsi="Times New Roman" w:eastAsia="仿宋_GB2312" w:cs="Times New Roman"/>
          <w:b w:val="0"/>
          <w:bCs w:val="0"/>
          <w:kern w:val="2"/>
          <w:lang w:val="en-US" w:eastAsia="zh-CN"/>
        </w:rPr>
        <w:t>45.5</w:t>
      </w:r>
      <w:r>
        <w:rPr>
          <w:rFonts w:hint="default" w:ascii="Times New Roman" w:hAnsi="Times New Roman" w:eastAsia="仿宋_GB2312" w:cs="Times New Roman"/>
          <w:b w:val="0"/>
          <w:bCs w:val="0"/>
          <w:kern w:val="2"/>
        </w:rPr>
        <w:t>万元</w:t>
      </w:r>
      <w:r>
        <w:rPr>
          <w:rFonts w:hint="default" w:ascii="Times New Roman" w:hAnsi="Times New Roman" w:eastAsia="仿宋_GB2312" w:cs="Times New Roman"/>
          <w:b w:val="0"/>
          <w:bCs w:val="0"/>
          <w:kern w:val="2"/>
          <w:lang w:eastAsia="zh-CN"/>
        </w:rPr>
        <w:t>。</w:t>
      </w:r>
      <w:r>
        <w:rPr>
          <w:rFonts w:hint="default" w:ascii="Times New Roman" w:hAnsi="Times New Roman" w:eastAsia="仿宋_GB2312" w:cs="Times New Roman"/>
          <w:b w:val="0"/>
          <w:bCs w:val="0"/>
          <w:kern w:val="2"/>
        </w:rPr>
        <w:tab/>
      </w:r>
      <w:r>
        <w:rPr>
          <w:rFonts w:hint="default" w:ascii="Times New Roman" w:hAnsi="Times New Roman" w:eastAsia="仿宋_GB2312" w:cs="Times New Roman"/>
          <w:b w:val="0"/>
          <w:bCs w:val="0"/>
          <w:kern w:val="2"/>
        </w:rPr>
        <w:tab/>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1、抽样费100元/批×</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4</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00批次（车辆及交通费70元/批次、抽样30元/批次），合计</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4</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万元</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2、消耗试剂（基准试剂/标准对照品</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甲醇、乙醇、高氯酸、分析小柱等）</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225</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元/批×</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4</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00批次，合计</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9</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万元</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3、设备消耗</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及</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实验用易耗品（记录、报告用纸、墨盒、移液器、过滤器等）1</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30</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元/批×</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4</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00批次，合计</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5.2</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万元</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4、</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购置实验室</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仪器</w:t>
      </w:r>
      <w:r>
        <w:rPr>
          <w:rFonts w:hint="default" w:ascii="Times New Roman" w:hAnsi="Times New Roman" w:eastAsia="仿宋_GB2312" w:cs="Times New Roman"/>
          <w:color w:val="000000" w:themeColor="text1"/>
          <w:kern w:val="0"/>
          <w:sz w:val="32"/>
          <w:szCs w:val="32"/>
          <w:u w:val="none"/>
          <w:shd w:val="clear" w:color="auto" w:fill="auto"/>
          <w14:textFill>
            <w14:solidFill>
              <w14:schemeClr w14:val="tx1"/>
            </w14:solidFill>
          </w14:textFill>
        </w:rPr>
        <w:t>设备</w:t>
      </w: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17.3万元（24位氮吹仪6.5万元、振荡器2台共1.8万、全自动回流装置9万）；</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b w:val="0"/>
          <w:bCs w:val="0"/>
          <w:kern w:val="2"/>
        </w:rPr>
      </w:pPr>
      <w:r>
        <w:rPr>
          <w:rFonts w:hint="default" w:ascii="Times New Roman" w:hAnsi="Times New Roman" w:eastAsia="仿宋_GB2312" w:cs="Times New Roman"/>
          <w:color w:val="000000" w:themeColor="text1"/>
          <w:kern w:val="0"/>
          <w:sz w:val="32"/>
          <w:szCs w:val="32"/>
          <w:u w:val="none"/>
          <w:shd w:val="clear" w:color="auto" w:fill="auto"/>
          <w:lang w:val="en-US" w:eastAsia="zh-CN"/>
          <w14:textFill>
            <w14:solidFill>
              <w14:schemeClr w14:val="tx1"/>
            </w14:solidFill>
          </w14:textFill>
        </w:rPr>
        <w:t>5、</w:t>
      </w:r>
      <w:r>
        <w:rPr>
          <w:rFonts w:hint="default" w:ascii="Times New Roman" w:hAnsi="Times New Roman" w:eastAsia="仿宋_GB2312" w:cs="Times New Roman"/>
          <w:color w:val="000000" w:themeColor="text1"/>
          <w:kern w:val="0"/>
          <w:sz w:val="32"/>
          <w:szCs w:val="32"/>
          <w:u w:val="none"/>
          <w:shd w:val="clear" w:color="auto" w:fill="auto"/>
          <w:lang w:eastAsia="zh-CN"/>
          <w14:textFill>
            <w14:solidFill>
              <w14:schemeClr w14:val="tx1"/>
            </w14:solidFill>
          </w14:textFill>
        </w:rPr>
        <w:t>实验室运转10万。</w:t>
      </w:r>
      <w:r>
        <w:rPr>
          <w:rFonts w:hint="default" w:ascii="Times New Roman" w:hAnsi="Times New Roman" w:eastAsia="仿宋_GB2312" w:cs="Times New Roman"/>
          <w:b w:val="0"/>
          <w:bCs w:val="0"/>
          <w:kern w:val="2"/>
        </w:rPr>
        <w:tab/>
      </w:r>
    </w:p>
    <w:p>
      <w:pPr>
        <w:keepNext w:val="0"/>
        <w:keepLines w:val="0"/>
        <w:pageBreakBefore w:val="0"/>
        <w:numPr>
          <w:ilvl w:val="0"/>
          <w:numId w:val="0"/>
        </w:num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b w:val="0"/>
          <w:bCs w:val="0"/>
          <w:color w:val="000000"/>
          <w:kern w:val="0"/>
          <w:sz w:val="32"/>
          <w:szCs w:val="32"/>
          <w:shd w:val="clear" w:color="auto" w:fill="auto"/>
          <w:lang w:eastAsia="zh-CN"/>
        </w:rPr>
      </w:pPr>
      <w:r>
        <w:rPr>
          <w:rFonts w:hint="default" w:ascii="Times New Roman" w:hAnsi="Times New Roman" w:eastAsia="仿宋_GB2312" w:cs="Times New Roman"/>
          <w:b w:val="0"/>
          <w:bCs w:val="0"/>
          <w:color w:val="000000"/>
          <w:kern w:val="0"/>
          <w:sz w:val="32"/>
          <w:szCs w:val="32"/>
          <w:shd w:val="clear" w:color="auto" w:fill="auto"/>
          <w:lang w:eastAsia="zh-CN"/>
        </w:rPr>
        <w:t>（五）</w:t>
      </w:r>
      <w:r>
        <w:rPr>
          <w:rFonts w:hint="default" w:ascii="Times New Roman" w:hAnsi="Times New Roman" w:eastAsia="仿宋_GB2312" w:cs="Times New Roman"/>
          <w:b w:val="0"/>
          <w:bCs w:val="0"/>
          <w:color w:val="000000"/>
          <w:kern w:val="0"/>
          <w:sz w:val="32"/>
          <w:szCs w:val="32"/>
          <w:shd w:val="clear" w:color="auto" w:fill="auto"/>
        </w:rPr>
        <w:t>兽药二维码现场检查、兽药GMP兽药企业的现场核查、兽药批准文号的报批、兽药生物制品批签发检查</w:t>
      </w:r>
      <w:r>
        <w:rPr>
          <w:rFonts w:hint="default" w:ascii="Times New Roman" w:hAnsi="Times New Roman" w:eastAsia="仿宋_GB2312" w:cs="Times New Roman"/>
          <w:b w:val="0"/>
          <w:bCs w:val="0"/>
          <w:color w:val="000000"/>
          <w:kern w:val="0"/>
          <w:sz w:val="32"/>
          <w:szCs w:val="32"/>
          <w:shd w:val="clear" w:color="auto" w:fill="auto"/>
          <w:lang w:val="en-US" w:eastAsia="zh-CN"/>
        </w:rPr>
        <w:t>5.2</w:t>
      </w:r>
      <w:r>
        <w:rPr>
          <w:rFonts w:hint="default" w:ascii="Times New Roman" w:hAnsi="Times New Roman" w:eastAsia="仿宋_GB2312" w:cs="Times New Roman"/>
          <w:b w:val="0"/>
          <w:bCs w:val="0"/>
          <w:color w:val="000000"/>
          <w:kern w:val="0"/>
          <w:sz w:val="32"/>
          <w:szCs w:val="32"/>
          <w:shd w:val="clear" w:color="auto" w:fill="auto"/>
        </w:rPr>
        <w:t>万元</w:t>
      </w:r>
      <w:r>
        <w:rPr>
          <w:rFonts w:hint="default" w:ascii="Times New Roman" w:hAnsi="Times New Roman" w:eastAsia="仿宋_GB2312" w:cs="Times New Roman"/>
          <w:b w:val="0"/>
          <w:bCs w:val="0"/>
          <w:color w:val="000000"/>
          <w:kern w:val="0"/>
          <w:sz w:val="32"/>
          <w:szCs w:val="32"/>
          <w:shd w:val="clear" w:color="auto" w:fill="auto"/>
          <w:lang w:eastAsia="zh-CN"/>
        </w:rPr>
        <w:t>。</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b w:val="0"/>
          <w:bCs w:val="0"/>
          <w:color w:val="000000"/>
          <w:kern w:val="0"/>
          <w:sz w:val="32"/>
          <w:szCs w:val="32"/>
          <w:shd w:val="clear" w:color="auto" w:fill="auto"/>
          <w:lang w:eastAsia="zh-CN"/>
        </w:rPr>
      </w:pPr>
      <w:r>
        <w:rPr>
          <w:rFonts w:hint="default" w:ascii="Times New Roman" w:hAnsi="Times New Roman" w:eastAsia="仿宋_GB2312" w:cs="Times New Roman"/>
          <w:b w:val="0"/>
          <w:bCs w:val="0"/>
          <w:color w:val="000000"/>
          <w:kern w:val="0"/>
          <w:sz w:val="32"/>
          <w:szCs w:val="32"/>
          <w:shd w:val="clear" w:color="auto" w:fill="auto"/>
        </w:rPr>
        <w:t>（</w:t>
      </w:r>
      <w:r>
        <w:rPr>
          <w:rFonts w:hint="default" w:ascii="Times New Roman" w:hAnsi="Times New Roman" w:eastAsia="仿宋_GB2312" w:cs="Times New Roman"/>
          <w:b w:val="0"/>
          <w:bCs w:val="0"/>
          <w:color w:val="000000"/>
          <w:kern w:val="0"/>
          <w:sz w:val="32"/>
          <w:szCs w:val="32"/>
          <w:shd w:val="clear" w:color="auto" w:fill="auto"/>
          <w:lang w:eastAsia="zh-CN"/>
        </w:rPr>
        <w:t>六</w:t>
      </w:r>
      <w:r>
        <w:rPr>
          <w:rFonts w:hint="default" w:ascii="Times New Roman" w:hAnsi="Times New Roman" w:eastAsia="仿宋_GB2312" w:cs="Times New Roman"/>
          <w:b w:val="0"/>
          <w:bCs w:val="0"/>
          <w:color w:val="000000"/>
          <w:kern w:val="0"/>
          <w:sz w:val="32"/>
          <w:szCs w:val="32"/>
          <w:shd w:val="clear" w:color="auto" w:fill="auto"/>
        </w:rPr>
        <w:t>）实验室管理系统软件维护费</w:t>
      </w:r>
      <w:r>
        <w:rPr>
          <w:rFonts w:hint="default" w:ascii="Times New Roman" w:hAnsi="Times New Roman" w:eastAsia="仿宋_GB2312" w:cs="Times New Roman"/>
          <w:b w:val="0"/>
          <w:bCs w:val="0"/>
          <w:color w:val="000000"/>
          <w:kern w:val="0"/>
          <w:sz w:val="32"/>
          <w:szCs w:val="32"/>
          <w:shd w:val="clear" w:color="auto" w:fill="auto"/>
          <w:lang w:eastAsia="zh-CN"/>
        </w:rPr>
        <w:t>6</w:t>
      </w:r>
      <w:r>
        <w:rPr>
          <w:rFonts w:hint="default" w:ascii="Times New Roman" w:hAnsi="Times New Roman" w:eastAsia="仿宋_GB2312" w:cs="Times New Roman"/>
          <w:b w:val="0"/>
          <w:bCs w:val="0"/>
          <w:color w:val="000000"/>
          <w:kern w:val="0"/>
          <w:sz w:val="32"/>
          <w:szCs w:val="32"/>
          <w:shd w:val="clear" w:color="auto" w:fill="auto"/>
        </w:rPr>
        <w:t>万元</w:t>
      </w:r>
      <w:r>
        <w:rPr>
          <w:rFonts w:hint="default" w:ascii="Times New Roman" w:hAnsi="Times New Roman" w:eastAsia="仿宋_GB2312" w:cs="Times New Roman"/>
          <w:b w:val="0"/>
          <w:bCs w:val="0"/>
          <w:color w:val="000000"/>
          <w:kern w:val="0"/>
          <w:sz w:val="32"/>
          <w:szCs w:val="32"/>
          <w:shd w:val="clear" w:color="auto" w:fill="auto"/>
          <w:lang w:eastAsia="zh-CN"/>
        </w:rPr>
        <w:t>。</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kinsoku/>
        <w:wordWrap/>
        <w:overflowPunct/>
        <w:topLinePunct w:val="0"/>
        <w:autoSpaceDE w:val="0"/>
        <w:autoSpaceDN w:val="0"/>
        <w:bidi w:val="0"/>
        <w:adjustRightInd w:val="0"/>
        <w:snapToGrid/>
        <w:spacing w:line="560" w:lineRule="exact"/>
        <w:ind w:firstLine="640" w:firstLineChars="200"/>
        <w:textAlignment w:val="auto"/>
        <w:rPr>
          <w:rFonts w:hint="default" w:ascii="Times New Roman" w:hAnsi="Times New Roman" w:eastAsia="仿宋_GB2312" w:cs="Times New Roman"/>
          <w:b w:val="0"/>
          <w:bCs w:val="0"/>
          <w:color w:val="000000"/>
          <w:kern w:val="0"/>
          <w:sz w:val="32"/>
          <w:szCs w:val="32"/>
          <w:shd w:val="clear" w:color="auto" w:fill="auto"/>
          <w:lang w:eastAsia="zh-CN"/>
        </w:rPr>
      </w:pPr>
      <w:r>
        <w:rPr>
          <w:rFonts w:hint="default" w:ascii="Times New Roman" w:hAnsi="Times New Roman" w:eastAsia="仿宋_GB2312" w:cs="Times New Roman"/>
          <w:b w:val="0"/>
          <w:bCs w:val="0"/>
          <w:color w:val="000000"/>
          <w:kern w:val="0"/>
          <w:sz w:val="32"/>
          <w:szCs w:val="32"/>
          <w:shd w:val="clear" w:color="auto" w:fill="auto"/>
          <w:lang w:eastAsia="zh-CN"/>
        </w:rPr>
        <w:t>（七）</w:t>
      </w:r>
      <w:r>
        <w:rPr>
          <w:rFonts w:hint="default" w:ascii="Times New Roman" w:hAnsi="Times New Roman" w:eastAsia="仿宋_GB2312" w:cs="Times New Roman"/>
          <w:b w:val="0"/>
          <w:bCs w:val="0"/>
          <w:color w:val="000000"/>
          <w:kern w:val="0"/>
          <w:sz w:val="32"/>
          <w:szCs w:val="32"/>
          <w:shd w:val="clear" w:color="auto" w:fill="auto"/>
        </w:rPr>
        <w:t>仪器设备计量检定15万</w:t>
      </w:r>
      <w:r>
        <w:rPr>
          <w:rFonts w:hint="default" w:ascii="Times New Roman" w:hAnsi="Times New Roman" w:eastAsia="仿宋_GB2312" w:cs="Times New Roman"/>
          <w:b w:val="0"/>
          <w:bCs w:val="0"/>
          <w:color w:val="000000"/>
          <w:kern w:val="0"/>
          <w:sz w:val="32"/>
          <w:szCs w:val="32"/>
          <w:shd w:val="clear" w:color="auto" w:fill="auto"/>
          <w:lang w:eastAsia="zh-CN"/>
        </w:rPr>
        <w:t>。</w:t>
      </w:r>
    </w:p>
    <w:p>
      <w:pPr>
        <w:keepNext w:val="0"/>
        <w:keepLines w:val="0"/>
        <w:pageBreakBefore w:val="0"/>
        <w:kinsoku/>
        <w:wordWrap/>
        <w:overflowPunct/>
        <w:topLinePunct w:val="0"/>
        <w:bidi w:val="0"/>
        <w:snapToGrid/>
        <w:spacing w:line="560" w:lineRule="exact"/>
        <w:ind w:firstLine="642"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pPr>
        <w:keepNext w:val="0"/>
        <w:keepLines w:val="0"/>
        <w:pageBreakBefore w:val="0"/>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1、总体目标</w:t>
      </w:r>
    </w:p>
    <w:p>
      <w:pPr>
        <w:keepNext w:val="0"/>
        <w:keepLines w:val="0"/>
        <w:pageBreakBefore w:val="0"/>
        <w:kinsoku/>
        <w:wordWrap/>
        <w:overflowPunct/>
        <w:topLinePunct w:val="0"/>
        <w:bidi w:val="0"/>
        <w:snapToGrid/>
        <w:spacing w:line="560" w:lineRule="exact"/>
        <w:ind w:firstLine="640" w:firstLineChars="200"/>
        <w:jc w:val="left"/>
        <w:textAlignment w:val="auto"/>
        <w:rPr>
          <w:rFonts w:hint="default" w:ascii="Times New Roman" w:hAnsi="Times New Roman" w:eastAsia="仿宋_GB2312" w:cs="Times New Roman"/>
          <w:color w:val="000000"/>
          <w:sz w:val="32"/>
          <w:szCs w:val="32"/>
          <w:lang w:eastAsia="zh-CN"/>
        </w:rPr>
      </w:pPr>
      <w:r>
        <w:rPr>
          <w:rFonts w:hint="default" w:ascii="Times New Roman" w:hAnsi="Times New Roman" w:eastAsia="仿宋_GB2312" w:cs="Times New Roman"/>
          <w:color w:val="000000"/>
          <w:sz w:val="32"/>
          <w:szCs w:val="32"/>
          <w:lang w:val="en-US" w:eastAsia="zh-CN"/>
        </w:rPr>
        <w:t>根据农业农村部及主管部门下达各项工作计划，坚持问题导向，扭住重点环节和问题多发点，按照“</w:t>
      </w:r>
      <w:r>
        <w:rPr>
          <w:rFonts w:hint="eastAsia" w:eastAsia="仿宋_GB2312" w:cs="Times New Roman"/>
          <w:color w:val="000000"/>
          <w:sz w:val="32"/>
          <w:szCs w:val="32"/>
          <w:lang w:val="en-US" w:eastAsia="zh-CN"/>
        </w:rPr>
        <w:t>双随机、一公开</w:t>
      </w:r>
      <w:r>
        <w:rPr>
          <w:rFonts w:hint="default" w:ascii="Times New Roman" w:hAnsi="Times New Roman" w:eastAsia="仿宋_GB2312" w:cs="Times New Roman"/>
          <w:color w:val="000000"/>
          <w:sz w:val="32"/>
          <w:szCs w:val="32"/>
          <w:lang w:val="en-US" w:eastAsia="zh-CN"/>
        </w:rPr>
        <w:t>”要求，对我区兽药、饲料、畜产品质量进行监测，不留死角，不留盲区，实现检测的全覆盖，为畜牧业高质量发展提供支撑作用。计划对</w:t>
      </w:r>
      <w:r>
        <w:rPr>
          <w:rFonts w:hint="default" w:ascii="Times New Roman" w:hAnsi="Times New Roman" w:eastAsia="仿宋_GB2312" w:cs="Times New Roman"/>
          <w:color w:val="000000"/>
          <w:sz w:val="32"/>
          <w:szCs w:val="32"/>
          <w:lang w:eastAsia="zh-CN"/>
        </w:rPr>
        <w:t>全疆14个地州市兽药、饲料、畜产品质量安全监测工作。涉及生产、经营、使用、养殖、屠宰等环节，协助行政主管部门承担全疆兽药、兽药生产企业GMP及现场审查工作，根据兽用生物制品企业生产需要，完成批签发工作。202</w:t>
      </w:r>
      <w:r>
        <w:rPr>
          <w:rFonts w:hint="default" w:ascii="Times New Roman" w:hAnsi="Times New Roman" w:eastAsia="仿宋_GB2312" w:cs="Times New Roman"/>
          <w:color w:val="000000"/>
          <w:sz w:val="32"/>
          <w:szCs w:val="32"/>
          <w:lang w:val="en-US" w:eastAsia="zh-CN"/>
        </w:rPr>
        <w:t>3</w:t>
      </w:r>
      <w:r>
        <w:rPr>
          <w:rFonts w:hint="default" w:ascii="Times New Roman" w:hAnsi="Times New Roman" w:eastAsia="仿宋_GB2312" w:cs="Times New Roman"/>
          <w:color w:val="000000"/>
          <w:sz w:val="32"/>
          <w:szCs w:val="32"/>
          <w:lang w:eastAsia="zh-CN"/>
        </w:rPr>
        <w:t>年计划完成兽药</w:t>
      </w:r>
      <w:r>
        <w:rPr>
          <w:rFonts w:hint="default" w:ascii="Times New Roman" w:hAnsi="Times New Roman" w:eastAsia="仿宋_GB2312" w:cs="Times New Roman"/>
          <w:color w:val="000000"/>
          <w:sz w:val="32"/>
          <w:szCs w:val="32"/>
          <w:lang w:val="en-US" w:eastAsia="zh-CN"/>
        </w:rPr>
        <w:t>监督抽检</w:t>
      </w:r>
      <w:r>
        <w:rPr>
          <w:rFonts w:hint="default" w:ascii="Times New Roman" w:hAnsi="Times New Roman" w:eastAsia="仿宋_GB2312" w:cs="Times New Roman"/>
          <w:color w:val="000000"/>
          <w:sz w:val="32"/>
          <w:szCs w:val="32"/>
          <w:lang w:eastAsia="zh-CN"/>
        </w:rPr>
        <w:t>任务</w:t>
      </w:r>
      <w:r>
        <w:rPr>
          <w:rFonts w:hint="default" w:ascii="Times New Roman" w:hAnsi="Times New Roman" w:eastAsia="仿宋_GB2312" w:cs="Times New Roman"/>
          <w:color w:val="000000"/>
          <w:sz w:val="32"/>
          <w:szCs w:val="32"/>
          <w:lang w:val="en-US" w:eastAsia="zh-CN"/>
        </w:rPr>
        <w:t>6</w:t>
      </w:r>
      <w:r>
        <w:rPr>
          <w:rFonts w:hint="default" w:ascii="Times New Roman" w:hAnsi="Times New Roman" w:eastAsia="仿宋_GB2312" w:cs="Times New Roman"/>
          <w:color w:val="000000"/>
          <w:sz w:val="32"/>
          <w:szCs w:val="32"/>
          <w:lang w:eastAsia="zh-CN"/>
        </w:rPr>
        <w:t>00批次，兽药非法添加物的筛查和风险监测</w:t>
      </w:r>
      <w:r>
        <w:rPr>
          <w:rFonts w:hint="default" w:ascii="Times New Roman" w:hAnsi="Times New Roman" w:eastAsia="仿宋_GB2312" w:cs="Times New Roman"/>
          <w:color w:val="000000"/>
          <w:sz w:val="32"/>
          <w:szCs w:val="32"/>
          <w:lang w:val="en-US" w:eastAsia="zh-CN"/>
        </w:rPr>
        <w:t>200批次；</w:t>
      </w:r>
      <w:r>
        <w:rPr>
          <w:rFonts w:hint="default" w:ascii="Times New Roman" w:hAnsi="Times New Roman" w:eastAsia="仿宋_GB2312" w:cs="Times New Roman"/>
          <w:color w:val="000000"/>
          <w:sz w:val="32"/>
          <w:szCs w:val="32"/>
          <w:lang w:eastAsia="zh-CN"/>
        </w:rPr>
        <w:t>动物源细菌耐药性监测工作200批次，饲料质量</w:t>
      </w:r>
      <w:r>
        <w:rPr>
          <w:rFonts w:hint="default" w:ascii="Times New Roman" w:hAnsi="Times New Roman" w:eastAsia="仿宋_GB2312" w:cs="Times New Roman"/>
          <w:color w:val="000000"/>
          <w:sz w:val="32"/>
          <w:szCs w:val="32"/>
          <w:lang w:val="en-US" w:eastAsia="zh-CN"/>
        </w:rPr>
        <w:t>安全</w:t>
      </w:r>
      <w:r>
        <w:rPr>
          <w:rFonts w:hint="default" w:ascii="Times New Roman" w:hAnsi="Times New Roman" w:eastAsia="仿宋_GB2312" w:cs="Times New Roman"/>
          <w:color w:val="000000"/>
          <w:sz w:val="32"/>
          <w:szCs w:val="32"/>
          <w:lang w:eastAsia="zh-CN"/>
        </w:rPr>
        <w:t>监测任务</w:t>
      </w:r>
      <w:r>
        <w:rPr>
          <w:rFonts w:hint="default" w:ascii="Times New Roman" w:hAnsi="Times New Roman" w:eastAsia="仿宋_GB2312" w:cs="Times New Roman"/>
          <w:color w:val="000000"/>
          <w:sz w:val="32"/>
          <w:szCs w:val="32"/>
          <w:lang w:val="en-US" w:eastAsia="zh-CN"/>
        </w:rPr>
        <w:t>400</w:t>
      </w:r>
      <w:r>
        <w:rPr>
          <w:rFonts w:hint="default" w:ascii="Times New Roman" w:hAnsi="Times New Roman" w:eastAsia="仿宋_GB2312" w:cs="Times New Roman"/>
          <w:color w:val="000000"/>
          <w:sz w:val="32"/>
          <w:szCs w:val="32"/>
          <w:lang w:eastAsia="zh-CN"/>
        </w:rPr>
        <w:t>批次</w:t>
      </w:r>
      <w:r>
        <w:rPr>
          <w:rFonts w:hint="default" w:ascii="Times New Roman" w:hAnsi="Times New Roman" w:eastAsia="仿宋_GB2312" w:cs="Times New Roman"/>
          <w:color w:val="000000"/>
          <w:sz w:val="32"/>
          <w:szCs w:val="32"/>
          <w:lang w:val="en-US" w:eastAsia="zh-CN"/>
        </w:rPr>
        <w:t>，</w:t>
      </w:r>
      <w:r>
        <w:rPr>
          <w:rFonts w:hint="default" w:ascii="Times New Roman" w:hAnsi="Times New Roman" w:eastAsia="仿宋_GB2312" w:cs="Times New Roman"/>
          <w:color w:val="000000"/>
          <w:sz w:val="32"/>
          <w:szCs w:val="32"/>
          <w:lang w:eastAsia="zh-CN"/>
        </w:rPr>
        <w:t>畜产品质量安全监测1</w:t>
      </w:r>
      <w:r>
        <w:rPr>
          <w:rFonts w:hint="default" w:ascii="Times New Roman" w:hAnsi="Times New Roman" w:eastAsia="仿宋_GB2312" w:cs="Times New Roman"/>
          <w:color w:val="000000"/>
          <w:sz w:val="32"/>
          <w:szCs w:val="32"/>
          <w:lang w:val="en-US" w:eastAsia="zh-CN"/>
        </w:rPr>
        <w:t>0</w:t>
      </w:r>
      <w:r>
        <w:rPr>
          <w:rFonts w:hint="default" w:ascii="Times New Roman" w:hAnsi="Times New Roman" w:eastAsia="仿宋_GB2312" w:cs="Times New Roman"/>
          <w:color w:val="000000"/>
          <w:sz w:val="32"/>
          <w:szCs w:val="32"/>
          <w:lang w:eastAsia="zh-CN"/>
        </w:rPr>
        <w:t>00批次，</w:t>
      </w:r>
      <w:r>
        <w:rPr>
          <w:rFonts w:hint="default" w:ascii="Times New Roman" w:hAnsi="Times New Roman" w:eastAsia="仿宋_GB2312" w:cs="Times New Roman"/>
          <w:color w:val="000000"/>
          <w:sz w:val="32"/>
          <w:szCs w:val="32"/>
          <w:lang w:val="en-US" w:eastAsia="zh-CN"/>
        </w:rPr>
        <w:t>兽药</w:t>
      </w:r>
      <w:r>
        <w:rPr>
          <w:rFonts w:hint="default" w:ascii="Times New Roman" w:hAnsi="Times New Roman" w:eastAsia="仿宋_GB2312" w:cs="Times New Roman"/>
          <w:color w:val="000000"/>
          <w:sz w:val="32"/>
          <w:szCs w:val="32"/>
          <w:lang w:eastAsia="zh-CN"/>
        </w:rPr>
        <w:t>残留监控</w:t>
      </w:r>
      <w:r>
        <w:rPr>
          <w:rFonts w:hint="default" w:ascii="Times New Roman" w:hAnsi="Times New Roman" w:eastAsia="仿宋_GB2312" w:cs="Times New Roman"/>
          <w:color w:val="000000"/>
          <w:sz w:val="32"/>
          <w:szCs w:val="32"/>
          <w:lang w:val="en-US" w:eastAsia="zh-CN"/>
        </w:rPr>
        <w:t>4</w:t>
      </w:r>
      <w:r>
        <w:rPr>
          <w:rFonts w:hint="default" w:ascii="Times New Roman" w:hAnsi="Times New Roman" w:eastAsia="仿宋_GB2312" w:cs="Times New Roman"/>
          <w:color w:val="000000"/>
          <w:sz w:val="32"/>
          <w:szCs w:val="32"/>
          <w:lang w:eastAsia="zh-CN"/>
        </w:rPr>
        <w:t>00批次。</w:t>
      </w:r>
    </w:p>
    <w:p>
      <w:pPr>
        <w:keepNext w:val="0"/>
        <w:keepLines w:val="0"/>
        <w:pageBreakBefore w:val="0"/>
        <w:kinsoku/>
        <w:wordWrap/>
        <w:overflowPunct/>
        <w:topLinePunct w:val="0"/>
        <w:bidi w:val="0"/>
        <w:snapToGrid/>
        <w:spacing w:line="560" w:lineRule="exact"/>
        <w:ind w:firstLine="640" w:firstLineChars="200"/>
        <w:textAlignment w:val="auto"/>
        <w:rPr>
          <w:rFonts w:hint="default" w:ascii="Times New Roman" w:hAnsi="Times New Roman" w:cs="Times New Roman"/>
        </w:rPr>
      </w:pPr>
      <w:r>
        <w:rPr>
          <w:rFonts w:hint="default" w:ascii="Times New Roman" w:hAnsi="Times New Roman" w:eastAsia="仿宋_GB2312" w:cs="Times New Roman"/>
          <w:sz w:val="32"/>
          <w:szCs w:val="32"/>
        </w:rPr>
        <w:t>2、阶段性目标</w:t>
      </w:r>
    </w:p>
    <w:p>
      <w:pPr>
        <w:keepNext w:val="0"/>
        <w:keepLines w:val="0"/>
        <w:pageBreakBefore w:val="0"/>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（1）前期准备：</w:t>
      </w:r>
    </w:p>
    <w:p>
      <w:pPr>
        <w:keepNext w:val="0"/>
        <w:keepLines w:val="0"/>
        <w:pageBreakBefore w:val="0"/>
        <w:kinsoku/>
        <w:wordWrap/>
        <w:overflowPunct/>
        <w:topLinePunct w:val="0"/>
        <w:bidi w:val="0"/>
        <w:snapToGrid/>
        <w:spacing w:line="560" w:lineRule="exact"/>
        <w:ind w:firstLine="640" w:firstLineChars="200"/>
        <w:jc w:val="left"/>
        <w:textAlignment w:val="auto"/>
        <w:rPr>
          <w:rFonts w:hint="default" w:ascii="Times New Roman" w:hAnsi="Times New Roman" w:eastAsia="仿宋_GB2312" w:cs="Times New Roman"/>
          <w:color w:val="000000"/>
          <w:sz w:val="32"/>
          <w:szCs w:val="32"/>
          <w:lang w:eastAsia="zh-CN"/>
        </w:rPr>
      </w:pPr>
      <w:r>
        <w:rPr>
          <w:rFonts w:hint="default" w:ascii="Times New Roman" w:hAnsi="Times New Roman" w:eastAsia="仿宋_GB2312" w:cs="Times New Roman"/>
          <w:color w:val="000000"/>
          <w:sz w:val="32"/>
          <w:szCs w:val="32"/>
          <w:lang w:eastAsia="zh-CN"/>
        </w:rPr>
        <w:t>严格按照</w:t>
      </w:r>
      <w:r>
        <w:rPr>
          <w:rFonts w:hint="default" w:ascii="Times New Roman" w:hAnsi="Times New Roman" w:eastAsia="仿宋_GB2312" w:cs="Times New Roman"/>
          <w:b w:val="0"/>
          <w:bCs w:val="0"/>
          <w:sz w:val="32"/>
          <w:szCs w:val="32"/>
          <w:lang w:val="en-US" w:eastAsia="zh-CN"/>
        </w:rPr>
        <w:t>《新疆维吾尔自治区畜牧兽医局关于印发&lt;2023年自治区畜产品质量安全监测计划&gt;的通知》（</w:t>
      </w:r>
      <w:r>
        <w:rPr>
          <w:rFonts w:hint="default" w:ascii="Times New Roman" w:hAnsi="Times New Roman" w:eastAsia="仿宋" w:cs="Times New Roman"/>
          <w:b w:val="0"/>
          <w:bCs w:val="0"/>
          <w:sz w:val="32"/>
          <w:szCs w:val="32"/>
          <w:lang w:val="en-US" w:eastAsia="zh-CN"/>
        </w:rPr>
        <w:t>新牧函〔2023〕293号）、</w:t>
      </w:r>
      <w:r>
        <w:rPr>
          <w:rFonts w:hint="default" w:ascii="Times New Roman" w:hAnsi="Times New Roman" w:eastAsia="仿宋_GB2312" w:cs="Times New Roman"/>
          <w:b w:val="0"/>
          <w:i w:val="0"/>
          <w:caps w:val="0"/>
          <w:color w:val="000000"/>
          <w:spacing w:val="0"/>
          <w:w w:val="100"/>
          <w:sz w:val="32"/>
          <w:szCs w:val="32"/>
          <w:lang w:val="en-US" w:eastAsia="zh-CN"/>
        </w:rPr>
        <w:t>《新疆维吾尔自治区畜牧兽医局关于印发&lt;2023年自治区饲料质量安全监管工作方案&gt;的通知》（新牧饲字〔2023〕1号）、</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b w:val="0"/>
          <w:i w:val="0"/>
          <w:caps w:val="0"/>
          <w:color w:val="000000"/>
          <w:spacing w:val="0"/>
          <w:w w:val="100"/>
          <w:sz w:val="32"/>
          <w:szCs w:val="32"/>
          <w:lang w:val="en-US" w:eastAsia="zh-CN"/>
        </w:rPr>
        <w:t>新疆维吾尔</w:t>
      </w:r>
      <w:r>
        <w:rPr>
          <w:rFonts w:hint="default" w:ascii="Times New Roman" w:hAnsi="Times New Roman" w:eastAsia="仿宋_GB2312" w:cs="Times New Roman"/>
          <w:sz w:val="32"/>
          <w:szCs w:val="32"/>
          <w:lang w:val="en-US" w:eastAsia="zh-CN"/>
        </w:rPr>
        <w:t>自治区畜牧兽医局关于印发＜2023年自治区兽药质量监督抽检和风险监测等3个计划＞的通知》</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新牧药字〔2023〕2号</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文件</w:t>
      </w:r>
      <w:r>
        <w:rPr>
          <w:rFonts w:hint="default" w:ascii="Times New Roman" w:hAnsi="Times New Roman" w:eastAsia="仿宋_GB2312" w:cs="Times New Roman"/>
          <w:color w:val="000000"/>
          <w:sz w:val="32"/>
          <w:szCs w:val="32"/>
          <w:lang w:val="en-US" w:eastAsia="zh-CN"/>
        </w:rPr>
        <w:t>要求</w:t>
      </w:r>
      <w:r>
        <w:rPr>
          <w:rFonts w:hint="default" w:ascii="Times New Roman" w:hAnsi="Times New Roman" w:eastAsia="仿宋_GB2312" w:cs="Times New Roman"/>
          <w:color w:val="000000"/>
          <w:sz w:val="32"/>
          <w:szCs w:val="32"/>
          <w:lang w:eastAsia="zh-CN"/>
        </w:rPr>
        <w:t>，按照资金补助项目要求，成立项目实施领导小组，做出全年详细工作计划和具体的实施方案。</w:t>
      </w:r>
    </w:p>
    <w:p>
      <w:pPr>
        <w:keepNext w:val="0"/>
        <w:keepLines w:val="0"/>
        <w:pageBreakBefore w:val="0"/>
        <w:numPr>
          <w:ilvl w:val="0"/>
          <w:numId w:val="0"/>
        </w:numPr>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组织实施：</w:t>
      </w:r>
    </w:p>
    <w:p>
      <w:pPr>
        <w:keepNext w:val="0"/>
        <w:keepLines w:val="0"/>
        <w:pageBreakBefore w:val="0"/>
        <w:numPr>
          <w:ilvl w:val="0"/>
          <w:numId w:val="0"/>
        </w:numPr>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资金一到位，立即根据项目要求实施项目。项目责任人按照项目实施方案要求逐一进行项目部署安排，提高项目质量及效率性。</w:t>
      </w:r>
    </w:p>
    <w:p>
      <w:pPr>
        <w:keepNext w:val="0"/>
        <w:keepLines w:val="0"/>
        <w:pageBreakBefore w:val="0"/>
        <w:widowControl/>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我所认真组织开展整体绩效管理工作。成立了以所主要领导带队，</w:t>
      </w:r>
      <w:r>
        <w:rPr>
          <w:rFonts w:hint="default" w:ascii="Times New Roman" w:hAnsi="Times New Roman" w:eastAsia="仿宋_GB2312" w:cs="Times New Roman"/>
          <w:kern w:val="0"/>
          <w:sz w:val="32"/>
          <w:szCs w:val="32"/>
        </w:rPr>
        <w:t>财务科牵头，</w:t>
      </w:r>
      <w:r>
        <w:rPr>
          <w:rFonts w:hint="default" w:ascii="Times New Roman" w:hAnsi="Times New Roman" w:eastAsia="仿宋_GB2312" w:cs="Times New Roman"/>
          <w:kern w:val="0"/>
          <w:sz w:val="32"/>
          <w:szCs w:val="32"/>
          <w:lang w:val="en-US" w:eastAsia="zh-CN"/>
        </w:rPr>
        <w:t>业务室</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kern w:val="0"/>
          <w:sz w:val="32"/>
          <w:szCs w:val="32"/>
          <w:lang w:val="en-US" w:eastAsia="zh-CN"/>
        </w:rPr>
        <w:t>食品安全评价室</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kern w:val="0"/>
          <w:sz w:val="32"/>
          <w:szCs w:val="32"/>
          <w:lang w:val="en-US" w:eastAsia="zh-CN"/>
        </w:rPr>
        <w:t>化药室</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kern w:val="0"/>
          <w:sz w:val="32"/>
          <w:szCs w:val="32"/>
          <w:lang w:val="en-US" w:eastAsia="zh-CN"/>
        </w:rPr>
        <w:t>饲料室</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kern w:val="0"/>
          <w:sz w:val="32"/>
          <w:szCs w:val="32"/>
          <w:lang w:val="en-US" w:eastAsia="zh-CN"/>
        </w:rPr>
        <w:t>抗生素室</w:t>
      </w:r>
      <w:r>
        <w:rPr>
          <w:rFonts w:hint="default" w:ascii="Times New Roman" w:hAnsi="Times New Roman" w:eastAsia="仿宋_GB2312" w:cs="Times New Roman"/>
          <w:kern w:val="0"/>
          <w:sz w:val="32"/>
          <w:szCs w:val="32"/>
        </w:rPr>
        <w:t>等</w:t>
      </w:r>
      <w:r>
        <w:rPr>
          <w:rFonts w:hint="default" w:ascii="Times New Roman" w:hAnsi="Times New Roman" w:eastAsia="仿宋_GB2312" w:cs="Times New Roman"/>
          <w:kern w:val="0"/>
          <w:sz w:val="32"/>
          <w:szCs w:val="32"/>
          <w:lang w:val="en-US" w:eastAsia="zh-CN"/>
        </w:rPr>
        <w:t>科室</w:t>
      </w:r>
      <w:r>
        <w:rPr>
          <w:rFonts w:hint="default" w:ascii="Times New Roman" w:hAnsi="Times New Roman" w:eastAsia="仿宋_GB2312" w:cs="Times New Roman"/>
          <w:kern w:val="0"/>
          <w:sz w:val="32"/>
          <w:szCs w:val="32"/>
        </w:rPr>
        <w:t>组成的工作组，完成绩效监控工作。</w:t>
      </w:r>
    </w:p>
    <w:p>
      <w:pPr>
        <w:keepNext w:val="0"/>
        <w:keepLines w:val="0"/>
        <w:pageBreakBefore w:val="0"/>
        <w:widowControl/>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财务科主要负责预算资金的批复</w:t>
      </w: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rPr>
        <w:t>核实，合同票据的真实性审核，付款进度的监控。各科室负责业务的真实性，结合中长期规划和年度工作计划明确年度主要工作</w:t>
      </w:r>
      <w:r>
        <w:rPr>
          <w:rFonts w:hint="default" w:ascii="Times New Roman" w:hAnsi="Times New Roman" w:eastAsia="仿宋_GB2312" w:cs="Times New Roman"/>
          <w:color w:val="000000"/>
          <w:kern w:val="0"/>
          <w:sz w:val="32"/>
          <w:szCs w:val="32"/>
          <w:lang w:val="en-US" w:eastAsia="zh-CN"/>
        </w:rPr>
        <w:t>任务</w:t>
      </w:r>
      <w:r>
        <w:rPr>
          <w:rFonts w:hint="default" w:ascii="Times New Roman" w:hAnsi="Times New Roman" w:eastAsia="仿宋_GB2312" w:cs="Times New Roman"/>
          <w:color w:val="000000"/>
          <w:kern w:val="0"/>
          <w:sz w:val="32"/>
          <w:szCs w:val="32"/>
        </w:rPr>
        <w:t>，</w:t>
      </w:r>
      <w:r>
        <w:rPr>
          <w:rFonts w:hint="default" w:ascii="Times New Roman" w:hAnsi="Times New Roman" w:eastAsia="仿宋_GB2312" w:cs="Times New Roman"/>
          <w:color w:val="000000"/>
          <w:kern w:val="0"/>
          <w:sz w:val="32"/>
          <w:szCs w:val="32"/>
          <w:lang w:eastAsia="zh-CN"/>
        </w:rPr>
        <w:t>完成</w:t>
      </w:r>
      <w:r>
        <w:rPr>
          <w:rFonts w:hint="default" w:ascii="Times New Roman" w:hAnsi="Times New Roman" w:eastAsia="仿宋_GB2312" w:cs="Times New Roman"/>
          <w:color w:val="000000"/>
          <w:kern w:val="0"/>
          <w:sz w:val="32"/>
          <w:szCs w:val="32"/>
        </w:rPr>
        <w:t>本年度内所要达到的总体产出和效果。</w:t>
      </w:r>
    </w:p>
    <w:p>
      <w:pPr>
        <w:pStyle w:val="17"/>
        <w:keepNext w:val="0"/>
        <w:keepLines w:val="0"/>
        <w:pageBreakBefore w:val="0"/>
        <w:kinsoku/>
        <w:wordWrap/>
        <w:overflowPunct/>
        <w:topLinePunct w:val="0"/>
        <w:bidi w:val="0"/>
        <w:snapToGrid/>
        <w:spacing w:line="560" w:lineRule="exact"/>
        <w:ind w:left="0" w:leftChars="0"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标准品、仪器、耗材的购买都严格按照招投标或在政采云</w:t>
      </w:r>
    </w:p>
    <w:p>
      <w:pPr>
        <w:pStyle w:val="17"/>
        <w:keepNext w:val="0"/>
        <w:keepLines w:val="0"/>
        <w:pageBreakBefore w:val="0"/>
        <w:kinsoku/>
        <w:wordWrap/>
        <w:overflowPunct/>
        <w:topLinePunct w:val="0"/>
        <w:bidi w:val="0"/>
        <w:snapToGrid/>
        <w:spacing w:line="560" w:lineRule="exact"/>
        <w:ind w:left="0" w:leftChars="0" w:firstLine="0" w:firstLineChars="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上采购，严格执行相关要求。</w:t>
      </w:r>
    </w:p>
    <w:p>
      <w:pPr>
        <w:keepNext w:val="0"/>
        <w:keepLines w:val="0"/>
        <w:pageBreakBefore w:val="0"/>
        <w:kinsoku/>
        <w:wordWrap/>
        <w:overflowPunct/>
        <w:topLinePunct w:val="0"/>
        <w:bidi w:val="0"/>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pPr>
        <w:keepNext w:val="0"/>
        <w:keepLines w:val="0"/>
        <w:pageBreakBefore w:val="0"/>
        <w:kinsoku/>
        <w:wordWrap/>
        <w:overflowPunct/>
        <w:topLinePunct w:val="0"/>
        <w:bidi w:val="0"/>
        <w:snapToGrid/>
        <w:spacing w:line="560" w:lineRule="exact"/>
        <w:ind w:firstLine="642"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pPr>
        <w:pStyle w:val="18"/>
        <w:keepNext w:val="0"/>
        <w:keepLines w:val="0"/>
        <w:pageBreakBefore w:val="0"/>
        <w:widowControl w:val="0"/>
        <w:kinsoku/>
        <w:wordWrap/>
        <w:overflowPunct/>
        <w:topLinePunct w:val="0"/>
        <w:bidi w:val="0"/>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1、绩效评价的目的</w:t>
      </w:r>
    </w:p>
    <w:p>
      <w:pPr>
        <w:keepNext w:val="0"/>
        <w:keepLines w:val="0"/>
        <w:pageBreakBefore w:val="0"/>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keepNext w:val="0"/>
        <w:keepLines w:val="0"/>
        <w:pageBreakBefore w:val="0"/>
        <w:numPr>
          <w:ilvl w:val="0"/>
          <w:numId w:val="2"/>
        </w:numPr>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项目在实施前向项目负责人提供财政支出绩效方面的资金管理信息，促进项目支出严格按照资金管理规定进行。</w:t>
      </w:r>
    </w:p>
    <w:p>
      <w:pPr>
        <w:keepNext w:val="0"/>
        <w:keepLines w:val="0"/>
        <w:pageBreakBefore w:val="0"/>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（2）项目绩效管理财政支出运行提供及时、有效的信息。</w:t>
      </w:r>
    </w:p>
    <w:p>
      <w:pPr>
        <w:keepNext w:val="0"/>
        <w:keepLines w:val="0"/>
        <w:pageBreakBefore w:val="0"/>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综合来看，通过开展有效的财政支出绩效评价管理，达到改进预算管理、控制节约成本，提高预算资金使用效益的目的。</w:t>
      </w:r>
    </w:p>
    <w:p>
      <w:pPr>
        <w:pStyle w:val="18"/>
        <w:keepNext w:val="0"/>
        <w:keepLines w:val="0"/>
        <w:pageBreakBefore w:val="0"/>
        <w:widowControl w:val="0"/>
        <w:kinsoku/>
        <w:wordWrap/>
        <w:overflowPunct/>
        <w:topLinePunct w:val="0"/>
        <w:bidi w:val="0"/>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2、绩效评价的对象</w:t>
      </w:r>
    </w:p>
    <w:p>
      <w:pPr>
        <w:pStyle w:val="18"/>
        <w:keepNext w:val="0"/>
        <w:keepLines w:val="0"/>
        <w:pageBreakBefore w:val="0"/>
        <w:widowControl w:val="0"/>
        <w:kinsoku/>
        <w:wordWrap/>
        <w:overflowPunct/>
        <w:topLinePunct w:val="0"/>
        <w:bidi w:val="0"/>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自治区畜牧业生产发展资金（兽药饲料检验项目、畜产品质量安全监测）项目</w:t>
      </w:r>
      <w:r>
        <w:rPr>
          <w:rFonts w:hint="default" w:ascii="Times New Roman" w:hAnsi="Times New Roman" w:eastAsia="仿宋_GB2312" w:cs="Times New Roman"/>
          <w:b w:val="0"/>
          <w:bCs w:val="0"/>
        </w:rPr>
        <w:t>开展全疆14个地</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州</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市</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畜产品质量安全监测、饲料质量安全监测、兽药质量</w:t>
      </w:r>
      <w:r>
        <w:rPr>
          <w:rFonts w:hint="default" w:ascii="Times New Roman" w:hAnsi="Times New Roman" w:eastAsia="仿宋_GB2312" w:cs="Times New Roman"/>
          <w:b w:val="0"/>
          <w:bCs w:val="0"/>
          <w:lang w:val="en-US" w:eastAsia="zh-CN"/>
        </w:rPr>
        <w:t>安全</w:t>
      </w:r>
      <w:r>
        <w:rPr>
          <w:rFonts w:hint="default" w:ascii="Times New Roman" w:hAnsi="Times New Roman" w:eastAsia="仿宋_GB2312" w:cs="Times New Roman"/>
          <w:b w:val="0"/>
          <w:bCs w:val="0"/>
        </w:rPr>
        <w:t>监测</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动物源细菌耐药性监测等工作</w:t>
      </w:r>
      <w:r>
        <w:rPr>
          <w:rFonts w:hint="default" w:ascii="Times New Roman" w:hAnsi="Times New Roman" w:eastAsia="仿宋_GB2312" w:cs="Times New Roman"/>
          <w:b w:val="0"/>
          <w:bCs w:val="0"/>
        </w:rPr>
        <w:t>。涉及生产、经营、使用、养殖、屠宰等环节，同时开展兽药生产企业GMP验收、兽药二维码检查、畜产品检疫证号检查、兽用生物制品批签发等工作。</w:t>
      </w:r>
    </w:p>
    <w:p>
      <w:pPr>
        <w:pStyle w:val="18"/>
        <w:keepNext w:val="0"/>
        <w:keepLines w:val="0"/>
        <w:pageBreakBefore w:val="0"/>
        <w:widowControl w:val="0"/>
        <w:numPr>
          <w:ilvl w:val="0"/>
          <w:numId w:val="1"/>
        </w:numPr>
        <w:kinsoku/>
        <w:wordWrap/>
        <w:overflowPunct/>
        <w:topLinePunct w:val="0"/>
        <w:bidi w:val="0"/>
        <w:snapToGrid/>
        <w:spacing w:before="0" w:after="0" w:line="560" w:lineRule="exact"/>
        <w:ind w:left="0" w:leftChars="0"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绩效评价的范围</w:t>
      </w:r>
    </w:p>
    <w:p>
      <w:pPr>
        <w:pStyle w:val="18"/>
        <w:keepNext w:val="0"/>
        <w:keepLines w:val="0"/>
        <w:pageBreakBefore w:val="0"/>
        <w:widowControl w:val="0"/>
        <w:kinsoku/>
        <w:wordWrap/>
        <w:overflowPunct/>
        <w:topLinePunct w:val="0"/>
        <w:bidi w:val="0"/>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lang w:val="en-US" w:eastAsia="zh-CN"/>
        </w:rPr>
      </w:pPr>
      <w:r>
        <w:rPr>
          <w:rFonts w:hint="default" w:ascii="Times New Roman" w:hAnsi="Times New Roman" w:eastAsia="仿宋_GB2312" w:cs="Times New Roman"/>
          <w:b w:val="0"/>
          <w:bCs w:val="0"/>
          <w:lang w:val="en-US" w:eastAsia="zh-CN"/>
        </w:rPr>
        <w:t>自治区畜牧业生产发展资金（兽药饲料检验项目、畜产品质量安全监测）项目325万元支出的项目资金及产生的社会效益等。</w:t>
      </w:r>
    </w:p>
    <w:p>
      <w:pPr>
        <w:keepNext w:val="0"/>
        <w:keepLines w:val="0"/>
        <w:pageBreakBefore w:val="0"/>
        <w:kinsoku/>
        <w:wordWrap/>
        <w:overflowPunct/>
        <w:topLinePunct w:val="0"/>
        <w:bidi w:val="0"/>
        <w:snapToGrid/>
        <w:spacing w:line="560" w:lineRule="exact"/>
        <w:ind w:firstLine="642" w:firstLineChars="200"/>
        <w:textAlignment w:val="auto"/>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pPr>
        <w:pStyle w:val="18"/>
        <w:keepNext w:val="0"/>
        <w:keepLines w:val="0"/>
        <w:pageBreakBefore w:val="0"/>
        <w:widowControl w:val="0"/>
        <w:kinsoku/>
        <w:wordWrap/>
        <w:overflowPunct/>
        <w:topLinePunct w:val="0"/>
        <w:bidi w:val="0"/>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1、绩效评价原则</w:t>
      </w:r>
    </w:p>
    <w:p>
      <w:pPr>
        <w:keepNext w:val="0"/>
        <w:keepLines w:val="0"/>
        <w:pageBreakBefore w:val="0"/>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pPr>
        <w:pStyle w:val="18"/>
        <w:keepNext w:val="0"/>
        <w:keepLines w:val="0"/>
        <w:pageBreakBefore w:val="0"/>
        <w:kinsoku/>
        <w:wordWrap/>
        <w:overflowPunct/>
        <w:topLinePunct w:val="0"/>
        <w:bidi w:val="0"/>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pPr>
        <w:pStyle w:val="18"/>
        <w:keepNext w:val="0"/>
        <w:keepLines w:val="0"/>
        <w:pageBreakBefore w:val="0"/>
        <w:kinsoku/>
        <w:wordWrap/>
        <w:overflowPunct/>
        <w:topLinePunct w:val="0"/>
        <w:bidi w:val="0"/>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pPr>
        <w:pStyle w:val="18"/>
        <w:keepNext w:val="0"/>
        <w:keepLines w:val="0"/>
        <w:pageBreakBefore w:val="0"/>
        <w:kinsoku/>
        <w:wordWrap/>
        <w:overflowPunct/>
        <w:topLinePunct w:val="0"/>
        <w:bidi w:val="0"/>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pPr>
        <w:pStyle w:val="18"/>
        <w:keepNext w:val="0"/>
        <w:keepLines w:val="0"/>
        <w:pageBreakBefore w:val="0"/>
        <w:kinsoku/>
        <w:wordWrap/>
        <w:overflowPunct/>
        <w:topLinePunct w:val="0"/>
        <w:bidi w:val="0"/>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pPr>
        <w:pStyle w:val="18"/>
        <w:keepNext w:val="0"/>
        <w:keepLines w:val="0"/>
        <w:pageBreakBefore w:val="0"/>
        <w:widowControl w:val="0"/>
        <w:kinsoku/>
        <w:wordWrap/>
        <w:overflowPunct/>
        <w:topLinePunct w:val="0"/>
        <w:bidi w:val="0"/>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2、评价指标体系</w:t>
      </w:r>
    </w:p>
    <w:p>
      <w:pPr>
        <w:keepNext w:val="0"/>
        <w:keepLines w:val="0"/>
        <w:pageBreakBefore w:val="0"/>
        <w:kinsoku/>
        <w:wordWrap/>
        <w:overflowPunct/>
        <w:topLinePunct w:val="0"/>
        <w:bidi w:val="0"/>
        <w:snapToGrid/>
        <w:spacing w:line="560" w:lineRule="exact"/>
        <w:ind w:firstLine="708" w:firstLineChars="200"/>
        <w:textAlignment w:val="auto"/>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pPr>
        <w:keepNext w:val="0"/>
        <w:keepLines w:val="0"/>
        <w:pageBreakBefore w:val="0"/>
        <w:kinsoku/>
        <w:wordWrap/>
        <w:overflowPunct/>
        <w:topLinePunct w:val="0"/>
        <w:bidi w:val="0"/>
        <w:snapToGrid/>
        <w:spacing w:line="560" w:lineRule="exact"/>
        <w:ind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pPr>
        <w:keepNext w:val="0"/>
        <w:keepLines w:val="0"/>
        <w:pageBreakBefore w:val="0"/>
        <w:kinsoku/>
        <w:wordWrap/>
        <w:overflowPunct/>
        <w:topLinePunct w:val="0"/>
        <w:bidi w:val="0"/>
        <w:snapToGrid/>
        <w:spacing w:line="560" w:lineRule="exact"/>
        <w:ind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keepNext w:val="0"/>
        <w:keepLines w:val="0"/>
        <w:pageBreakBefore w:val="0"/>
        <w:kinsoku/>
        <w:wordWrap/>
        <w:overflowPunct/>
        <w:topLinePunct w:val="0"/>
        <w:bidi w:val="0"/>
        <w:snapToGrid/>
        <w:spacing w:line="560" w:lineRule="exact"/>
        <w:ind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pPr>
        <w:keepNext w:val="0"/>
        <w:keepLines w:val="0"/>
        <w:pageBreakBefore w:val="0"/>
        <w:kinsoku/>
        <w:wordWrap/>
        <w:overflowPunct/>
        <w:topLinePunct w:val="0"/>
        <w:bidi w:val="0"/>
        <w:snapToGrid/>
        <w:spacing w:line="560" w:lineRule="exact"/>
        <w:ind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确定各个指标相对于项目总体绩效的权重分值。在绩效评价指标体系中，项目决策权重为5分，项目过程权重为5分，项目产出权重为50分，项目效益权重为40分。</w:t>
      </w:r>
    </w:p>
    <w:p>
      <w:pPr>
        <w:keepNext w:val="0"/>
        <w:keepLines w:val="0"/>
        <w:pageBreakBefore w:val="0"/>
        <w:kinsoku/>
        <w:wordWrap/>
        <w:overflowPunct/>
        <w:topLinePunct w:val="0"/>
        <w:bidi w:val="0"/>
        <w:snapToGrid/>
        <w:spacing w:line="560" w:lineRule="exact"/>
        <w:ind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pPr>
        <w:keepNext w:val="0"/>
        <w:keepLines w:val="0"/>
        <w:pageBreakBefore w:val="0"/>
        <w:kinsoku/>
        <w:wordWrap/>
        <w:overflowPunct/>
        <w:topLinePunct w:val="0"/>
        <w:bidi w:val="0"/>
        <w:snapToGrid/>
        <w:spacing w:line="560" w:lineRule="exact"/>
        <w:ind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18"/>
        <w:keepNext w:val="0"/>
        <w:keepLines w:val="0"/>
        <w:pageBreakBefore w:val="0"/>
        <w:kinsoku/>
        <w:wordWrap/>
        <w:overflowPunct/>
        <w:topLinePunct w:val="0"/>
        <w:bidi w:val="0"/>
        <w:snapToGrid/>
        <w:spacing w:before="0" w:after="0" w:line="560" w:lineRule="exact"/>
        <w:ind w:firstLine="708" w:firstLineChars="200"/>
        <w:jc w:val="both"/>
        <w:textAlignment w:val="auto"/>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18"/>
        <w:keepNext w:val="0"/>
        <w:keepLines w:val="0"/>
        <w:pageBreakBefore w:val="0"/>
        <w:widowControl w:val="0"/>
        <w:kinsoku/>
        <w:wordWrap/>
        <w:overflowPunct/>
        <w:topLinePunct w:val="0"/>
        <w:bidi w:val="0"/>
        <w:snapToGrid/>
        <w:spacing w:before="0" w:after="0" w:line="560" w:lineRule="exact"/>
        <w:ind w:firstLine="708" w:firstLineChars="200"/>
        <w:jc w:val="both"/>
        <w:textAlignment w:val="auto"/>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具体评价指标体系详情见附件1</w:t>
      </w:r>
    </w:p>
    <w:p>
      <w:pPr>
        <w:pStyle w:val="18"/>
        <w:keepNext w:val="0"/>
        <w:keepLines w:val="0"/>
        <w:pageBreakBefore w:val="0"/>
        <w:widowControl w:val="0"/>
        <w:kinsoku/>
        <w:wordWrap/>
        <w:overflowPunct/>
        <w:topLinePunct w:val="0"/>
        <w:bidi w:val="0"/>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3、绩效评价方法</w:t>
      </w:r>
    </w:p>
    <w:p>
      <w:pPr>
        <w:keepNext w:val="0"/>
        <w:keepLines w:val="0"/>
        <w:pageBreakBefore w:val="0"/>
        <w:kinsoku/>
        <w:wordWrap/>
        <w:overflowPunct/>
        <w:topLinePunct w:val="0"/>
        <w:bidi w:val="0"/>
        <w:snapToGrid/>
        <w:spacing w:line="560" w:lineRule="exact"/>
        <w:ind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  评价核心为资金的支出完成情况和项目的产出效益。</w:t>
      </w:r>
    </w:p>
    <w:p>
      <w:pPr>
        <w:keepNext w:val="0"/>
        <w:keepLines w:val="0"/>
        <w:pageBreakBefore w:val="0"/>
        <w:kinsoku/>
        <w:wordWrap/>
        <w:overflowPunct/>
        <w:topLinePunct w:val="0"/>
        <w:bidi w:val="0"/>
        <w:snapToGrid/>
        <w:spacing w:line="560" w:lineRule="exact"/>
        <w:ind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keepNext w:val="0"/>
        <w:keepLines w:val="0"/>
        <w:pageBreakBefore w:val="0"/>
        <w:kinsoku/>
        <w:wordWrap/>
        <w:overflowPunct/>
        <w:topLinePunct w:val="0"/>
        <w:bidi w:val="0"/>
        <w:snapToGrid/>
        <w:spacing w:line="560" w:lineRule="exact"/>
        <w:ind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（1）比较法</w:t>
      </w:r>
    </w:p>
    <w:p>
      <w:pPr>
        <w:keepNext w:val="0"/>
        <w:keepLines w:val="0"/>
        <w:pageBreakBefore w:val="0"/>
        <w:kinsoku/>
        <w:wordWrap/>
        <w:overflowPunct/>
        <w:topLinePunct w:val="0"/>
        <w:bidi w:val="0"/>
        <w:snapToGrid/>
        <w:spacing w:line="560" w:lineRule="exact"/>
        <w:ind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通过对绩效目标与实施效果、历史与当期情况，综合分析绩效目标实现程度。对</w:t>
      </w:r>
      <w:r>
        <w:rPr>
          <w:rFonts w:hint="default" w:ascii="Times New Roman" w:hAnsi="Times New Roman" w:eastAsia="仿宋_GB2312" w:cs="Times New Roman"/>
          <w:sz w:val="32"/>
          <w:szCs w:val="32"/>
        </w:rPr>
        <w:t>项目</w:t>
      </w:r>
      <w:r>
        <w:rPr>
          <w:rFonts w:hint="default" w:ascii="Times New Roman" w:hAnsi="Times New Roman" w:eastAsia="仿宋_GB2312" w:cs="Times New Roman"/>
          <w:color w:val="000000"/>
          <w:spacing w:val="17"/>
          <w:sz w:val="32"/>
          <w:szCs w:val="32"/>
        </w:rPr>
        <w:t>最终验收情况与年度绩效目标对比、预算资金执行情况等相关因素进行比较。</w:t>
      </w:r>
    </w:p>
    <w:p>
      <w:pPr>
        <w:keepNext w:val="0"/>
        <w:keepLines w:val="0"/>
        <w:pageBreakBefore w:val="0"/>
        <w:kinsoku/>
        <w:wordWrap/>
        <w:overflowPunct/>
        <w:topLinePunct w:val="0"/>
        <w:bidi w:val="0"/>
        <w:snapToGrid/>
        <w:spacing w:line="560" w:lineRule="exact"/>
        <w:ind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（2）因素分析法</w:t>
      </w:r>
    </w:p>
    <w:p>
      <w:pPr>
        <w:keepNext w:val="0"/>
        <w:keepLines w:val="0"/>
        <w:pageBreakBefore w:val="0"/>
        <w:kinsoku/>
        <w:wordWrap/>
        <w:overflowPunct/>
        <w:topLinePunct w:val="0"/>
        <w:bidi w:val="0"/>
        <w:snapToGrid/>
        <w:spacing w:line="560" w:lineRule="exact"/>
        <w:ind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通过综合分析影响绩效目标实现、实施效果的内外因素，评价绩效目标实现程度。通过对</w:t>
      </w:r>
      <w:r>
        <w:rPr>
          <w:rFonts w:hint="default" w:ascii="Times New Roman" w:hAnsi="Times New Roman" w:eastAsia="仿宋_GB2312" w:cs="Times New Roman"/>
          <w:sz w:val="32"/>
          <w:szCs w:val="32"/>
        </w:rPr>
        <w:t>项目</w:t>
      </w:r>
      <w:r>
        <w:rPr>
          <w:rFonts w:hint="default" w:ascii="Times New Roman" w:hAnsi="Times New Roman" w:eastAsia="仿宋_GB2312" w:cs="Times New Roman"/>
          <w:color w:val="000000"/>
          <w:spacing w:val="17"/>
          <w:sz w:val="32"/>
          <w:szCs w:val="32"/>
        </w:rPr>
        <w:t>的开展情况、项目产出数量、成本控制、资金拨付文件及自评报告等相关资料的收集和审核，综合分析各因素对绩效目标实现的影响。</w:t>
      </w:r>
    </w:p>
    <w:p>
      <w:pPr>
        <w:pStyle w:val="18"/>
        <w:keepNext w:val="0"/>
        <w:keepLines w:val="0"/>
        <w:pageBreakBefore w:val="0"/>
        <w:widowControl w:val="0"/>
        <w:kinsoku/>
        <w:wordWrap/>
        <w:overflowPunct/>
        <w:topLinePunct w:val="0"/>
        <w:bidi w:val="0"/>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4、评价标准</w:t>
      </w:r>
    </w:p>
    <w:p>
      <w:pPr>
        <w:keepNext w:val="0"/>
        <w:keepLines w:val="0"/>
        <w:pageBreakBefore w:val="0"/>
        <w:kinsoku/>
        <w:wordWrap/>
        <w:overflowPunct/>
        <w:topLinePunct w:val="0"/>
        <w:bidi w:val="0"/>
        <w:snapToGrid/>
        <w:spacing w:line="560" w:lineRule="exact"/>
        <w:ind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绩效评价标准通常包括计划标准、行业标准、历史标准等，用于对绩效指标完成情况进行比较。本次评价主要采用了计划标准和行业标准。</w:t>
      </w:r>
    </w:p>
    <w:p>
      <w:pPr>
        <w:pStyle w:val="18"/>
        <w:keepNext w:val="0"/>
        <w:keepLines w:val="0"/>
        <w:pageBreakBefore w:val="0"/>
        <w:numPr>
          <w:ilvl w:val="0"/>
          <w:numId w:val="3"/>
        </w:numPr>
        <w:kinsoku/>
        <w:wordWrap/>
        <w:overflowPunct/>
        <w:topLinePunct w:val="0"/>
        <w:bidi w:val="0"/>
        <w:snapToGrid/>
        <w:spacing w:before="0" w:after="0" w:line="560" w:lineRule="exact"/>
        <w:ind w:firstLine="710" w:firstLineChars="200"/>
        <w:jc w:val="both"/>
        <w:textAlignment w:val="auto"/>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pPr>
        <w:keepNext w:val="0"/>
        <w:keepLines w:val="0"/>
        <w:pageBreakBefore w:val="0"/>
        <w:numPr>
          <w:ilvl w:val="0"/>
          <w:numId w:val="4"/>
        </w:numPr>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numPr>
          <w:ilvl w:val="0"/>
          <w:numId w:val="4"/>
        </w:numPr>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numPr>
          <w:ilvl w:val="0"/>
          <w:numId w:val="4"/>
        </w:numPr>
        <w:kinsoku/>
        <w:wordWrap/>
        <w:overflowPunct/>
        <w:topLinePunct w:val="0"/>
        <w:bidi w:val="0"/>
        <w:snapToGrid/>
        <w:spacing w:line="560" w:lineRule="exact"/>
        <w:ind w:firstLine="640" w:firstLineChars="200"/>
        <w:textAlignment w:val="auto"/>
        <w:rPr>
          <w:rFonts w:hint="default" w:ascii="Times New Roman" w:hAnsi="Times New Roman" w:cs="Times New Roman"/>
          <w:sz w:val="32"/>
          <w:szCs w:val="32"/>
        </w:rPr>
      </w:pPr>
      <w:r>
        <w:rPr>
          <w:rFonts w:hint="default" w:ascii="Times New Roman" w:hAnsi="Times New Roman" w:eastAsia="仿宋_GB2312" w:cs="Times New Roman"/>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keepNext w:val="0"/>
        <w:keepLines w:val="0"/>
        <w:pageBreakBefore w:val="0"/>
        <w:numPr>
          <w:ilvl w:val="0"/>
          <w:numId w:val="5"/>
        </w:numPr>
        <w:kinsoku/>
        <w:wordWrap/>
        <w:overflowPunct/>
        <w:topLinePunct w:val="0"/>
        <w:bidi w:val="0"/>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pPr>
        <w:pStyle w:val="18"/>
        <w:keepNext w:val="0"/>
        <w:keepLines w:val="0"/>
        <w:pageBreakBefore w:val="0"/>
        <w:widowControl w:val="0"/>
        <w:kinsoku/>
        <w:wordWrap/>
        <w:overflowPunct/>
        <w:topLinePunct w:val="0"/>
        <w:bidi w:val="0"/>
        <w:snapToGrid/>
        <w:spacing w:before="0" w:after="0" w:line="560" w:lineRule="exact"/>
        <w:ind w:firstLine="640" w:firstLineChars="200"/>
        <w:jc w:val="both"/>
        <w:textAlignment w:val="auto"/>
        <w:outlineLvl w:val="9"/>
        <w:rPr>
          <w:rFonts w:hint="default" w:ascii="Times New Roman" w:hAnsi="Times New Roman" w:eastAsia="仿宋_GB2312" w:cs="Times New Roman"/>
          <w:sz w:val="30"/>
          <w:szCs w:val="30"/>
          <w:highlight w:val="none"/>
        </w:rPr>
      </w:pPr>
      <w:r>
        <w:rPr>
          <w:rFonts w:hint="default" w:ascii="Times New Roman" w:hAnsi="Times New Roman" w:eastAsia="仿宋_GB2312" w:cs="Times New Roman"/>
          <w:b w:val="0"/>
          <w:bCs w:val="0"/>
          <w:highlight w:val="none"/>
        </w:rPr>
        <w:t>对</w:t>
      </w:r>
      <w:r>
        <w:rPr>
          <w:rFonts w:hint="default" w:ascii="Times New Roman" w:hAnsi="Times New Roman" w:eastAsia="仿宋_GB2312" w:cs="Times New Roman"/>
          <w:b w:val="0"/>
          <w:bCs w:val="0"/>
          <w:highlight w:val="none"/>
          <w:lang w:val="en-US" w:eastAsia="zh-CN"/>
        </w:rPr>
        <w:t>自治区畜牧业生产发展资金（兽药饲料检验项目、畜产品质量安全监测）</w:t>
      </w:r>
      <w:r>
        <w:rPr>
          <w:rFonts w:hint="default" w:ascii="Times New Roman" w:hAnsi="Times New Roman" w:eastAsia="仿宋_GB2312" w:cs="Times New Roman"/>
          <w:b w:val="0"/>
          <w:bCs w:val="0"/>
          <w:highlight w:val="none"/>
        </w:rPr>
        <w:t xml:space="preserve">项目进行客观评价，最终评分结果：总得分为 </w:t>
      </w:r>
      <w:r>
        <w:rPr>
          <w:rFonts w:hint="default"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 xml:space="preserve">分，属于“优”。其中，项目决策类指标权重为20分，得分为 </w:t>
      </w:r>
      <w:r>
        <w:rPr>
          <w:rFonts w:hint="default"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default"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default"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default"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%。项目产出类指标权重为40分，得分为</w:t>
      </w:r>
      <w:r>
        <w:rPr>
          <w:rFonts w:hint="default"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 xml:space="preserve">分，得分率为 </w:t>
      </w:r>
      <w:r>
        <w:rPr>
          <w:rFonts w:hint="default"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default"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default"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p>
    <w:p>
      <w:pPr>
        <w:pStyle w:val="18"/>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表1综合评分表</w:t>
      </w:r>
    </w:p>
    <w:p>
      <w:pPr>
        <w:rPr>
          <w:rFonts w:hint="default" w:ascii="Times New Roman" w:hAnsi="Times New Roman" w:cs="Times New Roman"/>
        </w:rPr>
      </w:pPr>
    </w:p>
    <w:tbl>
      <w:tblPr>
        <w:tblStyle w:val="21"/>
        <w:tblpPr w:leftFromText="180" w:rightFromText="180" w:vertAnchor="text" w:horzAnchor="page" w:tblpX="1016" w:tblpY="-67"/>
        <w:tblOverlap w:val="never"/>
        <w:tblW w:w="995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04"/>
        <w:gridCol w:w="990"/>
        <w:gridCol w:w="1283"/>
        <w:gridCol w:w="1707"/>
        <w:gridCol w:w="727"/>
        <w:gridCol w:w="1044"/>
        <w:gridCol w:w="924"/>
        <w:gridCol w:w="1215"/>
        <w:gridCol w:w="9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0" w:hRule="atLeast"/>
          <w:tblHeader/>
        </w:trPr>
        <w:tc>
          <w:tcPr>
            <w:tcW w:w="1104" w:type="dxa"/>
            <w:shd w:val="clear" w:color="auto" w:fill="BFBFBF"/>
            <w:vAlign w:val="center"/>
          </w:tcPr>
          <w:p>
            <w:pPr>
              <w:widowControl/>
              <w:spacing w:line="0" w:lineRule="atLeast"/>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一级指标</w:t>
            </w:r>
          </w:p>
        </w:tc>
        <w:tc>
          <w:tcPr>
            <w:tcW w:w="990" w:type="dxa"/>
            <w:shd w:val="clear" w:color="auto" w:fill="BFBFBF"/>
            <w:vAlign w:val="center"/>
          </w:tcPr>
          <w:p>
            <w:pPr>
              <w:widowControl/>
              <w:spacing w:line="0" w:lineRule="atLeast"/>
              <w:jc w:val="center"/>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分值</w:t>
            </w:r>
          </w:p>
        </w:tc>
        <w:tc>
          <w:tcPr>
            <w:tcW w:w="1283" w:type="dxa"/>
            <w:shd w:val="clear" w:color="auto" w:fill="BFBFBF"/>
            <w:vAlign w:val="center"/>
          </w:tcPr>
          <w:p>
            <w:pPr>
              <w:widowControl/>
              <w:spacing w:line="0" w:lineRule="atLeast"/>
              <w:jc w:val="center"/>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二级指标</w:t>
            </w:r>
          </w:p>
        </w:tc>
        <w:tc>
          <w:tcPr>
            <w:tcW w:w="1707" w:type="dxa"/>
            <w:shd w:val="clear" w:color="auto" w:fill="BFBFBF"/>
            <w:vAlign w:val="center"/>
          </w:tcPr>
          <w:p>
            <w:pPr>
              <w:widowControl/>
              <w:spacing w:line="0" w:lineRule="atLeast"/>
              <w:jc w:val="center"/>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三级指标</w:t>
            </w:r>
          </w:p>
        </w:tc>
        <w:tc>
          <w:tcPr>
            <w:tcW w:w="727" w:type="dxa"/>
            <w:shd w:val="clear" w:color="auto" w:fill="BFBFBF"/>
            <w:vAlign w:val="center"/>
          </w:tcPr>
          <w:p>
            <w:pPr>
              <w:widowControl/>
              <w:spacing w:line="0" w:lineRule="atLeast"/>
              <w:jc w:val="center"/>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权重</w:t>
            </w:r>
          </w:p>
        </w:tc>
        <w:tc>
          <w:tcPr>
            <w:tcW w:w="1044" w:type="dxa"/>
            <w:shd w:val="clear" w:color="auto" w:fill="BFBFBF"/>
            <w:vAlign w:val="center"/>
          </w:tcPr>
          <w:p>
            <w:pPr>
              <w:widowControl/>
              <w:tabs>
                <w:tab w:val="left" w:pos="1333"/>
                <w:tab w:val="center" w:pos="3623"/>
              </w:tabs>
              <w:spacing w:line="0" w:lineRule="atLeast"/>
              <w:jc w:val="center"/>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目标值</w:t>
            </w:r>
          </w:p>
        </w:tc>
        <w:tc>
          <w:tcPr>
            <w:tcW w:w="924" w:type="dxa"/>
            <w:shd w:val="clear" w:color="auto" w:fill="BFBFBF"/>
            <w:vAlign w:val="center"/>
          </w:tcPr>
          <w:p>
            <w:pPr>
              <w:widowControl/>
              <w:tabs>
                <w:tab w:val="left" w:pos="1333"/>
                <w:tab w:val="center" w:pos="3623"/>
              </w:tabs>
              <w:spacing w:line="0" w:lineRule="atLeast"/>
              <w:jc w:val="center"/>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业绩值</w:t>
            </w:r>
          </w:p>
        </w:tc>
        <w:tc>
          <w:tcPr>
            <w:tcW w:w="1215" w:type="dxa"/>
            <w:shd w:val="clear" w:color="auto" w:fill="BFBFBF"/>
            <w:vAlign w:val="center"/>
          </w:tcPr>
          <w:p>
            <w:pPr>
              <w:widowControl/>
              <w:tabs>
                <w:tab w:val="left" w:pos="1333"/>
                <w:tab w:val="center" w:pos="3623"/>
              </w:tabs>
              <w:spacing w:line="0" w:lineRule="atLeast"/>
              <w:jc w:val="center"/>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得分率</w:t>
            </w:r>
          </w:p>
        </w:tc>
        <w:tc>
          <w:tcPr>
            <w:tcW w:w="960" w:type="dxa"/>
            <w:shd w:val="clear" w:color="auto" w:fill="BFBFBF"/>
            <w:vAlign w:val="center"/>
          </w:tcPr>
          <w:p>
            <w:pPr>
              <w:widowControl/>
              <w:tabs>
                <w:tab w:val="left" w:pos="1333"/>
                <w:tab w:val="center" w:pos="3623"/>
              </w:tabs>
              <w:spacing w:line="0" w:lineRule="atLeast"/>
              <w:jc w:val="center"/>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p>
            <w:pPr>
              <w:widowControl/>
              <w:spacing w:line="0" w:lineRule="atLeast"/>
              <w:jc w:val="center"/>
              <w:rPr>
                <w:rFonts w:hint="default" w:ascii="Times New Roman" w:hAnsi="Times New Roman" w:cs="Times New Roman"/>
                <w:color w:val="000000"/>
                <w:kern w:val="0"/>
                <w:sz w:val="22"/>
                <w:szCs w:val="22"/>
              </w:rPr>
            </w:pPr>
          </w:p>
          <w:p>
            <w:pPr>
              <w:widowControl/>
              <w:spacing w:line="0" w:lineRule="atLeast"/>
              <w:jc w:val="center"/>
              <w:rPr>
                <w:rFonts w:hint="default" w:ascii="Times New Roman" w:hAnsi="Times New Roman" w:cs="Times New Roman"/>
                <w:color w:val="000000"/>
                <w:kern w:val="0"/>
                <w:sz w:val="22"/>
                <w:szCs w:val="22"/>
              </w:rPr>
            </w:pP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决策　</w:t>
            </w: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　</w:t>
            </w:r>
          </w:p>
          <w:p>
            <w:pPr>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　</w:t>
            </w: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　</w:t>
            </w:r>
          </w:p>
        </w:tc>
        <w:tc>
          <w:tcPr>
            <w:tcW w:w="990"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kern w:val="0"/>
                <w:sz w:val="22"/>
                <w:szCs w:val="22"/>
              </w:rPr>
              <w:t>20分</w:t>
            </w:r>
          </w:p>
        </w:tc>
        <w:tc>
          <w:tcPr>
            <w:tcW w:w="1283"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项目立项　</w:t>
            </w: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立项依据</w:t>
            </w: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充分性</w:t>
            </w:r>
          </w:p>
        </w:tc>
        <w:tc>
          <w:tcPr>
            <w:tcW w:w="72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3</w:t>
            </w:r>
          </w:p>
        </w:tc>
        <w:tc>
          <w:tcPr>
            <w:tcW w:w="1044"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充分</w:t>
            </w:r>
          </w:p>
        </w:tc>
        <w:tc>
          <w:tcPr>
            <w:tcW w:w="924"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充分</w:t>
            </w:r>
          </w:p>
        </w:tc>
        <w:tc>
          <w:tcPr>
            <w:tcW w:w="1215"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rPr>
            </w:pPr>
          </w:p>
        </w:tc>
        <w:tc>
          <w:tcPr>
            <w:tcW w:w="990"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1283"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立项程序</w:t>
            </w: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规范性</w:t>
            </w:r>
          </w:p>
        </w:tc>
        <w:tc>
          <w:tcPr>
            <w:tcW w:w="72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3</w:t>
            </w:r>
          </w:p>
        </w:tc>
        <w:tc>
          <w:tcPr>
            <w:tcW w:w="1044"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规范</w:t>
            </w:r>
          </w:p>
        </w:tc>
        <w:tc>
          <w:tcPr>
            <w:tcW w:w="924"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规范</w:t>
            </w:r>
          </w:p>
        </w:tc>
        <w:tc>
          <w:tcPr>
            <w:tcW w:w="1215"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67" w:hRule="atLeast"/>
        </w:trPr>
        <w:tc>
          <w:tcPr>
            <w:tcW w:w="1104"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rPr>
            </w:pPr>
          </w:p>
        </w:tc>
        <w:tc>
          <w:tcPr>
            <w:tcW w:w="990"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1283"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绩效目标　</w:t>
            </w: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绩效目标</w:t>
            </w: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合理性</w:t>
            </w:r>
          </w:p>
        </w:tc>
        <w:tc>
          <w:tcPr>
            <w:tcW w:w="727"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4</w:t>
            </w:r>
          </w:p>
        </w:tc>
        <w:tc>
          <w:tcPr>
            <w:tcW w:w="104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合理</w:t>
            </w:r>
          </w:p>
        </w:tc>
        <w:tc>
          <w:tcPr>
            <w:tcW w:w="92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合理</w:t>
            </w:r>
          </w:p>
        </w:tc>
        <w:tc>
          <w:tcPr>
            <w:tcW w:w="1215"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eastAsia="zh-CN"/>
              </w:rPr>
            </w:pPr>
            <w:r>
              <w:rPr>
                <w:rFonts w:hint="default" w:ascii="Times New Roman" w:hAnsi="Times New Roman" w:cs="Times New Roman"/>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990"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1283"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绩效指标</w:t>
            </w: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明确性</w:t>
            </w:r>
          </w:p>
        </w:tc>
        <w:tc>
          <w:tcPr>
            <w:tcW w:w="727"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3</w:t>
            </w:r>
          </w:p>
        </w:tc>
        <w:tc>
          <w:tcPr>
            <w:tcW w:w="104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明确</w:t>
            </w:r>
          </w:p>
        </w:tc>
        <w:tc>
          <w:tcPr>
            <w:tcW w:w="92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明确</w:t>
            </w:r>
          </w:p>
        </w:tc>
        <w:tc>
          <w:tcPr>
            <w:tcW w:w="1215"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eastAsia="zh-CN"/>
              </w:rPr>
            </w:pPr>
            <w:r>
              <w:rPr>
                <w:rFonts w:hint="default" w:ascii="Times New Roman" w:hAnsi="Times New Roman" w:cs="Times New Roman"/>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rPr>
            </w:pPr>
          </w:p>
        </w:tc>
        <w:tc>
          <w:tcPr>
            <w:tcW w:w="990"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rPr>
            </w:pPr>
          </w:p>
        </w:tc>
        <w:tc>
          <w:tcPr>
            <w:tcW w:w="1283"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资金投入</w:t>
            </w: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预算编制</w:t>
            </w: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科学性</w:t>
            </w:r>
          </w:p>
        </w:tc>
        <w:tc>
          <w:tcPr>
            <w:tcW w:w="72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4</w:t>
            </w:r>
          </w:p>
        </w:tc>
        <w:tc>
          <w:tcPr>
            <w:tcW w:w="1044"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科学</w:t>
            </w:r>
          </w:p>
        </w:tc>
        <w:tc>
          <w:tcPr>
            <w:tcW w:w="924"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科学</w:t>
            </w:r>
          </w:p>
        </w:tc>
        <w:tc>
          <w:tcPr>
            <w:tcW w:w="1215"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eastAsia="zh-CN"/>
              </w:rPr>
            </w:pPr>
            <w:r>
              <w:rPr>
                <w:rFonts w:hint="default" w:ascii="Times New Roman" w:hAnsi="Times New Roman" w:cs="Times New Roman"/>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990"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1283"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资金分配</w:t>
            </w: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合理性</w:t>
            </w:r>
          </w:p>
        </w:tc>
        <w:tc>
          <w:tcPr>
            <w:tcW w:w="72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3</w:t>
            </w:r>
          </w:p>
        </w:tc>
        <w:tc>
          <w:tcPr>
            <w:tcW w:w="1044"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合理</w:t>
            </w:r>
          </w:p>
        </w:tc>
        <w:tc>
          <w:tcPr>
            <w:tcW w:w="924"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合理</w:t>
            </w:r>
          </w:p>
        </w:tc>
        <w:tc>
          <w:tcPr>
            <w:tcW w:w="1215"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eastAsia="zh-CN"/>
              </w:rPr>
            </w:pPr>
            <w:r>
              <w:rPr>
                <w:rFonts w:hint="default" w:ascii="Times New Roman" w:hAnsi="Times New Roman" w:cs="Times New Roman"/>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67" w:hRule="atLeast"/>
        </w:trPr>
        <w:tc>
          <w:tcPr>
            <w:tcW w:w="1104" w:type="dxa"/>
            <w:vMerge w:val="restart"/>
            <w:shd w:val="clear" w:color="auto" w:fill="FFFFFF"/>
            <w:vAlign w:val="center"/>
          </w:tcPr>
          <w:p>
            <w:pPr>
              <w:spacing w:line="0" w:lineRule="atLeast"/>
              <w:jc w:val="center"/>
              <w:rPr>
                <w:rFonts w:hint="default" w:ascii="Times New Roman" w:hAnsi="Times New Roman" w:cs="Times New Roman"/>
                <w:color w:val="000000"/>
                <w:kern w:val="0"/>
                <w:sz w:val="22"/>
                <w:szCs w:val="22"/>
              </w:rPr>
            </w:pPr>
          </w:p>
          <w:p>
            <w:pPr>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过程</w:t>
            </w:r>
          </w:p>
          <w:p>
            <w:pPr>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　</w:t>
            </w:r>
          </w:p>
        </w:tc>
        <w:tc>
          <w:tcPr>
            <w:tcW w:w="990"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kern w:val="0"/>
                <w:sz w:val="22"/>
                <w:szCs w:val="22"/>
              </w:rPr>
              <w:t>20分</w:t>
            </w:r>
          </w:p>
        </w:tc>
        <w:tc>
          <w:tcPr>
            <w:tcW w:w="1283"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资金管理</w:t>
            </w: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资金到位率</w:t>
            </w:r>
          </w:p>
        </w:tc>
        <w:tc>
          <w:tcPr>
            <w:tcW w:w="727"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4</w:t>
            </w:r>
          </w:p>
        </w:tc>
        <w:tc>
          <w:tcPr>
            <w:tcW w:w="104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100%</w:t>
            </w:r>
          </w:p>
        </w:tc>
        <w:tc>
          <w:tcPr>
            <w:tcW w:w="92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1215"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eastAsia="zh-CN"/>
              </w:rPr>
            </w:pPr>
            <w:r>
              <w:rPr>
                <w:rFonts w:hint="default" w:ascii="Times New Roman" w:hAnsi="Times New Roman" w:cs="Times New Roman"/>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rPr>
            </w:pPr>
          </w:p>
        </w:tc>
        <w:tc>
          <w:tcPr>
            <w:tcW w:w="990"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rPr>
            </w:pPr>
          </w:p>
        </w:tc>
        <w:tc>
          <w:tcPr>
            <w:tcW w:w="1283"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rPr>
            </w:pP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预算执行率</w:t>
            </w:r>
          </w:p>
        </w:tc>
        <w:tc>
          <w:tcPr>
            <w:tcW w:w="72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4</w:t>
            </w:r>
          </w:p>
        </w:tc>
        <w:tc>
          <w:tcPr>
            <w:tcW w:w="1044"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100%</w:t>
            </w:r>
          </w:p>
        </w:tc>
        <w:tc>
          <w:tcPr>
            <w:tcW w:w="924"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1215"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eastAsia="zh-CN"/>
              </w:rPr>
            </w:pPr>
            <w:r>
              <w:rPr>
                <w:rFonts w:hint="default" w:ascii="Times New Roman" w:hAnsi="Times New Roman" w:cs="Times New Roman"/>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rPr>
            </w:pPr>
          </w:p>
        </w:tc>
        <w:tc>
          <w:tcPr>
            <w:tcW w:w="990"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128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资金管理</w:t>
            </w: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资金使用</w:t>
            </w: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合规性</w:t>
            </w:r>
          </w:p>
        </w:tc>
        <w:tc>
          <w:tcPr>
            <w:tcW w:w="727"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4</w:t>
            </w:r>
          </w:p>
        </w:tc>
        <w:tc>
          <w:tcPr>
            <w:tcW w:w="104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合格</w:t>
            </w:r>
          </w:p>
        </w:tc>
        <w:tc>
          <w:tcPr>
            <w:tcW w:w="92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合格</w:t>
            </w:r>
          </w:p>
        </w:tc>
        <w:tc>
          <w:tcPr>
            <w:tcW w:w="1215"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eastAsia="zh-CN"/>
              </w:rPr>
            </w:pPr>
            <w:r>
              <w:rPr>
                <w:rFonts w:hint="default" w:ascii="Times New Roman" w:hAnsi="Times New Roman" w:cs="Times New Roman"/>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rPr>
            </w:pPr>
          </w:p>
        </w:tc>
        <w:tc>
          <w:tcPr>
            <w:tcW w:w="990"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rPr>
            </w:pPr>
          </w:p>
        </w:tc>
        <w:tc>
          <w:tcPr>
            <w:tcW w:w="1283"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组织实施</w:t>
            </w: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管理制度</w:t>
            </w: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健全性</w:t>
            </w:r>
          </w:p>
        </w:tc>
        <w:tc>
          <w:tcPr>
            <w:tcW w:w="727"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4</w:t>
            </w:r>
          </w:p>
        </w:tc>
        <w:tc>
          <w:tcPr>
            <w:tcW w:w="104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健全</w:t>
            </w:r>
          </w:p>
        </w:tc>
        <w:tc>
          <w:tcPr>
            <w:tcW w:w="92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健全</w:t>
            </w:r>
          </w:p>
        </w:tc>
        <w:tc>
          <w:tcPr>
            <w:tcW w:w="1215"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eastAsia="zh-CN"/>
              </w:rPr>
            </w:pPr>
            <w:r>
              <w:rPr>
                <w:rFonts w:hint="default" w:ascii="Times New Roman" w:hAnsi="Times New Roman" w:cs="Times New Roman"/>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67" w:hRule="atLeast"/>
        </w:trPr>
        <w:tc>
          <w:tcPr>
            <w:tcW w:w="1104"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990"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1283"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制度执行</w:t>
            </w: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有效性</w:t>
            </w:r>
          </w:p>
        </w:tc>
        <w:tc>
          <w:tcPr>
            <w:tcW w:w="727"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4</w:t>
            </w:r>
          </w:p>
        </w:tc>
        <w:tc>
          <w:tcPr>
            <w:tcW w:w="104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有效</w:t>
            </w:r>
          </w:p>
        </w:tc>
        <w:tc>
          <w:tcPr>
            <w:tcW w:w="92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有效</w:t>
            </w:r>
          </w:p>
        </w:tc>
        <w:tc>
          <w:tcPr>
            <w:tcW w:w="1215"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eastAsia="zh-CN"/>
              </w:rPr>
            </w:pPr>
            <w:r>
              <w:rPr>
                <w:rFonts w:hint="default" w:ascii="Times New Roman" w:hAnsi="Times New Roman" w:cs="Times New Roman"/>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产出</w:t>
            </w:r>
          </w:p>
        </w:tc>
        <w:tc>
          <w:tcPr>
            <w:tcW w:w="990"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kern w:val="0"/>
                <w:sz w:val="22"/>
                <w:szCs w:val="22"/>
              </w:rPr>
              <w:t>40分</w:t>
            </w:r>
          </w:p>
        </w:tc>
        <w:tc>
          <w:tcPr>
            <w:tcW w:w="128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产出数量</w:t>
            </w: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实际完成率</w:t>
            </w:r>
          </w:p>
        </w:tc>
        <w:tc>
          <w:tcPr>
            <w:tcW w:w="727"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10</w:t>
            </w:r>
          </w:p>
        </w:tc>
        <w:tc>
          <w:tcPr>
            <w:tcW w:w="104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100%</w:t>
            </w:r>
          </w:p>
        </w:tc>
        <w:tc>
          <w:tcPr>
            <w:tcW w:w="92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1215"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990"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128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产出质量</w:t>
            </w: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质量达标率</w:t>
            </w:r>
          </w:p>
        </w:tc>
        <w:tc>
          <w:tcPr>
            <w:tcW w:w="727"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10</w:t>
            </w:r>
          </w:p>
        </w:tc>
        <w:tc>
          <w:tcPr>
            <w:tcW w:w="104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100%</w:t>
            </w:r>
          </w:p>
        </w:tc>
        <w:tc>
          <w:tcPr>
            <w:tcW w:w="92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1215"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rPr>
            </w:pPr>
          </w:p>
        </w:tc>
        <w:tc>
          <w:tcPr>
            <w:tcW w:w="990"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rPr>
            </w:pPr>
          </w:p>
        </w:tc>
        <w:tc>
          <w:tcPr>
            <w:tcW w:w="1283" w:type="dxa"/>
            <w:shd w:val="clear" w:color="auto" w:fill="FFFFFF"/>
            <w:vAlign w:val="center"/>
          </w:tcPr>
          <w:p>
            <w:pPr>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产出时效</w:t>
            </w: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完成及时性</w:t>
            </w:r>
          </w:p>
        </w:tc>
        <w:tc>
          <w:tcPr>
            <w:tcW w:w="727"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10</w:t>
            </w:r>
          </w:p>
        </w:tc>
        <w:tc>
          <w:tcPr>
            <w:tcW w:w="104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及时</w:t>
            </w:r>
          </w:p>
        </w:tc>
        <w:tc>
          <w:tcPr>
            <w:tcW w:w="92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及时</w:t>
            </w:r>
          </w:p>
        </w:tc>
        <w:tc>
          <w:tcPr>
            <w:tcW w:w="1215"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67" w:hRule="atLeast"/>
        </w:trPr>
        <w:tc>
          <w:tcPr>
            <w:tcW w:w="1104"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990"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128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产出成本</w:t>
            </w: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成本节约率</w:t>
            </w:r>
          </w:p>
        </w:tc>
        <w:tc>
          <w:tcPr>
            <w:tcW w:w="727"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10</w:t>
            </w:r>
          </w:p>
        </w:tc>
        <w:tc>
          <w:tcPr>
            <w:tcW w:w="104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100%</w:t>
            </w:r>
          </w:p>
        </w:tc>
        <w:tc>
          <w:tcPr>
            <w:tcW w:w="92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1215"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效益　</w:t>
            </w:r>
          </w:p>
        </w:tc>
        <w:tc>
          <w:tcPr>
            <w:tcW w:w="990"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20分</w:t>
            </w:r>
          </w:p>
        </w:tc>
        <w:tc>
          <w:tcPr>
            <w:tcW w:w="1283"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项目效益　</w:t>
            </w: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实施效益</w:t>
            </w: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（社会效益、经济效益、可持续效益）</w:t>
            </w:r>
          </w:p>
        </w:tc>
        <w:tc>
          <w:tcPr>
            <w:tcW w:w="72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15</w:t>
            </w:r>
          </w:p>
        </w:tc>
        <w:tc>
          <w:tcPr>
            <w:tcW w:w="1044"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有效</w:t>
            </w:r>
          </w:p>
        </w:tc>
        <w:tc>
          <w:tcPr>
            <w:tcW w:w="924"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有效</w:t>
            </w:r>
          </w:p>
        </w:tc>
        <w:tc>
          <w:tcPr>
            <w:tcW w:w="1215"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val="en-US" w:eastAsia="zh-CN"/>
              </w:rPr>
            </w:pPr>
            <w:r>
              <w:rPr>
                <w:rFonts w:hint="default" w:ascii="Times New Roman" w:hAnsi="Times New Roman" w:cs="Times New Roman"/>
                <w:color w:val="000000"/>
                <w:kern w:val="0"/>
                <w:sz w:val="22"/>
                <w:szCs w:val="22"/>
                <w:highlight w:val="none"/>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990"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1283"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170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满意度</w:t>
            </w:r>
          </w:p>
        </w:tc>
        <w:tc>
          <w:tcPr>
            <w:tcW w:w="727"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5</w:t>
            </w:r>
          </w:p>
        </w:tc>
        <w:tc>
          <w:tcPr>
            <w:tcW w:w="104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w:t>
            </w:r>
            <w:r>
              <w:rPr>
                <w:rFonts w:hint="default" w:ascii="Times New Roman" w:hAnsi="Times New Roman" w:cs="Times New Roman"/>
                <w:color w:val="000000"/>
                <w:kern w:val="0"/>
                <w:sz w:val="22"/>
                <w:szCs w:val="22"/>
                <w:highlight w:val="none"/>
                <w:lang w:val="en-US" w:eastAsia="zh-CN"/>
              </w:rPr>
              <w:t>90</w:t>
            </w:r>
            <w:r>
              <w:rPr>
                <w:rFonts w:hint="default" w:ascii="Times New Roman" w:hAnsi="Times New Roman" w:cs="Times New Roman"/>
                <w:color w:val="000000"/>
                <w:kern w:val="0"/>
                <w:sz w:val="22"/>
                <w:szCs w:val="22"/>
                <w:highlight w:val="none"/>
              </w:rPr>
              <w:t>%</w:t>
            </w:r>
          </w:p>
        </w:tc>
        <w:tc>
          <w:tcPr>
            <w:tcW w:w="924"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r>
              <w:rPr>
                <w:rFonts w:hint="default" w:ascii="Times New Roman" w:hAnsi="Times New Roman" w:cs="Times New Roman"/>
                <w:color w:val="000000"/>
                <w:kern w:val="0"/>
                <w:sz w:val="22"/>
                <w:szCs w:val="22"/>
                <w:highlight w:val="none"/>
              </w:rPr>
              <w:t>%</w:t>
            </w:r>
          </w:p>
        </w:tc>
        <w:tc>
          <w:tcPr>
            <w:tcW w:w="1215" w:type="dxa"/>
            <w:shd w:val="clear" w:color="000000"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ascii="Times New Roman" w:hAnsi="Times New Roman" w:eastAsia="宋体" w:cs="Times New Roman"/>
                <w:color w:val="000000"/>
                <w:kern w:val="0"/>
                <w:sz w:val="22"/>
                <w:szCs w:val="22"/>
                <w:highlight w:val="none"/>
                <w:lang w:eastAsia="zh-CN"/>
              </w:rPr>
            </w:pPr>
            <w:r>
              <w:rPr>
                <w:rFonts w:hint="default" w:ascii="Times New Roman" w:hAnsi="Times New Roman" w:cs="Times New Roman"/>
                <w:color w:val="000000"/>
                <w:kern w:val="0"/>
                <w:sz w:val="22"/>
                <w:szCs w:val="22"/>
                <w:highlight w:val="none"/>
                <w:lang w:val="en-US" w:eastAsia="zh-CN"/>
              </w:rPr>
              <w:t>5</w:t>
            </w:r>
          </w:p>
        </w:tc>
      </w:tr>
    </w:tbl>
    <w:p>
      <w:pPr>
        <w:pageBreakBefore w:val="0"/>
        <w:kinsoku/>
        <w:wordWrap/>
        <w:overflowPunct/>
        <w:topLinePunct w:val="0"/>
        <w:autoSpaceDE/>
        <w:bidi w:val="0"/>
        <w:adjustRightInd/>
        <w:snapToGrid/>
        <w:spacing w:line="560" w:lineRule="exact"/>
        <w:ind w:firstLine="320" w:firstLineChars="1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pPr>
        <w:pStyle w:val="18"/>
        <w:pageBreakBefore w:val="0"/>
        <w:kinsoku/>
        <w:wordWrap/>
        <w:overflowPunct/>
        <w:topLinePunct w:val="0"/>
        <w:autoSpaceDE/>
        <w:bidi w:val="0"/>
        <w:adjustRightInd/>
        <w:snapToGrid/>
        <w:spacing w:line="560" w:lineRule="exact"/>
        <w:ind w:firstLine="642" w:firstLineChars="200"/>
        <w:jc w:val="both"/>
        <w:textAlignment w:val="auto"/>
        <w:rPr>
          <w:rFonts w:hint="default" w:ascii="Times New Roman" w:hAnsi="Times New Roman" w:eastAsia="楷体_GB2312" w:cs="Times New Roman"/>
        </w:rPr>
      </w:pPr>
      <w:r>
        <w:rPr>
          <w:rFonts w:hint="default" w:ascii="Times New Roman" w:hAnsi="Times New Roman" w:eastAsia="楷体_GB2312" w:cs="Times New Roman"/>
        </w:rPr>
        <w:t>（一）项目决策情况</w:t>
      </w:r>
    </w:p>
    <w:p>
      <w:pPr>
        <w:pageBreakBefore w:val="0"/>
        <w:kinsoku/>
        <w:wordWrap/>
        <w:overflowPunct/>
        <w:topLinePunct w:val="0"/>
        <w:autoSpaceDE/>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项目</w:t>
      </w:r>
      <w:r>
        <w:rPr>
          <w:rFonts w:hint="default" w:ascii="Times New Roman" w:hAnsi="Times New Roman" w:eastAsia="仿宋_GB2312" w:cs="Times New Roman"/>
          <w:color w:val="000000"/>
          <w:sz w:val="32"/>
          <w:szCs w:val="32"/>
          <w:lang w:eastAsia="zh-CN"/>
        </w:rPr>
        <w:t>严格按照</w:t>
      </w:r>
      <w:r>
        <w:rPr>
          <w:rFonts w:hint="default" w:ascii="Times New Roman" w:hAnsi="Times New Roman" w:eastAsia="仿宋_GB2312" w:cs="Times New Roman"/>
          <w:b w:val="0"/>
          <w:bCs w:val="0"/>
          <w:sz w:val="32"/>
          <w:szCs w:val="32"/>
          <w:lang w:val="en-US" w:eastAsia="zh-CN"/>
        </w:rPr>
        <w:t>《新疆维吾尔自治区畜牧兽医局关于印发&lt;2023年自治区畜产品质量安全监测计划&gt;的通知》（</w:t>
      </w:r>
      <w:r>
        <w:rPr>
          <w:rFonts w:hint="default" w:ascii="Times New Roman" w:hAnsi="Times New Roman" w:eastAsia="仿宋" w:cs="Times New Roman"/>
          <w:b w:val="0"/>
          <w:bCs w:val="0"/>
          <w:sz w:val="32"/>
          <w:szCs w:val="32"/>
          <w:lang w:val="en-US" w:eastAsia="zh-CN"/>
        </w:rPr>
        <w:t>新牧函〔2023〕293号）、</w:t>
      </w:r>
      <w:r>
        <w:rPr>
          <w:rFonts w:hint="default" w:ascii="Times New Roman" w:hAnsi="Times New Roman" w:eastAsia="仿宋_GB2312" w:cs="Times New Roman"/>
          <w:b w:val="0"/>
          <w:i w:val="0"/>
          <w:caps w:val="0"/>
          <w:color w:val="000000"/>
          <w:spacing w:val="0"/>
          <w:w w:val="100"/>
          <w:sz w:val="32"/>
          <w:szCs w:val="32"/>
          <w:lang w:val="en-US" w:eastAsia="zh-CN"/>
        </w:rPr>
        <w:t>《新疆维吾尔自治区畜牧兽医局关于印发&lt;2023年自治区饲料质量安全监管工作方案&gt;的通知》（新牧饲字〔2023〕1号）、</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b w:val="0"/>
          <w:i w:val="0"/>
          <w:caps w:val="0"/>
          <w:color w:val="000000"/>
          <w:spacing w:val="0"/>
          <w:w w:val="100"/>
          <w:sz w:val="32"/>
          <w:szCs w:val="32"/>
          <w:lang w:val="en-US" w:eastAsia="zh-CN"/>
        </w:rPr>
        <w:t>新疆维吾尔</w:t>
      </w:r>
      <w:r>
        <w:rPr>
          <w:rFonts w:hint="default" w:ascii="Times New Roman" w:hAnsi="Times New Roman" w:eastAsia="仿宋_GB2312" w:cs="Times New Roman"/>
          <w:sz w:val="32"/>
          <w:szCs w:val="32"/>
          <w:lang w:val="en-US" w:eastAsia="zh-CN"/>
        </w:rPr>
        <w:t>自治区畜牧兽医局关于印发＜2023年自治区兽药质量监督抽检和风险监测等3个计划＞的通知》</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新牧药字〔2023〕2号</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color w:val="000000"/>
          <w:sz w:val="32"/>
          <w:szCs w:val="32"/>
          <w:lang w:val="en-US" w:eastAsia="zh-CN"/>
        </w:rPr>
        <w:t>的要求</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按照资金补助项目要求，首先成立项目实施领导小组，做出全年详细工作计划和具体的实施方案，项目的实施由业务室和相关检测科室完成，资金使用情况由财务室定期汇报给所领导。业务室根据实施方案安排抽样，任务下达、结果上报。检测科室根据检测任务对所需的试剂耗材、设备、标准品进行申购和维修。财务科及时拨付项目资金，并按进度开展绩效评价，各科室各司其职，相互协调配合，保证了项目的顺利实施和验收。</w:t>
      </w:r>
    </w:p>
    <w:p>
      <w:pPr>
        <w:pageBreakBefore w:val="0"/>
        <w:kinsoku/>
        <w:wordWrap/>
        <w:overflowPunct/>
        <w:topLinePunct w:val="0"/>
        <w:autoSpaceDE/>
        <w:bidi w:val="0"/>
        <w:adjustRightInd/>
        <w:snapToGrid/>
        <w:spacing w:line="560" w:lineRule="exact"/>
        <w:ind w:firstLine="640" w:firstLineChars="200"/>
        <w:textAlignment w:val="auto"/>
        <w:rPr>
          <w:rFonts w:hint="default" w:ascii="Times New Roman" w:hAnsi="Times New Roman" w:cs="Times New Roman"/>
          <w:sz w:val="32"/>
          <w:szCs w:val="32"/>
        </w:rPr>
      </w:pPr>
      <w:r>
        <w:rPr>
          <w:rFonts w:hint="default" w:ascii="Times New Roman" w:hAnsi="Times New Roman" w:eastAsia="仿宋_GB2312" w:cs="Times New Roman"/>
          <w:kern w:val="0"/>
          <w:sz w:val="32"/>
          <w:szCs w:val="32"/>
        </w:rPr>
        <w:t>项目的日常管理工作均按照我单位相关管理制度执行，建立年初工作有计划，实施有方案、日常有监督的管理机制，下发目标绩效考核管理办法，</w:t>
      </w:r>
      <w:r>
        <w:rPr>
          <w:rFonts w:hint="default" w:ascii="Times New Roman" w:hAnsi="Times New Roman" w:eastAsia="仿宋_GB2312" w:cs="Times New Roman"/>
          <w:kern w:val="0"/>
          <w:sz w:val="32"/>
          <w:szCs w:val="32"/>
          <w:lang w:val="en-US" w:eastAsia="zh-CN"/>
        </w:rPr>
        <w:t>确保</w:t>
      </w:r>
      <w:r>
        <w:rPr>
          <w:rFonts w:hint="default" w:ascii="Times New Roman" w:hAnsi="Times New Roman" w:eastAsia="仿宋_GB2312" w:cs="Times New Roman"/>
          <w:kern w:val="0"/>
          <w:sz w:val="32"/>
          <w:szCs w:val="32"/>
        </w:rPr>
        <w:t>项目工作</w:t>
      </w:r>
      <w:r>
        <w:rPr>
          <w:rFonts w:hint="default" w:ascii="Times New Roman" w:hAnsi="Times New Roman" w:eastAsia="仿宋_GB2312" w:cs="Times New Roman"/>
          <w:kern w:val="0"/>
          <w:sz w:val="32"/>
          <w:szCs w:val="32"/>
          <w:lang w:val="en-US" w:eastAsia="zh-CN"/>
        </w:rPr>
        <w:t>准确高效的完成</w:t>
      </w:r>
      <w:r>
        <w:rPr>
          <w:rFonts w:hint="default" w:ascii="Times New Roman" w:hAnsi="Times New Roman" w:eastAsia="仿宋_GB2312" w:cs="Times New Roman"/>
          <w:kern w:val="0"/>
          <w:sz w:val="32"/>
          <w:szCs w:val="32"/>
        </w:rPr>
        <w:t>。</w:t>
      </w:r>
    </w:p>
    <w:p>
      <w:pPr>
        <w:pStyle w:val="18"/>
        <w:pageBreakBefore w:val="0"/>
        <w:kinsoku/>
        <w:wordWrap/>
        <w:overflowPunct/>
        <w:topLinePunct w:val="0"/>
        <w:autoSpaceDE/>
        <w:bidi w:val="0"/>
        <w:adjustRightInd/>
        <w:snapToGrid/>
        <w:spacing w:line="560" w:lineRule="exact"/>
        <w:ind w:firstLine="642" w:firstLineChars="200"/>
        <w:jc w:val="both"/>
        <w:textAlignment w:val="auto"/>
        <w:rPr>
          <w:rFonts w:hint="default" w:ascii="Times New Roman" w:hAnsi="Times New Roman" w:eastAsia="楷体_GB2312" w:cs="Times New Roman"/>
        </w:rPr>
      </w:pPr>
      <w:r>
        <w:rPr>
          <w:rFonts w:hint="default" w:ascii="Times New Roman" w:hAnsi="Times New Roman" w:eastAsia="楷体_GB2312" w:cs="Times New Roman"/>
        </w:rPr>
        <w:t>（二）项目过程情况</w:t>
      </w:r>
    </w:p>
    <w:p>
      <w:pPr>
        <w:pageBreakBefore w:val="0"/>
        <w:kinsoku/>
        <w:wordWrap/>
        <w:overflowPunct/>
        <w:topLinePunct w:val="0"/>
        <w:autoSpaceDE/>
        <w:bidi w:val="0"/>
        <w:adjustRightInd/>
        <w:snapToGrid/>
        <w:spacing w:line="560" w:lineRule="exact"/>
        <w:ind w:firstLine="624"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pacing w:val="-4"/>
          <w:sz w:val="32"/>
          <w:szCs w:val="32"/>
        </w:rPr>
        <w:t>本项目从申报到实施都符合上级主管部门的相关要求，实施单位的职能和能力符合申报的要求，项目的实际完成数量等于或超过预期数量，在质量、时效完成情况上符合申报要求和上级主管部门的要求。</w:t>
      </w:r>
      <w:r>
        <w:rPr>
          <w:rFonts w:hint="default" w:ascii="Times New Roman" w:hAnsi="Times New Roman" w:eastAsia="仿宋_GB2312" w:cs="Times New Roman"/>
          <w:sz w:val="32"/>
          <w:szCs w:val="32"/>
        </w:rPr>
        <w:t>项目实施单位的业务管理制度全面、完整、合理，符合相关法律法规。项目调整支出手续完备设立独立专项账目，检测记录、总结报告等资料齐全并统一归档。项目实施单位的人员、场地、设备、技术能力等符合项目的实施要求，为完成项目实施有效性，单位对人员的技术能力进行定期培训，对设备定期维护、保养、检定，参加全国能力验证、比对试验，保证检测结果的准确性，可靠性。</w:t>
      </w:r>
    </w:p>
    <w:p>
      <w:pPr>
        <w:pageBreakBefore w:val="0"/>
        <w:kinsoku/>
        <w:wordWrap/>
        <w:overflowPunct/>
        <w:topLinePunct w:val="0"/>
        <w:autoSpaceDE/>
        <w:autoSpaceDN w:val="0"/>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财务管理制度全面、完整、合理，符合相关会计制度的规定，资金拨付的审批程序手续完整。项目资金使用符合国家财经法规和财务管理制度项目资金使用符合相关专项资金管理办法的规定，做到专款专用，没有截留、挤占、挪用、虚列支出等情况，为保障资金的安全、规范运行建立了岗位责任制、内部监督等机制，做到会计核算规范、信息真实。各项绩效目标完成值均达到或超过项目绩效设定指标值。</w:t>
      </w:r>
      <w:r>
        <w:rPr>
          <w:rFonts w:hint="default" w:ascii="Times New Roman" w:hAnsi="Times New Roman" w:eastAsia="仿宋_GB2312" w:cs="Times New Roman"/>
          <w:sz w:val="32"/>
          <w:szCs w:val="32"/>
          <w:lang w:val="en-US" w:eastAsia="zh-CN"/>
        </w:rPr>
        <w:t xml:space="preserve"> </w:t>
      </w:r>
    </w:p>
    <w:p>
      <w:pPr>
        <w:pStyle w:val="18"/>
        <w:pageBreakBefore w:val="0"/>
        <w:kinsoku/>
        <w:wordWrap/>
        <w:overflowPunct/>
        <w:topLinePunct w:val="0"/>
        <w:autoSpaceDE/>
        <w:bidi w:val="0"/>
        <w:adjustRightInd/>
        <w:snapToGrid/>
        <w:spacing w:line="560" w:lineRule="exact"/>
        <w:ind w:firstLine="642" w:firstLineChars="200"/>
        <w:jc w:val="both"/>
        <w:textAlignment w:val="auto"/>
        <w:rPr>
          <w:rFonts w:hint="default" w:ascii="Times New Roman" w:hAnsi="Times New Roman" w:eastAsia="楷体_GB2312" w:cs="Times New Roman"/>
        </w:rPr>
      </w:pPr>
      <w:r>
        <w:rPr>
          <w:rFonts w:hint="default" w:ascii="Times New Roman" w:hAnsi="Times New Roman" w:eastAsia="楷体_GB2312" w:cs="Times New Roman"/>
        </w:rPr>
        <w:t>（三）项目产出</w:t>
      </w:r>
    </w:p>
    <w:p>
      <w:pPr>
        <w:pageBreakBefore w:val="0"/>
        <w:kinsoku/>
        <w:wordWrap/>
        <w:overflowPunct/>
        <w:topLinePunct w:val="0"/>
        <w:autoSpaceDE/>
        <w:bidi w:val="0"/>
        <w:adjustRightInd/>
        <w:snapToGrid/>
        <w:spacing w:line="560" w:lineRule="exact"/>
        <w:ind w:firstLine="624" w:firstLineChars="200"/>
        <w:textAlignment w:val="auto"/>
        <w:rPr>
          <w:rStyle w:val="23"/>
          <w:rFonts w:hint="default" w:ascii="Times New Roman" w:hAnsi="Times New Roman" w:eastAsia="仿宋" w:cs="Times New Roman"/>
          <w:b w:val="0"/>
          <w:spacing w:val="-4"/>
          <w:sz w:val="32"/>
          <w:szCs w:val="32"/>
        </w:rPr>
      </w:pPr>
      <w:r>
        <w:rPr>
          <w:rStyle w:val="23"/>
          <w:rFonts w:hint="default" w:ascii="Times New Roman" w:hAnsi="Times New Roman" w:eastAsia="仿宋" w:cs="Times New Roman"/>
          <w:b w:val="0"/>
          <w:spacing w:val="-4"/>
          <w:sz w:val="32"/>
          <w:szCs w:val="32"/>
        </w:rPr>
        <w:t>数量指标方面：</w:t>
      </w:r>
    </w:p>
    <w:p>
      <w:pPr>
        <w:pageBreakBefore w:val="0"/>
        <w:kinsoku/>
        <w:wordWrap/>
        <w:overflowPunct/>
        <w:topLinePunct w:val="0"/>
        <w:autoSpaceDE/>
        <w:bidi w:val="0"/>
        <w:adjustRightInd/>
        <w:snapToGrid/>
        <w:spacing w:line="560" w:lineRule="exact"/>
        <w:ind w:firstLine="640" w:firstLineChars="200"/>
        <w:textAlignment w:val="auto"/>
        <w:outlineLvl w:val="0"/>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a.</w:t>
      </w:r>
      <w:r>
        <w:rPr>
          <w:rFonts w:hint="default" w:ascii="Times New Roman" w:hAnsi="Times New Roman" w:eastAsia="仿宋_GB2312" w:cs="Times New Roman"/>
          <w:color w:val="auto"/>
          <w:sz w:val="32"/>
          <w:szCs w:val="32"/>
        </w:rPr>
        <w:t>兽药、饲料、畜产品质量</w:t>
      </w:r>
      <w:r>
        <w:rPr>
          <w:rFonts w:hint="default" w:ascii="Times New Roman" w:hAnsi="Times New Roman" w:eastAsia="仿宋_GB2312" w:cs="Times New Roman"/>
          <w:color w:val="auto"/>
          <w:sz w:val="32"/>
          <w:szCs w:val="32"/>
          <w:lang w:val="en-US" w:eastAsia="zh-CN"/>
        </w:rPr>
        <w:t>检测</w:t>
      </w:r>
      <w:r>
        <w:rPr>
          <w:rFonts w:hint="default" w:ascii="Times New Roman" w:hAnsi="Times New Roman" w:eastAsia="仿宋_GB2312" w:cs="Times New Roman"/>
          <w:color w:val="auto"/>
          <w:sz w:val="32"/>
          <w:szCs w:val="32"/>
          <w:lang w:eastAsia="zh-CN"/>
        </w:rPr>
        <w:t>指标</w:t>
      </w:r>
      <w:r>
        <w:rPr>
          <w:rFonts w:hint="default" w:ascii="Times New Roman" w:hAnsi="Times New Roman" w:eastAsia="仿宋_GB2312" w:cs="Times New Roman"/>
          <w:color w:val="auto"/>
          <w:sz w:val="32"/>
          <w:szCs w:val="32"/>
          <w:lang w:val="en-US" w:eastAsia="zh-CN"/>
        </w:rPr>
        <w:t>，指标值为完成监测大于等于2600批次，实际完成兽药质量监测800批次，</w:t>
      </w:r>
      <w:r>
        <w:rPr>
          <w:rFonts w:hint="default" w:ascii="Times New Roman" w:hAnsi="Times New Roman" w:eastAsia="仿宋_GB2312" w:cs="Times New Roman"/>
          <w:color w:val="auto"/>
          <w:kern w:val="0"/>
          <w:sz w:val="32"/>
          <w:szCs w:val="32"/>
          <w:lang w:val="en-US" w:eastAsia="zh-CN"/>
        </w:rPr>
        <w:t>饲料质量安全监测400批次，</w:t>
      </w:r>
      <w:r>
        <w:rPr>
          <w:rFonts w:hint="default" w:ascii="Times New Roman" w:hAnsi="Times New Roman" w:eastAsia="仿宋_GB2312" w:cs="Times New Roman"/>
          <w:color w:val="auto"/>
          <w:kern w:val="0"/>
          <w:sz w:val="32"/>
          <w:szCs w:val="32"/>
        </w:rPr>
        <w:t>畜产品质量安全监测1</w:t>
      </w:r>
      <w:r>
        <w:rPr>
          <w:rFonts w:hint="default" w:ascii="Times New Roman" w:hAnsi="Times New Roman" w:eastAsia="仿宋_GB2312" w:cs="Times New Roman"/>
          <w:color w:val="auto"/>
          <w:kern w:val="0"/>
          <w:sz w:val="32"/>
          <w:szCs w:val="32"/>
          <w:lang w:val="en-US" w:eastAsia="zh-CN"/>
        </w:rPr>
        <w:t>4</w:t>
      </w:r>
      <w:r>
        <w:rPr>
          <w:rFonts w:hint="default" w:ascii="Times New Roman" w:hAnsi="Times New Roman" w:eastAsia="仿宋_GB2312" w:cs="Times New Roman"/>
          <w:color w:val="auto"/>
          <w:kern w:val="0"/>
          <w:sz w:val="32"/>
          <w:szCs w:val="32"/>
        </w:rPr>
        <w:t>00批次</w:t>
      </w:r>
      <w:r>
        <w:rPr>
          <w:rFonts w:hint="default" w:ascii="Times New Roman" w:hAnsi="Times New Roman" w:eastAsia="仿宋_GB2312" w:cs="Times New Roman"/>
          <w:color w:val="auto"/>
          <w:kern w:val="0"/>
          <w:sz w:val="32"/>
          <w:szCs w:val="32"/>
          <w:lang w:eastAsia="zh-CN"/>
        </w:rPr>
        <w:t>，</w:t>
      </w:r>
      <w:r>
        <w:rPr>
          <w:rFonts w:hint="default" w:ascii="Times New Roman" w:hAnsi="Times New Roman" w:eastAsia="仿宋_GB2312" w:cs="Times New Roman"/>
          <w:color w:val="auto"/>
          <w:sz w:val="32"/>
          <w:szCs w:val="32"/>
          <w:lang w:val="en-US" w:eastAsia="zh-CN"/>
        </w:rPr>
        <w:t>完成率100%，偏差率0%。</w:t>
      </w:r>
    </w:p>
    <w:p>
      <w:pPr>
        <w:pageBreakBefore w:val="0"/>
        <w:kinsoku/>
        <w:wordWrap/>
        <w:overflowPunct/>
        <w:topLinePunct w:val="0"/>
        <w:autoSpaceDE/>
        <w:bidi w:val="0"/>
        <w:adjustRightInd/>
        <w:snapToGrid/>
        <w:spacing w:line="56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b.</w:t>
      </w:r>
      <w:r>
        <w:rPr>
          <w:rFonts w:hint="default" w:ascii="Times New Roman" w:hAnsi="Times New Roman" w:eastAsia="仿宋_GB2312" w:cs="Times New Roman"/>
          <w:color w:val="auto"/>
          <w:kern w:val="0"/>
          <w:sz w:val="32"/>
          <w:szCs w:val="32"/>
        </w:rPr>
        <w:t>动物源细菌耐药性监测</w:t>
      </w:r>
      <w:r>
        <w:rPr>
          <w:rFonts w:hint="default" w:ascii="Times New Roman" w:hAnsi="Times New Roman" w:eastAsia="仿宋_GB2312" w:cs="Times New Roman"/>
          <w:color w:val="auto"/>
          <w:kern w:val="0"/>
          <w:sz w:val="32"/>
          <w:szCs w:val="32"/>
          <w:lang w:eastAsia="zh-CN"/>
        </w:rPr>
        <w:t>指标，指标值为完成</w:t>
      </w:r>
      <w:r>
        <w:rPr>
          <w:rFonts w:hint="default" w:ascii="Times New Roman" w:hAnsi="Times New Roman" w:eastAsia="仿宋_GB2312" w:cs="Times New Roman"/>
          <w:color w:val="auto"/>
          <w:kern w:val="0"/>
          <w:sz w:val="32"/>
          <w:szCs w:val="32"/>
        </w:rPr>
        <w:t>动物源细菌耐药性监测工作</w:t>
      </w:r>
      <w:r>
        <w:rPr>
          <w:rFonts w:hint="default" w:ascii="Times New Roman" w:hAnsi="Times New Roman" w:eastAsia="仿宋_GB2312" w:cs="Times New Roman"/>
          <w:color w:val="auto"/>
          <w:kern w:val="0"/>
          <w:sz w:val="32"/>
          <w:szCs w:val="32"/>
          <w:lang w:val="en-US" w:eastAsia="zh-CN"/>
        </w:rPr>
        <w:t>200批次，实际完成200批次，完成率100%，偏差率0%。</w:t>
      </w:r>
    </w:p>
    <w:p>
      <w:pPr>
        <w:pageBreakBefore w:val="0"/>
        <w:kinsoku/>
        <w:wordWrap/>
        <w:overflowPunct/>
        <w:topLinePunct w:val="0"/>
        <w:autoSpaceDE/>
        <w:bidi w:val="0"/>
        <w:adjustRightInd/>
        <w:snapToGrid/>
        <w:spacing w:line="56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c.</w:t>
      </w:r>
      <w:r>
        <w:rPr>
          <w:rFonts w:hint="default" w:ascii="Times New Roman" w:hAnsi="Times New Roman" w:eastAsia="仿宋_GB2312" w:cs="Times New Roman"/>
          <w:color w:val="auto"/>
          <w:kern w:val="0"/>
          <w:sz w:val="32"/>
          <w:szCs w:val="32"/>
        </w:rPr>
        <w:t>设备</w:t>
      </w:r>
      <w:r>
        <w:rPr>
          <w:rFonts w:hint="eastAsia" w:eastAsia="仿宋_GB2312" w:cs="Times New Roman"/>
          <w:color w:val="auto"/>
          <w:kern w:val="0"/>
          <w:sz w:val="32"/>
          <w:szCs w:val="32"/>
          <w:lang w:val="en-US" w:eastAsia="zh-CN"/>
        </w:rPr>
        <w:t>采购数量</w:t>
      </w:r>
      <w:r>
        <w:rPr>
          <w:rFonts w:hint="default" w:ascii="Times New Roman" w:hAnsi="Times New Roman" w:eastAsia="仿宋_GB2312" w:cs="Times New Roman"/>
          <w:color w:val="auto"/>
          <w:kern w:val="0"/>
          <w:sz w:val="32"/>
          <w:szCs w:val="32"/>
          <w:lang w:eastAsia="zh-CN"/>
        </w:rPr>
        <w:t>指标，</w:t>
      </w:r>
      <w:r>
        <w:rPr>
          <w:rFonts w:hint="default" w:ascii="Times New Roman" w:hAnsi="Times New Roman" w:eastAsia="仿宋_GB2312" w:cs="Times New Roman"/>
          <w:color w:val="auto"/>
          <w:kern w:val="0"/>
          <w:sz w:val="32"/>
          <w:szCs w:val="32"/>
          <w:lang w:val="en-US" w:eastAsia="zh-CN"/>
        </w:rPr>
        <w:t>指标值为</w:t>
      </w:r>
      <w:r>
        <w:rPr>
          <w:rFonts w:hint="default" w:ascii="Times New Roman" w:hAnsi="Times New Roman" w:eastAsia="仿宋_GB2312" w:cs="Times New Roman"/>
          <w:color w:val="auto"/>
          <w:kern w:val="0"/>
          <w:sz w:val="32"/>
          <w:szCs w:val="32"/>
        </w:rPr>
        <w:t>设备</w:t>
      </w:r>
      <w:r>
        <w:rPr>
          <w:rFonts w:hint="eastAsia" w:eastAsia="仿宋_GB2312" w:cs="Times New Roman"/>
          <w:color w:val="auto"/>
          <w:kern w:val="0"/>
          <w:sz w:val="32"/>
          <w:szCs w:val="32"/>
          <w:lang w:val="en-US" w:eastAsia="zh-CN"/>
        </w:rPr>
        <w:t>采购数量</w:t>
      </w:r>
      <w:r>
        <w:rPr>
          <w:rFonts w:hint="default" w:ascii="Times New Roman" w:hAnsi="Times New Roman" w:eastAsia="仿宋_GB2312" w:cs="Times New Roman"/>
          <w:color w:val="auto"/>
          <w:kern w:val="0"/>
          <w:sz w:val="32"/>
          <w:szCs w:val="32"/>
          <w:lang w:eastAsia="zh-CN"/>
        </w:rPr>
        <w:t>大于等于</w:t>
      </w:r>
      <w:r>
        <w:rPr>
          <w:rFonts w:hint="default" w:ascii="Times New Roman" w:hAnsi="Times New Roman" w:eastAsia="仿宋_GB2312" w:cs="Times New Roman"/>
          <w:color w:val="auto"/>
          <w:kern w:val="0"/>
          <w:sz w:val="32"/>
          <w:szCs w:val="32"/>
          <w:lang w:val="en-US" w:eastAsia="zh-CN"/>
        </w:rPr>
        <w:t>10台，实际购置10台套，完成率100%，偏差率0%。</w:t>
      </w:r>
    </w:p>
    <w:p>
      <w:pPr>
        <w:pageBreakBefore w:val="0"/>
        <w:kinsoku/>
        <w:wordWrap/>
        <w:overflowPunct/>
        <w:topLinePunct w:val="0"/>
        <w:autoSpaceDE/>
        <w:bidi w:val="0"/>
        <w:adjustRightInd/>
        <w:snapToGrid/>
        <w:spacing w:line="56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d.监测覆盖范围指标，指标值为监测覆盖范围14个地州，实际完成14个地州，完成率100%，偏差率0%。</w:t>
      </w:r>
    </w:p>
    <w:p>
      <w:pPr>
        <w:pageBreakBefore w:val="0"/>
        <w:kinsoku/>
        <w:wordWrap/>
        <w:overflowPunct/>
        <w:topLinePunct w:val="0"/>
        <w:autoSpaceDE/>
        <w:bidi w:val="0"/>
        <w:adjustRightInd/>
        <w:snapToGrid/>
        <w:spacing w:line="560" w:lineRule="exact"/>
        <w:ind w:firstLine="640" w:firstLineChars="200"/>
        <w:textAlignment w:val="auto"/>
        <w:rPr>
          <w:rStyle w:val="52"/>
          <w:rFonts w:hint="default" w:ascii="Times New Roman" w:hAnsi="Times New Roman" w:cs="Times New Roman"/>
          <w:color w:val="auto"/>
        </w:rPr>
      </w:pPr>
      <w:r>
        <w:rPr>
          <w:rStyle w:val="52"/>
          <w:rFonts w:hint="default" w:ascii="Times New Roman" w:hAnsi="Times New Roman" w:cs="Times New Roman"/>
          <w:color w:val="auto"/>
        </w:rPr>
        <w:t>质量指标方面：</w:t>
      </w:r>
    </w:p>
    <w:p>
      <w:pPr>
        <w:pageBreakBefore w:val="0"/>
        <w:kinsoku/>
        <w:wordWrap/>
        <w:overflowPunct/>
        <w:topLinePunct w:val="0"/>
        <w:autoSpaceDE/>
        <w:bidi w:val="0"/>
        <w:adjustRightInd/>
        <w:snapToGrid/>
        <w:spacing w:line="560" w:lineRule="exact"/>
        <w:ind w:firstLine="640" w:firstLineChars="200"/>
        <w:textAlignment w:val="auto"/>
        <w:rPr>
          <w:rStyle w:val="52"/>
          <w:rFonts w:hint="default" w:ascii="Times New Roman" w:hAnsi="Times New Roman" w:eastAsia="仿宋_GB2312" w:cs="Times New Roman"/>
          <w:color w:val="auto"/>
          <w:lang w:val="en-US" w:eastAsia="zh-CN"/>
        </w:rPr>
      </w:pPr>
      <w:r>
        <w:rPr>
          <w:rStyle w:val="52"/>
          <w:rFonts w:hint="default" w:ascii="Times New Roman" w:hAnsi="Times New Roman" w:eastAsia="仿宋_GB2312" w:cs="Times New Roman"/>
          <w:color w:val="auto"/>
          <w:lang w:val="en-US" w:eastAsia="zh-CN"/>
        </w:rPr>
        <w:t>a.</w:t>
      </w:r>
      <w:r>
        <w:rPr>
          <w:rStyle w:val="52"/>
          <w:rFonts w:hint="default" w:ascii="Times New Roman" w:hAnsi="Times New Roman" w:cs="Times New Roman"/>
          <w:color w:val="auto"/>
        </w:rPr>
        <w:t>监测数据准确率</w:t>
      </w:r>
      <w:r>
        <w:rPr>
          <w:rStyle w:val="52"/>
          <w:rFonts w:hint="default" w:ascii="Times New Roman" w:hAnsi="Times New Roman" w:eastAsia="仿宋_GB2312" w:cs="Times New Roman"/>
          <w:color w:val="auto"/>
          <w:lang w:eastAsia="zh-CN"/>
        </w:rPr>
        <w:t>指标，</w:t>
      </w:r>
      <w:r>
        <w:rPr>
          <w:rFonts w:hint="default" w:ascii="Times New Roman" w:hAnsi="Times New Roman" w:eastAsia="仿宋_GB2312" w:cs="Times New Roman"/>
          <w:color w:val="auto"/>
          <w:kern w:val="0"/>
          <w:sz w:val="32"/>
          <w:szCs w:val="32"/>
          <w:lang w:eastAsia="zh-CN"/>
        </w:rPr>
        <w:t>指标值为</w:t>
      </w:r>
      <w:r>
        <w:rPr>
          <w:rStyle w:val="52"/>
          <w:rFonts w:hint="default" w:ascii="Times New Roman" w:hAnsi="Times New Roman" w:cs="Times New Roman"/>
          <w:color w:val="auto"/>
        </w:rPr>
        <w:t>监测数据准确率</w:t>
      </w:r>
      <w:r>
        <w:rPr>
          <w:rStyle w:val="52"/>
          <w:rFonts w:hint="eastAsia" w:eastAsia="仿宋_GB2312" w:cs="Times New Roman"/>
          <w:color w:val="auto"/>
          <w:lang w:val="en-US" w:eastAsia="zh-CN"/>
        </w:rPr>
        <w:t>等于</w:t>
      </w:r>
      <w:r>
        <w:rPr>
          <w:rStyle w:val="52"/>
          <w:rFonts w:hint="default" w:ascii="Times New Roman" w:hAnsi="Times New Roman" w:eastAsia="仿宋_GB2312" w:cs="Times New Roman"/>
          <w:color w:val="auto"/>
          <w:lang w:val="en-US" w:eastAsia="zh-CN"/>
        </w:rPr>
        <w:t>100%</w:t>
      </w:r>
      <w:r>
        <w:rPr>
          <w:rFonts w:hint="default" w:ascii="Times New Roman" w:hAnsi="Times New Roman" w:eastAsia="仿宋_GB2312" w:cs="Times New Roman"/>
          <w:color w:val="auto"/>
          <w:kern w:val="0"/>
          <w:sz w:val="32"/>
          <w:szCs w:val="32"/>
          <w:lang w:val="en-US" w:eastAsia="zh-CN"/>
        </w:rPr>
        <w:t>，完成率100%，偏差率0%。</w:t>
      </w:r>
    </w:p>
    <w:p>
      <w:pPr>
        <w:pageBreakBefore w:val="0"/>
        <w:numPr>
          <w:ilvl w:val="0"/>
          <w:numId w:val="0"/>
        </w:numPr>
        <w:kinsoku/>
        <w:wordWrap/>
        <w:overflowPunct/>
        <w:topLinePunct w:val="0"/>
        <w:autoSpaceDE/>
        <w:bidi w:val="0"/>
        <w:adjustRightInd/>
        <w:snapToGrid/>
        <w:spacing w:line="560" w:lineRule="exact"/>
        <w:ind w:firstLine="640" w:firstLineChars="200"/>
        <w:textAlignment w:val="auto"/>
        <w:rPr>
          <w:rStyle w:val="52"/>
          <w:rFonts w:hint="default" w:ascii="Times New Roman" w:hAnsi="Times New Roman" w:eastAsia="仿宋_GB2312" w:cs="Times New Roman"/>
          <w:color w:val="auto"/>
          <w:lang w:val="en-US" w:eastAsia="zh-CN"/>
        </w:rPr>
      </w:pPr>
      <w:r>
        <w:rPr>
          <w:rStyle w:val="52"/>
          <w:rFonts w:hint="default" w:ascii="Times New Roman" w:hAnsi="Times New Roman" w:eastAsia="仿宋_GB2312" w:cs="Times New Roman"/>
          <w:color w:val="auto"/>
          <w:lang w:val="en-US" w:eastAsia="zh-CN"/>
        </w:rPr>
        <w:t>b.政府采购率指标，指标值为政府采购率等于100%，完成率100%，偏差率0%。</w:t>
      </w:r>
    </w:p>
    <w:p>
      <w:pPr>
        <w:pageBreakBefore w:val="0"/>
        <w:kinsoku/>
        <w:wordWrap/>
        <w:overflowPunct/>
        <w:topLinePunct w:val="0"/>
        <w:autoSpaceDE/>
        <w:bidi w:val="0"/>
        <w:adjustRightInd/>
        <w:snapToGrid/>
        <w:spacing w:line="560" w:lineRule="exact"/>
        <w:ind w:firstLine="640" w:firstLineChars="200"/>
        <w:textAlignment w:val="auto"/>
        <w:rPr>
          <w:rStyle w:val="52"/>
          <w:rFonts w:hint="default" w:ascii="Times New Roman" w:hAnsi="Times New Roman" w:cs="Times New Roman"/>
          <w:color w:val="auto"/>
          <w:lang w:val="en-US" w:eastAsia="zh-CN"/>
        </w:rPr>
      </w:pPr>
      <w:r>
        <w:rPr>
          <w:rStyle w:val="52"/>
          <w:rFonts w:hint="default" w:ascii="Times New Roman" w:hAnsi="Times New Roman" w:eastAsia="仿宋_GB2312" w:cs="Times New Roman"/>
          <w:color w:val="auto"/>
          <w:lang w:val="en-US" w:eastAsia="zh-CN"/>
        </w:rPr>
        <w:t>c.</w:t>
      </w:r>
      <w:r>
        <w:rPr>
          <w:rStyle w:val="52"/>
          <w:rFonts w:hint="default" w:ascii="Times New Roman" w:hAnsi="Times New Roman" w:cs="Times New Roman"/>
          <w:color w:val="auto"/>
        </w:rPr>
        <w:t>设备质量</w:t>
      </w:r>
      <w:r>
        <w:rPr>
          <w:rStyle w:val="52"/>
          <w:rFonts w:hint="default" w:ascii="Times New Roman" w:hAnsi="Times New Roman" w:eastAsia="仿宋_GB2312" w:cs="Times New Roman"/>
          <w:color w:val="auto"/>
          <w:lang w:val="en-US" w:eastAsia="zh-CN"/>
        </w:rPr>
        <w:t>合格率</w:t>
      </w:r>
      <w:r>
        <w:rPr>
          <w:rStyle w:val="52"/>
          <w:rFonts w:hint="default" w:ascii="Times New Roman" w:hAnsi="Times New Roman" w:eastAsia="仿宋_GB2312" w:cs="Times New Roman"/>
          <w:color w:val="auto"/>
          <w:lang w:eastAsia="zh-CN"/>
        </w:rPr>
        <w:t>指标，指标值</w:t>
      </w:r>
      <w:r>
        <w:rPr>
          <w:rStyle w:val="52"/>
          <w:rFonts w:hint="default" w:ascii="Times New Roman" w:hAnsi="Times New Roman" w:eastAsia="仿宋_GB2312" w:cs="Times New Roman"/>
          <w:color w:val="auto"/>
          <w:lang w:val="en-US" w:eastAsia="zh-CN"/>
        </w:rPr>
        <w:t>为</w:t>
      </w:r>
      <w:r>
        <w:rPr>
          <w:rStyle w:val="52"/>
          <w:rFonts w:hint="default" w:ascii="Times New Roman" w:hAnsi="Times New Roman" w:cs="Times New Roman"/>
          <w:color w:val="auto"/>
        </w:rPr>
        <w:t>设备质量合格率</w:t>
      </w:r>
      <w:r>
        <w:rPr>
          <w:rStyle w:val="52"/>
          <w:rFonts w:hint="default" w:ascii="Times New Roman" w:hAnsi="Times New Roman" w:cs="Times New Roman"/>
          <w:color w:val="auto"/>
          <w:lang w:eastAsia="zh-CN"/>
        </w:rPr>
        <w:t>等于</w:t>
      </w:r>
      <w:r>
        <w:rPr>
          <w:rStyle w:val="52"/>
          <w:rFonts w:hint="default" w:ascii="Times New Roman" w:hAnsi="Times New Roman" w:cs="Times New Roman"/>
          <w:color w:val="auto"/>
          <w:lang w:val="en-US" w:eastAsia="zh-CN"/>
        </w:rPr>
        <w:t>100%，</w:t>
      </w:r>
      <w:r>
        <w:rPr>
          <w:rStyle w:val="52"/>
          <w:rFonts w:hint="default" w:ascii="Times New Roman" w:hAnsi="Times New Roman" w:eastAsia="仿宋_GB2312" w:cs="Times New Roman"/>
          <w:color w:val="auto"/>
          <w:lang w:val="en-US" w:eastAsia="zh-CN"/>
        </w:rPr>
        <w:t>通过仪器设备检定、校准及期间核查等，证明实验设备</w:t>
      </w:r>
      <w:r>
        <w:rPr>
          <w:rStyle w:val="52"/>
          <w:rFonts w:hint="default" w:ascii="Times New Roman" w:hAnsi="Times New Roman" w:cs="Times New Roman"/>
          <w:color w:val="auto"/>
        </w:rPr>
        <w:t>质量合格率</w:t>
      </w:r>
      <w:r>
        <w:rPr>
          <w:rStyle w:val="52"/>
          <w:rFonts w:hint="default" w:ascii="Times New Roman" w:hAnsi="Times New Roman" w:cs="Times New Roman"/>
          <w:color w:val="auto"/>
          <w:lang w:val="en-US" w:eastAsia="zh-CN"/>
        </w:rPr>
        <w:t>100%，完成率100%，偏差率0%。</w:t>
      </w:r>
    </w:p>
    <w:p>
      <w:pPr>
        <w:pageBreakBefore w:val="0"/>
        <w:numPr>
          <w:ilvl w:val="0"/>
          <w:numId w:val="0"/>
        </w:numPr>
        <w:kinsoku/>
        <w:wordWrap/>
        <w:overflowPunct/>
        <w:topLinePunct w:val="0"/>
        <w:autoSpaceDE/>
        <w:bidi w:val="0"/>
        <w:adjustRightInd/>
        <w:snapToGrid/>
        <w:spacing w:line="560" w:lineRule="exact"/>
        <w:ind w:firstLine="640" w:firstLineChars="200"/>
        <w:textAlignment w:val="auto"/>
        <w:rPr>
          <w:rStyle w:val="52"/>
          <w:rFonts w:hint="default" w:ascii="Times New Roman" w:hAnsi="Times New Roman" w:cs="Times New Roman"/>
          <w:color w:val="auto"/>
          <w:lang w:val="en-US" w:eastAsia="zh-CN"/>
        </w:rPr>
      </w:pPr>
      <w:r>
        <w:rPr>
          <w:rStyle w:val="52"/>
          <w:rFonts w:hint="default" w:ascii="Times New Roman" w:hAnsi="Times New Roman" w:eastAsia="仿宋_GB2312" w:cs="Times New Roman"/>
          <w:color w:val="auto"/>
          <w:lang w:val="en-US" w:eastAsia="zh-CN"/>
        </w:rPr>
        <w:t>d.</w:t>
      </w:r>
      <w:r>
        <w:rPr>
          <w:rStyle w:val="52"/>
          <w:rFonts w:hint="default" w:ascii="Times New Roman" w:hAnsi="Times New Roman" w:cs="Times New Roman"/>
          <w:color w:val="auto"/>
        </w:rPr>
        <w:t>设备验收</w:t>
      </w:r>
      <w:r>
        <w:rPr>
          <w:rStyle w:val="52"/>
          <w:rFonts w:hint="default" w:ascii="Times New Roman" w:hAnsi="Times New Roman" w:eastAsia="仿宋_GB2312" w:cs="Times New Roman"/>
          <w:color w:val="auto"/>
          <w:lang w:val="en-US" w:eastAsia="zh-CN"/>
        </w:rPr>
        <w:t>合格率</w:t>
      </w:r>
      <w:r>
        <w:rPr>
          <w:rStyle w:val="52"/>
          <w:rFonts w:hint="default" w:ascii="Times New Roman" w:hAnsi="Times New Roman" w:cs="Times New Roman"/>
          <w:color w:val="auto"/>
          <w:lang w:eastAsia="zh-CN"/>
        </w:rPr>
        <w:t>指标，指标值为</w:t>
      </w:r>
      <w:r>
        <w:rPr>
          <w:rStyle w:val="52"/>
          <w:rFonts w:hint="default" w:ascii="Times New Roman" w:hAnsi="Times New Roman" w:cs="Times New Roman"/>
          <w:color w:val="auto"/>
        </w:rPr>
        <w:t>设备验收合格率</w:t>
      </w:r>
      <w:r>
        <w:rPr>
          <w:rStyle w:val="52"/>
          <w:rFonts w:hint="default" w:ascii="Times New Roman" w:hAnsi="Times New Roman" w:cs="Times New Roman"/>
          <w:color w:val="auto"/>
          <w:lang w:eastAsia="zh-CN"/>
        </w:rPr>
        <w:t>等于</w:t>
      </w:r>
      <w:r>
        <w:rPr>
          <w:rStyle w:val="52"/>
          <w:rFonts w:hint="default" w:ascii="Times New Roman" w:hAnsi="Times New Roman" w:cs="Times New Roman"/>
          <w:color w:val="auto"/>
          <w:lang w:val="en-US" w:eastAsia="zh-CN"/>
        </w:rPr>
        <w:t>100%，实际验收试验设备10台套，</w:t>
      </w:r>
      <w:r>
        <w:rPr>
          <w:rStyle w:val="52"/>
          <w:rFonts w:hint="default" w:ascii="Times New Roman" w:hAnsi="Times New Roman" w:cs="Times New Roman"/>
          <w:color w:val="auto"/>
        </w:rPr>
        <w:t>设备验收合格率</w:t>
      </w:r>
      <w:r>
        <w:rPr>
          <w:rStyle w:val="52"/>
          <w:rFonts w:hint="default" w:ascii="Times New Roman" w:hAnsi="Times New Roman" w:cs="Times New Roman"/>
          <w:color w:val="auto"/>
          <w:lang w:val="en-US" w:eastAsia="zh-CN"/>
        </w:rPr>
        <w:t>100%。完成率100%，偏差率0%。</w:t>
      </w:r>
    </w:p>
    <w:p>
      <w:pPr>
        <w:pStyle w:val="18"/>
        <w:pageBreakBefore w:val="0"/>
        <w:kinsoku/>
        <w:wordWrap/>
        <w:overflowPunct/>
        <w:topLinePunct w:val="0"/>
        <w:autoSpaceDE/>
        <w:bidi w:val="0"/>
        <w:adjustRightInd/>
        <w:snapToGrid/>
        <w:spacing w:before="0" w:after="0" w:line="560" w:lineRule="exact"/>
        <w:ind w:firstLine="640" w:firstLineChars="200"/>
        <w:jc w:val="both"/>
        <w:textAlignment w:val="auto"/>
        <w:rPr>
          <w:rStyle w:val="52"/>
          <w:rFonts w:hint="default" w:ascii="Times New Roman" w:hAnsi="Times New Roman" w:cs="Times New Roman"/>
          <w:b w:val="0"/>
          <w:bCs w:val="0"/>
          <w:color w:val="auto"/>
        </w:rPr>
      </w:pPr>
      <w:r>
        <w:rPr>
          <w:rStyle w:val="52"/>
          <w:rFonts w:hint="default" w:ascii="Times New Roman" w:hAnsi="Times New Roman" w:cs="Times New Roman"/>
          <w:b w:val="0"/>
          <w:bCs w:val="0"/>
          <w:color w:val="auto"/>
        </w:rPr>
        <w:t>成本指标方面：</w:t>
      </w:r>
    </w:p>
    <w:p>
      <w:pPr>
        <w:pageBreakBefore w:val="0"/>
        <w:numPr>
          <w:ilvl w:val="0"/>
          <w:numId w:val="0"/>
        </w:numPr>
        <w:kinsoku/>
        <w:wordWrap/>
        <w:overflowPunct/>
        <w:topLinePunct w:val="0"/>
        <w:autoSpaceDE/>
        <w:bidi w:val="0"/>
        <w:adjustRightInd/>
        <w:snapToGrid/>
        <w:spacing w:line="560" w:lineRule="exact"/>
        <w:ind w:firstLine="640" w:firstLineChars="200"/>
        <w:textAlignment w:val="auto"/>
        <w:rPr>
          <w:rStyle w:val="52"/>
          <w:rFonts w:hint="default" w:ascii="Times New Roman" w:hAnsi="Times New Roman" w:eastAsia="仿宋_GB2312" w:cs="Times New Roman"/>
          <w:color w:val="auto"/>
          <w:lang w:val="en-US" w:eastAsia="zh-CN"/>
        </w:rPr>
      </w:pPr>
      <w:r>
        <w:rPr>
          <w:rStyle w:val="52"/>
          <w:rFonts w:hint="default" w:ascii="Times New Roman" w:hAnsi="Times New Roman" w:eastAsia="仿宋_GB2312" w:cs="Times New Roman"/>
          <w:color w:val="auto"/>
          <w:lang w:val="en-US" w:eastAsia="zh-CN"/>
        </w:rPr>
        <w:t>a.动物源细菌耐药性监测平均成本指标，指标值为动物源耐药性监测平均成本小于等于1000元/批次，实际动物源耐药性监测平均成本1000元/批次，完成率100%，偏差率0%。</w:t>
      </w:r>
    </w:p>
    <w:p>
      <w:pPr>
        <w:pageBreakBefore w:val="0"/>
        <w:numPr>
          <w:ilvl w:val="0"/>
          <w:numId w:val="0"/>
        </w:numPr>
        <w:kinsoku/>
        <w:wordWrap/>
        <w:overflowPunct/>
        <w:topLinePunct w:val="0"/>
        <w:autoSpaceDE/>
        <w:bidi w:val="0"/>
        <w:adjustRightInd/>
        <w:snapToGrid/>
        <w:spacing w:line="560" w:lineRule="exact"/>
        <w:ind w:firstLine="640" w:firstLineChars="200"/>
        <w:textAlignment w:val="auto"/>
        <w:rPr>
          <w:rStyle w:val="52"/>
          <w:rFonts w:hint="default" w:ascii="Times New Roman" w:hAnsi="Times New Roman" w:eastAsia="仿宋_GB2312" w:cs="Times New Roman"/>
          <w:color w:val="auto"/>
          <w:lang w:val="en-US" w:eastAsia="zh-CN"/>
        </w:rPr>
      </w:pPr>
      <w:r>
        <w:rPr>
          <w:rStyle w:val="52"/>
          <w:rFonts w:hint="default" w:ascii="Times New Roman" w:hAnsi="Times New Roman" w:eastAsia="仿宋_GB2312" w:cs="Times New Roman"/>
          <w:color w:val="auto"/>
          <w:lang w:val="en-US" w:eastAsia="zh-CN"/>
        </w:rPr>
        <w:t>b.兽药、饲料、畜产品质量安全监测平均成本指标，指标值为兽药、饲料、畜产品质量安全监测平均成本小于等于1000元/批次，实际兽药、饲料、畜产品质量安全监测平均成本1000元/批次，完成率100%，偏差率0%。</w:t>
      </w:r>
    </w:p>
    <w:p>
      <w:pPr>
        <w:pageBreakBefore w:val="0"/>
        <w:kinsoku/>
        <w:wordWrap/>
        <w:overflowPunct/>
        <w:topLinePunct w:val="0"/>
        <w:autoSpaceDE/>
        <w:bidi w:val="0"/>
        <w:adjustRightInd/>
        <w:snapToGrid/>
        <w:spacing w:line="560" w:lineRule="exact"/>
        <w:ind w:firstLine="640" w:firstLineChars="200"/>
        <w:textAlignment w:val="auto"/>
        <w:rPr>
          <w:rStyle w:val="52"/>
          <w:rFonts w:hint="default" w:ascii="Times New Roman" w:hAnsi="Times New Roman" w:eastAsia="仿宋_GB2312" w:cs="Times New Roman"/>
          <w:color w:val="auto"/>
          <w:lang w:val="en-US" w:eastAsia="zh-CN"/>
        </w:rPr>
      </w:pPr>
      <w:r>
        <w:rPr>
          <w:rStyle w:val="52"/>
          <w:rFonts w:hint="default" w:ascii="Times New Roman" w:hAnsi="Times New Roman" w:eastAsia="仿宋_GB2312" w:cs="Times New Roman"/>
          <w:color w:val="auto"/>
          <w:lang w:val="en-US" w:eastAsia="zh-CN"/>
        </w:rPr>
        <w:t>c.设备采购成本控制数指标，指标值为设备采购成本控制数小于等于9.8万元/台，设备实际采购成本小于等于8.98万元</w:t>
      </w:r>
      <w:r>
        <w:rPr>
          <w:rStyle w:val="52"/>
          <w:rFonts w:hint="eastAsia" w:eastAsia="仿宋_GB2312" w:cs="Times New Roman"/>
          <w:color w:val="auto"/>
          <w:lang w:val="en-US" w:eastAsia="zh-CN"/>
        </w:rPr>
        <w:t>/台</w:t>
      </w:r>
      <w:r>
        <w:rPr>
          <w:rStyle w:val="52"/>
          <w:rFonts w:hint="default" w:ascii="Times New Roman" w:hAnsi="Times New Roman" w:eastAsia="仿宋_GB2312" w:cs="Times New Roman"/>
          <w:color w:val="auto"/>
          <w:lang w:val="en-US" w:eastAsia="zh-CN"/>
        </w:rPr>
        <w:t>。</w:t>
      </w:r>
    </w:p>
    <w:p>
      <w:pPr>
        <w:pageBreakBefore w:val="0"/>
        <w:kinsoku/>
        <w:wordWrap/>
        <w:overflowPunct/>
        <w:topLinePunct w:val="0"/>
        <w:autoSpaceDE/>
        <w:bidi w:val="0"/>
        <w:adjustRightInd/>
        <w:snapToGrid/>
        <w:spacing w:line="560" w:lineRule="exact"/>
        <w:ind w:firstLine="640" w:firstLineChars="200"/>
        <w:textAlignment w:val="auto"/>
        <w:rPr>
          <w:rStyle w:val="52"/>
          <w:rFonts w:hint="default" w:ascii="Times New Roman" w:hAnsi="Times New Roman" w:cs="Times New Roman"/>
          <w:color w:val="auto"/>
        </w:rPr>
      </w:pPr>
      <w:r>
        <w:rPr>
          <w:rStyle w:val="52"/>
          <w:rFonts w:hint="default" w:ascii="Times New Roman" w:hAnsi="Times New Roman" w:cs="Times New Roman"/>
          <w:color w:val="auto"/>
        </w:rPr>
        <w:t>时效指标方面：</w:t>
      </w:r>
    </w:p>
    <w:p>
      <w:pPr>
        <w:pageBreakBefore w:val="0"/>
        <w:numPr>
          <w:ilvl w:val="0"/>
          <w:numId w:val="0"/>
        </w:numPr>
        <w:kinsoku/>
        <w:wordWrap/>
        <w:overflowPunct/>
        <w:topLinePunct w:val="0"/>
        <w:autoSpaceDE/>
        <w:bidi w:val="0"/>
        <w:adjustRightInd/>
        <w:snapToGrid/>
        <w:spacing w:line="560" w:lineRule="exact"/>
        <w:ind w:firstLine="640" w:firstLineChars="200"/>
        <w:textAlignment w:val="auto"/>
        <w:rPr>
          <w:rStyle w:val="52"/>
          <w:rFonts w:hint="default" w:ascii="Times New Roman" w:hAnsi="Times New Roman" w:eastAsia="仿宋_GB2312" w:cs="Times New Roman"/>
          <w:color w:val="auto"/>
          <w:lang w:val="en-US" w:eastAsia="zh-CN"/>
        </w:rPr>
      </w:pPr>
      <w:r>
        <w:rPr>
          <w:rStyle w:val="52"/>
          <w:rFonts w:hint="default" w:ascii="Times New Roman" w:hAnsi="Times New Roman" w:eastAsia="仿宋_GB2312" w:cs="Times New Roman"/>
          <w:color w:val="auto"/>
          <w:lang w:val="en-US" w:eastAsia="zh-CN"/>
        </w:rPr>
        <w:t>a.检测按期完成率</w:t>
      </w:r>
      <w:r>
        <w:rPr>
          <w:rStyle w:val="52"/>
          <w:rFonts w:hint="default" w:ascii="Times New Roman" w:hAnsi="Times New Roman" w:cs="Times New Roman"/>
          <w:color w:val="auto"/>
          <w:lang w:eastAsia="zh-CN"/>
        </w:rPr>
        <w:t>指标，指标值为</w:t>
      </w:r>
      <w:r>
        <w:rPr>
          <w:rStyle w:val="52"/>
          <w:rFonts w:hint="default" w:ascii="Times New Roman" w:hAnsi="Times New Roman" w:eastAsia="仿宋_GB2312" w:cs="Times New Roman"/>
          <w:color w:val="auto"/>
          <w:lang w:val="en-US" w:eastAsia="zh-CN"/>
        </w:rPr>
        <w:t>检测按期完成率大于等于</w:t>
      </w:r>
      <w:r>
        <w:rPr>
          <w:rStyle w:val="52"/>
          <w:rFonts w:hint="default" w:ascii="Times New Roman" w:hAnsi="Times New Roman" w:cs="Times New Roman"/>
          <w:color w:val="auto"/>
          <w:lang w:val="en-US" w:eastAsia="zh-CN"/>
        </w:rPr>
        <w:t>90%，实际年度检测任务均按时完成，完成率100%</w:t>
      </w:r>
      <w:r>
        <w:rPr>
          <w:rStyle w:val="52"/>
          <w:rFonts w:hint="default" w:ascii="Times New Roman" w:hAnsi="Times New Roman" w:eastAsia="仿宋_GB2312" w:cs="Times New Roman"/>
          <w:color w:val="auto"/>
          <w:lang w:val="en-US" w:eastAsia="zh-CN"/>
        </w:rPr>
        <w:t>，偏差率0%。</w:t>
      </w:r>
    </w:p>
    <w:p>
      <w:pPr>
        <w:pageBreakBefore w:val="0"/>
        <w:numPr>
          <w:ilvl w:val="0"/>
          <w:numId w:val="0"/>
        </w:numPr>
        <w:kinsoku/>
        <w:wordWrap/>
        <w:overflowPunct/>
        <w:topLinePunct w:val="0"/>
        <w:autoSpaceDE/>
        <w:bidi w:val="0"/>
        <w:adjustRightInd/>
        <w:snapToGrid/>
        <w:spacing w:line="560" w:lineRule="exact"/>
        <w:ind w:firstLine="640" w:firstLineChars="200"/>
        <w:textAlignment w:val="auto"/>
        <w:rPr>
          <w:rStyle w:val="52"/>
          <w:rFonts w:hint="default" w:ascii="Times New Roman" w:hAnsi="Times New Roman" w:eastAsia="仿宋_GB2312" w:cs="Times New Roman"/>
          <w:color w:val="auto"/>
          <w:lang w:val="en-US" w:eastAsia="zh-CN"/>
        </w:rPr>
      </w:pPr>
      <w:r>
        <w:rPr>
          <w:rStyle w:val="52"/>
          <w:rFonts w:hint="default" w:ascii="Times New Roman" w:hAnsi="Times New Roman" w:eastAsia="仿宋_GB2312" w:cs="Times New Roman"/>
          <w:color w:val="auto"/>
          <w:lang w:val="en-US" w:eastAsia="zh-CN"/>
        </w:rPr>
        <w:t>b.设备采购完成时间</w:t>
      </w:r>
      <w:r>
        <w:rPr>
          <w:rStyle w:val="52"/>
          <w:rFonts w:hint="default" w:ascii="Times New Roman" w:hAnsi="Times New Roman" w:cs="Times New Roman"/>
          <w:color w:val="auto"/>
          <w:lang w:eastAsia="zh-CN"/>
        </w:rPr>
        <w:t>指标，指标值为</w:t>
      </w:r>
      <w:r>
        <w:rPr>
          <w:rStyle w:val="52"/>
          <w:rFonts w:hint="default" w:ascii="Times New Roman" w:hAnsi="Times New Roman" w:eastAsia="仿宋_GB2312" w:cs="Times New Roman"/>
          <w:color w:val="auto"/>
          <w:lang w:val="en-US" w:eastAsia="zh-CN"/>
        </w:rPr>
        <w:t>设备采购完成时间2023年12月31日，实际已经按照采购计划，</w:t>
      </w:r>
      <w:r>
        <w:rPr>
          <w:rStyle w:val="52"/>
          <w:rFonts w:hint="eastAsia" w:ascii="Times New Roman" w:hAnsi="Times New Roman" w:eastAsia="仿宋_GB2312" w:cs="Times New Roman"/>
          <w:color w:val="auto"/>
          <w:lang w:val="en-US" w:eastAsia="zh-CN"/>
        </w:rPr>
        <w:t>2023年10月15</w:t>
      </w:r>
      <w:r>
        <w:rPr>
          <w:rStyle w:val="52"/>
          <w:rFonts w:hint="eastAsia" w:eastAsia="仿宋_GB2312" w:cs="Times New Roman"/>
          <w:color w:val="auto"/>
          <w:lang w:val="en-US" w:eastAsia="zh-CN"/>
        </w:rPr>
        <w:t>日前</w:t>
      </w:r>
      <w:r>
        <w:rPr>
          <w:rStyle w:val="52"/>
          <w:rFonts w:hint="default" w:ascii="Times New Roman" w:hAnsi="Times New Roman" w:eastAsia="仿宋_GB2312" w:cs="Times New Roman"/>
          <w:color w:val="auto"/>
          <w:lang w:val="en-US" w:eastAsia="zh-CN"/>
        </w:rPr>
        <w:t>按期完成设备采购，采购设备完成率100%</w:t>
      </w:r>
      <w:r>
        <w:rPr>
          <w:rStyle w:val="52"/>
          <w:rFonts w:hint="eastAsia" w:eastAsia="仿宋_GB2312" w:cs="Times New Roman"/>
          <w:color w:val="auto"/>
          <w:lang w:val="en-US" w:eastAsia="zh-CN"/>
        </w:rPr>
        <w:t>，</w:t>
      </w:r>
      <w:r>
        <w:rPr>
          <w:rStyle w:val="52"/>
          <w:rFonts w:hint="default" w:ascii="Times New Roman" w:hAnsi="Times New Roman" w:eastAsia="仿宋_GB2312" w:cs="Times New Roman"/>
          <w:color w:val="auto"/>
          <w:lang w:val="en-US" w:eastAsia="zh-CN"/>
        </w:rPr>
        <w:t>偏差率0%。</w:t>
      </w:r>
    </w:p>
    <w:p>
      <w:pPr>
        <w:pStyle w:val="18"/>
        <w:pageBreakBefore w:val="0"/>
        <w:kinsoku/>
        <w:wordWrap/>
        <w:overflowPunct/>
        <w:topLinePunct w:val="0"/>
        <w:autoSpaceDE/>
        <w:bidi w:val="0"/>
        <w:adjustRightInd/>
        <w:snapToGrid/>
        <w:spacing w:line="560" w:lineRule="exact"/>
        <w:ind w:firstLine="642" w:firstLineChars="200"/>
        <w:jc w:val="both"/>
        <w:textAlignment w:val="auto"/>
        <w:rPr>
          <w:rFonts w:hint="default" w:ascii="Times New Roman" w:hAnsi="Times New Roman" w:eastAsia="楷体_GB2312" w:cs="Times New Roman"/>
        </w:rPr>
      </w:pPr>
      <w:r>
        <w:rPr>
          <w:rFonts w:hint="default" w:ascii="Times New Roman" w:hAnsi="Times New Roman" w:eastAsia="楷体_GB2312" w:cs="Times New Roman"/>
        </w:rPr>
        <w:t>（四）效益情况</w:t>
      </w:r>
    </w:p>
    <w:p>
      <w:pPr>
        <w:pageBreakBefore w:val="0"/>
        <w:kinsoku/>
        <w:wordWrap/>
        <w:overflowPunct/>
        <w:topLinePunct w:val="0"/>
        <w:autoSpaceDE/>
        <w:bidi w:val="0"/>
        <w:adjustRightInd/>
        <w:snapToGrid/>
        <w:spacing w:line="560" w:lineRule="exact"/>
        <w:ind w:firstLine="640" w:firstLineChars="200"/>
        <w:textAlignment w:val="auto"/>
        <w:rPr>
          <w:rStyle w:val="52"/>
          <w:rFonts w:hint="default" w:ascii="Times New Roman" w:hAnsi="Times New Roman" w:cs="Times New Roman"/>
          <w:color w:val="auto"/>
        </w:rPr>
      </w:pPr>
      <w:r>
        <w:rPr>
          <w:rStyle w:val="52"/>
          <w:rFonts w:hint="default" w:ascii="Times New Roman" w:hAnsi="Times New Roman" w:cs="Times New Roman"/>
          <w:color w:val="auto"/>
        </w:rPr>
        <w:t>经济效益指标方面：</w:t>
      </w:r>
    </w:p>
    <w:p>
      <w:pPr>
        <w:pageBreakBefore w:val="0"/>
        <w:kinsoku/>
        <w:wordWrap/>
        <w:overflowPunct/>
        <w:topLinePunct w:val="0"/>
        <w:autoSpaceDE/>
        <w:bidi w:val="0"/>
        <w:adjustRightInd/>
        <w:snapToGrid/>
        <w:spacing w:line="560" w:lineRule="exact"/>
        <w:ind w:firstLine="640" w:firstLineChars="200"/>
        <w:textAlignment w:val="auto"/>
        <w:rPr>
          <w:rStyle w:val="52"/>
          <w:rFonts w:hint="default" w:ascii="Times New Roman" w:hAnsi="Times New Roman" w:eastAsia="仿宋_GB2312" w:cs="Times New Roman"/>
          <w:color w:val="auto"/>
          <w:lang w:val="en-US" w:eastAsia="zh-CN"/>
        </w:rPr>
      </w:pPr>
      <w:r>
        <w:rPr>
          <w:rStyle w:val="52"/>
          <w:rFonts w:hint="default" w:ascii="Times New Roman" w:hAnsi="Times New Roman" w:eastAsia="仿宋_GB2312" w:cs="Times New Roman"/>
          <w:color w:val="auto"/>
          <w:lang w:val="en-US" w:eastAsia="zh-CN"/>
        </w:rPr>
        <w:t>实验</w:t>
      </w:r>
      <w:r>
        <w:rPr>
          <w:rStyle w:val="52"/>
          <w:rFonts w:hint="default" w:ascii="Times New Roman" w:hAnsi="Times New Roman" w:eastAsia="仿宋_GB2312" w:cs="Times New Roman"/>
          <w:color w:val="auto"/>
          <w:lang w:eastAsia="zh-CN"/>
        </w:rPr>
        <w:t>设备利用率指标，指标</w:t>
      </w:r>
      <w:r>
        <w:rPr>
          <w:rStyle w:val="52"/>
          <w:rFonts w:hint="default" w:ascii="Times New Roman" w:hAnsi="Times New Roman" w:eastAsia="仿宋_GB2312" w:cs="Times New Roman"/>
          <w:color w:val="auto"/>
          <w:lang w:val="en-US" w:eastAsia="zh-CN"/>
        </w:rPr>
        <w:t>值</w:t>
      </w:r>
      <w:r>
        <w:rPr>
          <w:rStyle w:val="52"/>
          <w:rFonts w:hint="default" w:ascii="Times New Roman" w:hAnsi="Times New Roman" w:eastAsia="仿宋_GB2312" w:cs="Times New Roman"/>
          <w:color w:val="auto"/>
          <w:lang w:eastAsia="zh-CN"/>
        </w:rPr>
        <w:t>为</w:t>
      </w:r>
      <w:r>
        <w:rPr>
          <w:rStyle w:val="52"/>
          <w:rFonts w:hint="default" w:ascii="Times New Roman" w:hAnsi="Times New Roman" w:eastAsia="仿宋_GB2312" w:cs="Times New Roman"/>
          <w:color w:val="auto"/>
          <w:lang w:val="en-US" w:eastAsia="zh-CN"/>
        </w:rPr>
        <w:t>实验</w:t>
      </w:r>
      <w:r>
        <w:rPr>
          <w:rStyle w:val="52"/>
          <w:rFonts w:hint="default" w:ascii="Times New Roman" w:hAnsi="Times New Roman" w:eastAsia="仿宋_GB2312" w:cs="Times New Roman"/>
          <w:color w:val="auto"/>
          <w:lang w:eastAsia="zh-CN"/>
        </w:rPr>
        <w:t>设备利用率大于等于</w:t>
      </w:r>
      <w:r>
        <w:rPr>
          <w:rStyle w:val="52"/>
          <w:rFonts w:hint="default" w:ascii="Times New Roman" w:hAnsi="Times New Roman" w:eastAsia="仿宋_GB2312" w:cs="Times New Roman"/>
          <w:color w:val="auto"/>
          <w:lang w:val="en-US" w:eastAsia="zh-CN"/>
        </w:rPr>
        <w:t>90%，实际在检测中，我所设备利用率达到9</w:t>
      </w:r>
      <w:r>
        <w:rPr>
          <w:rStyle w:val="52"/>
          <w:rFonts w:hint="eastAsia" w:ascii="Times New Roman" w:hAnsi="Times New Roman" w:eastAsia="仿宋_GB2312" w:cs="Times New Roman"/>
          <w:color w:val="auto"/>
          <w:lang w:val="en-US" w:eastAsia="zh-CN"/>
        </w:rPr>
        <w:t>5</w:t>
      </w:r>
      <w:r>
        <w:rPr>
          <w:rStyle w:val="52"/>
          <w:rFonts w:hint="default" w:ascii="Times New Roman" w:hAnsi="Times New Roman" w:eastAsia="仿宋_GB2312" w:cs="Times New Roman"/>
          <w:color w:val="auto"/>
          <w:lang w:val="en-US" w:eastAsia="zh-CN"/>
        </w:rPr>
        <w:t>%</w:t>
      </w:r>
      <w:r>
        <w:rPr>
          <w:rStyle w:val="52"/>
          <w:rFonts w:hint="eastAsia" w:ascii="Times New Roman" w:hAnsi="Times New Roman" w:eastAsia="仿宋_GB2312" w:cs="Times New Roman"/>
          <w:color w:val="auto"/>
          <w:lang w:val="en-US" w:eastAsia="zh-CN"/>
        </w:rPr>
        <w:t>。</w:t>
      </w:r>
    </w:p>
    <w:p>
      <w:pPr>
        <w:pageBreakBefore w:val="0"/>
        <w:kinsoku/>
        <w:wordWrap/>
        <w:overflowPunct/>
        <w:topLinePunct w:val="0"/>
        <w:autoSpaceDE/>
        <w:bidi w:val="0"/>
        <w:adjustRightInd/>
        <w:snapToGrid/>
        <w:spacing w:line="560" w:lineRule="exact"/>
        <w:ind w:firstLine="640" w:firstLineChars="200"/>
        <w:jc w:val="left"/>
        <w:textAlignment w:val="auto"/>
        <w:rPr>
          <w:rStyle w:val="52"/>
          <w:rFonts w:hint="default" w:ascii="Times New Roman" w:hAnsi="Times New Roman" w:cs="Times New Roman"/>
          <w:color w:val="auto"/>
        </w:rPr>
      </w:pPr>
      <w:r>
        <w:rPr>
          <w:rStyle w:val="52"/>
          <w:rFonts w:hint="default" w:ascii="Times New Roman" w:hAnsi="Times New Roman" w:cs="Times New Roman"/>
          <w:color w:val="auto"/>
        </w:rPr>
        <w:t>社会效益指标方面：</w:t>
      </w:r>
    </w:p>
    <w:p>
      <w:pPr>
        <w:pageBreakBefore w:val="0"/>
        <w:kinsoku/>
        <w:wordWrap/>
        <w:overflowPunct/>
        <w:topLinePunct w:val="0"/>
        <w:autoSpaceDE/>
        <w:bidi w:val="0"/>
        <w:adjustRightInd/>
        <w:snapToGrid/>
        <w:spacing w:line="560" w:lineRule="exact"/>
        <w:ind w:firstLine="640" w:firstLineChars="200"/>
        <w:jc w:val="left"/>
        <w:textAlignment w:val="auto"/>
        <w:rPr>
          <w:rStyle w:val="52"/>
          <w:rFonts w:hint="default" w:ascii="Times New Roman" w:hAnsi="Times New Roman" w:eastAsia="仿宋_GB2312" w:cs="Times New Roman"/>
          <w:color w:val="auto"/>
          <w:lang w:val="en-US" w:eastAsia="zh-CN"/>
        </w:rPr>
      </w:pPr>
      <w:r>
        <w:rPr>
          <w:rStyle w:val="52"/>
          <w:rFonts w:hint="default" w:ascii="Times New Roman" w:hAnsi="Times New Roman" w:cs="Times New Roman"/>
          <w:color w:val="auto"/>
          <w:lang w:val="en-US" w:eastAsia="zh-CN"/>
        </w:rPr>
        <w:t>确保无重大食品安全事件指标，年度指标值为有效确保无重大食品安全事件，实际通过各类监测，</w:t>
      </w:r>
      <w:r>
        <w:rPr>
          <w:rFonts w:hint="default" w:ascii="Times New Roman" w:hAnsi="Times New Roman" w:eastAsia="仿宋_GB2312" w:cs="Times New Roman"/>
          <w:color w:val="auto"/>
          <w:sz w:val="32"/>
          <w:szCs w:val="32"/>
        </w:rPr>
        <w:t>通过该项目工作的实施，</w:t>
      </w:r>
      <w:r>
        <w:rPr>
          <w:rStyle w:val="52"/>
          <w:rFonts w:hint="default" w:ascii="Times New Roman" w:hAnsi="Times New Roman" w:cs="Times New Roman"/>
          <w:color w:val="auto"/>
          <w:lang w:val="en-US" w:eastAsia="zh-CN"/>
        </w:rPr>
        <w:t>有效推动了我区畜产品质量安全，</w:t>
      </w:r>
      <w:r>
        <w:rPr>
          <w:rFonts w:hint="default" w:ascii="Times New Roman" w:hAnsi="Times New Roman" w:eastAsia="仿宋_GB2312" w:cs="Times New Roman"/>
          <w:color w:val="auto"/>
          <w:sz w:val="32"/>
          <w:szCs w:val="32"/>
        </w:rPr>
        <w:t>加强对兽药</w:t>
      </w:r>
      <w:r>
        <w:rPr>
          <w:rFonts w:hint="default" w:ascii="Times New Roman" w:hAnsi="Times New Roman" w:eastAsia="仿宋_GB2312" w:cs="Times New Roman"/>
          <w:color w:val="000000"/>
          <w:sz w:val="32"/>
          <w:szCs w:val="32"/>
        </w:rPr>
        <w:t>生产企业监督管理，清查兽药</w:t>
      </w:r>
      <w:r>
        <w:rPr>
          <w:rFonts w:hint="default" w:ascii="Times New Roman" w:hAnsi="Times New Roman" w:eastAsia="仿宋_GB2312" w:cs="Times New Roman"/>
          <w:color w:val="000000"/>
          <w:sz w:val="32"/>
          <w:szCs w:val="32"/>
          <w:lang w:val="en-US" w:eastAsia="zh-CN"/>
        </w:rPr>
        <w:t>经营</w:t>
      </w:r>
      <w:r>
        <w:rPr>
          <w:rFonts w:hint="default" w:ascii="Times New Roman" w:hAnsi="Times New Roman" w:eastAsia="仿宋_GB2312" w:cs="Times New Roman"/>
          <w:color w:val="000000"/>
          <w:sz w:val="32"/>
          <w:szCs w:val="32"/>
        </w:rPr>
        <w:t>和使用环节中违规使用兽用精神药物，禁用兽药及其化合物，指导兽药使用者合理用药，减少兽药残留对人体的危害，生产优质安全畜产品，从而保障人们身体健康和生命安全</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lang w:val="en-US" w:eastAsia="zh-CN"/>
        </w:rPr>
        <w:t>未发生重大食品安全事件，</w:t>
      </w:r>
      <w:r>
        <w:rPr>
          <w:rStyle w:val="52"/>
          <w:rFonts w:hint="default" w:ascii="Times New Roman" w:hAnsi="Times New Roman" w:cs="Times New Roman"/>
          <w:color w:val="auto"/>
          <w:lang w:val="en-US" w:eastAsia="zh-CN"/>
        </w:rPr>
        <w:t>完成率100%</w:t>
      </w:r>
      <w:r>
        <w:rPr>
          <w:rStyle w:val="52"/>
          <w:rFonts w:hint="default" w:ascii="Times New Roman" w:hAnsi="Times New Roman" w:eastAsia="仿宋_GB2312" w:cs="Times New Roman"/>
          <w:color w:val="auto"/>
          <w:lang w:val="en-US" w:eastAsia="zh-CN"/>
        </w:rPr>
        <w:t>，偏差率0%。</w:t>
      </w:r>
    </w:p>
    <w:p>
      <w:pPr>
        <w:pageBreakBefore w:val="0"/>
        <w:numPr>
          <w:ilvl w:val="0"/>
          <w:numId w:val="0"/>
        </w:numPr>
        <w:kinsoku/>
        <w:wordWrap/>
        <w:overflowPunct/>
        <w:topLinePunct w:val="0"/>
        <w:autoSpaceDE/>
        <w:bidi w:val="0"/>
        <w:adjustRightInd/>
        <w:snapToGrid/>
        <w:spacing w:line="560" w:lineRule="exact"/>
        <w:ind w:firstLine="640" w:firstLineChars="200"/>
        <w:textAlignment w:val="auto"/>
        <w:rPr>
          <w:rStyle w:val="52"/>
          <w:rFonts w:hint="default" w:ascii="Times New Roman" w:hAnsi="Times New Roman" w:cs="Times New Roman"/>
          <w:color w:val="auto"/>
          <w:lang w:val="en-US" w:eastAsia="zh-CN"/>
        </w:rPr>
      </w:pPr>
      <w:r>
        <w:rPr>
          <w:rStyle w:val="52"/>
          <w:rFonts w:hint="default" w:ascii="Times New Roman" w:hAnsi="Times New Roman" w:cs="Times New Roman"/>
          <w:color w:val="auto"/>
          <w:lang w:val="en-US" w:eastAsia="zh-CN"/>
        </w:rPr>
        <w:t>满意度指标方面：</w:t>
      </w:r>
    </w:p>
    <w:p>
      <w:pPr>
        <w:pageBreakBefore w:val="0"/>
        <w:numPr>
          <w:ilvl w:val="0"/>
          <w:numId w:val="0"/>
        </w:numPr>
        <w:kinsoku/>
        <w:wordWrap/>
        <w:overflowPunct/>
        <w:topLinePunct w:val="0"/>
        <w:autoSpaceDE/>
        <w:bidi w:val="0"/>
        <w:adjustRightInd/>
        <w:snapToGrid/>
        <w:spacing w:line="560" w:lineRule="exact"/>
        <w:ind w:firstLine="640" w:firstLineChars="200"/>
        <w:textAlignment w:val="auto"/>
        <w:rPr>
          <w:rStyle w:val="52"/>
          <w:rFonts w:hint="default" w:ascii="Times New Roman" w:hAnsi="Times New Roman" w:eastAsia="仿宋_GB2312" w:cs="Times New Roman"/>
          <w:color w:val="auto"/>
          <w:lang w:val="en-US" w:eastAsia="zh-CN"/>
        </w:rPr>
      </w:pPr>
      <w:r>
        <w:rPr>
          <w:rStyle w:val="52"/>
          <w:rFonts w:hint="default" w:ascii="Times New Roman" w:hAnsi="Times New Roman" w:cs="Times New Roman"/>
          <w:color w:val="auto"/>
          <w:lang w:val="en-US" w:eastAsia="zh-CN"/>
        </w:rPr>
        <w:t>服务对象满意度指标，</w:t>
      </w:r>
      <w:r>
        <w:rPr>
          <w:rStyle w:val="52"/>
          <w:rFonts w:hint="default" w:ascii="Times New Roman" w:hAnsi="Times New Roman" w:eastAsia="仿宋_GB2312" w:cs="Times New Roman"/>
          <w:color w:val="auto"/>
          <w:lang w:val="en-US" w:eastAsia="zh-CN"/>
        </w:rPr>
        <w:t>指标值为社会对兽药、饲料、畜产品质量安全的满意度大于等于90%</w:t>
      </w:r>
      <w:r>
        <w:rPr>
          <w:rStyle w:val="52"/>
          <w:rFonts w:hint="eastAsia" w:ascii="Times New Roman" w:hAnsi="Times New Roman" w:eastAsia="仿宋_GB2312" w:cs="Times New Roman"/>
          <w:color w:val="auto"/>
          <w:lang w:val="en-US" w:eastAsia="zh-CN"/>
        </w:rPr>
        <w:t>，</w:t>
      </w:r>
      <w:r>
        <w:rPr>
          <w:rStyle w:val="52"/>
          <w:rFonts w:hint="default" w:ascii="Times New Roman" w:hAnsi="Times New Roman" w:eastAsia="仿宋_GB2312" w:cs="Times New Roman"/>
          <w:color w:val="auto"/>
          <w:lang w:val="en-US" w:eastAsia="zh-CN"/>
        </w:rPr>
        <w:t>实际</w:t>
      </w:r>
      <w:r>
        <w:rPr>
          <w:rStyle w:val="52"/>
          <w:rFonts w:hint="eastAsia" w:ascii="Times New Roman" w:hAnsi="Times New Roman" w:eastAsia="仿宋_GB2312" w:cs="Times New Roman"/>
          <w:color w:val="auto"/>
          <w:lang w:val="en-US" w:eastAsia="zh-CN"/>
        </w:rPr>
        <w:t>工作中通过发放客户满意度调查表的方式，进行满意度调查，全年累计发放满意度调查表166份，收回166份，</w:t>
      </w:r>
      <w:r>
        <w:rPr>
          <w:rStyle w:val="52"/>
          <w:rFonts w:hint="default" w:ascii="Times New Roman" w:hAnsi="Times New Roman" w:eastAsia="仿宋_GB2312" w:cs="Times New Roman"/>
          <w:color w:val="auto"/>
          <w:lang w:val="en-US" w:eastAsia="zh-CN"/>
        </w:rPr>
        <w:t>满意度100%。</w:t>
      </w:r>
    </w:p>
    <w:p>
      <w:pPr>
        <w:pageBreakBefore w:val="0"/>
        <w:numPr>
          <w:ilvl w:val="0"/>
          <w:numId w:val="0"/>
        </w:numPr>
        <w:kinsoku/>
        <w:wordWrap/>
        <w:overflowPunct/>
        <w:topLinePunct w:val="0"/>
        <w:autoSpaceDE/>
        <w:bidi w:val="0"/>
        <w:adjustRightInd/>
        <w:snapToGrid/>
        <w:spacing w:line="560" w:lineRule="exact"/>
        <w:ind w:firstLine="640" w:firstLineChars="200"/>
        <w:textAlignment w:val="auto"/>
        <w:rPr>
          <w:rStyle w:val="52"/>
          <w:rFonts w:hint="default" w:ascii="Times New Roman" w:hAnsi="Times New Roman" w:eastAsia="仿宋_GB2312" w:cs="Times New Roman"/>
          <w:color w:val="auto"/>
          <w:lang w:val="en-US" w:eastAsia="zh-CN"/>
        </w:rPr>
      </w:pPr>
      <w:r>
        <w:rPr>
          <w:rStyle w:val="52"/>
          <w:rFonts w:hint="default" w:ascii="Times New Roman" w:hAnsi="Times New Roman" w:cs="Times New Roman"/>
          <w:color w:val="auto"/>
          <w:lang w:val="en-US" w:eastAsia="zh-CN"/>
        </w:rPr>
        <w:t>服务对象满意度指标，</w:t>
      </w:r>
      <w:r>
        <w:rPr>
          <w:rStyle w:val="52"/>
          <w:rFonts w:hint="default" w:ascii="Times New Roman" w:hAnsi="Times New Roman" w:eastAsia="仿宋_GB2312" w:cs="Times New Roman"/>
          <w:color w:val="auto"/>
          <w:lang w:val="en-US" w:eastAsia="zh-CN"/>
        </w:rPr>
        <w:t>指标值为设备操作人员对仪器设备使用满意度大于等于90%，</w:t>
      </w:r>
      <w:r>
        <w:rPr>
          <w:rStyle w:val="52"/>
          <w:rFonts w:hint="eastAsia" w:ascii="Times New Roman" w:hAnsi="Times New Roman" w:eastAsia="仿宋_GB2312" w:cs="Times New Roman"/>
          <w:color w:val="auto"/>
          <w:lang w:val="en-US" w:eastAsia="zh-CN"/>
        </w:rPr>
        <w:t>实际工作中，</w:t>
      </w:r>
      <w:r>
        <w:rPr>
          <w:rStyle w:val="52"/>
          <w:rFonts w:hint="default" w:ascii="Times New Roman" w:hAnsi="Times New Roman" w:cs="Times New Roman"/>
          <w:color w:val="auto"/>
          <w:lang w:val="en-US" w:eastAsia="zh-CN"/>
        </w:rPr>
        <w:t>设备操作人员对仪器设备使用满意度</w:t>
      </w:r>
      <w:r>
        <w:rPr>
          <w:rStyle w:val="52"/>
          <w:rFonts w:hint="default" w:ascii="Times New Roman" w:hAnsi="Times New Roman" w:eastAsia="仿宋_GB2312" w:cs="Times New Roman"/>
          <w:color w:val="auto"/>
          <w:lang w:val="en-US" w:eastAsia="zh-CN"/>
        </w:rPr>
        <w:t>为100%。</w:t>
      </w:r>
    </w:p>
    <w:p>
      <w:pPr>
        <w:pageBreakBefore w:val="0"/>
        <w:kinsoku/>
        <w:wordWrap/>
        <w:overflowPunct/>
        <w:topLinePunct w:val="0"/>
        <w:autoSpaceDE/>
        <w:bidi w:val="0"/>
        <w:adjustRightInd/>
        <w:snapToGrid/>
        <w:spacing w:line="560" w:lineRule="exact"/>
        <w:ind w:firstLine="640" w:firstLineChars="200"/>
        <w:textAlignment w:val="auto"/>
        <w:rPr>
          <w:rStyle w:val="52"/>
          <w:rFonts w:hint="default" w:ascii="Times New Roman" w:hAnsi="Times New Roman" w:cs="Times New Roman"/>
          <w:color w:val="auto"/>
        </w:rPr>
      </w:pPr>
      <w:r>
        <w:rPr>
          <w:rFonts w:hint="default" w:ascii="Times New Roman" w:hAnsi="Times New Roman" w:eastAsia="黑体" w:cs="Times New Roman"/>
          <w:sz w:val="32"/>
          <w:szCs w:val="32"/>
        </w:rPr>
        <w:t>五、主要经验及做法、存在的问题及原因分析</w:t>
      </w:r>
    </w:p>
    <w:p>
      <w:pPr>
        <w:pageBreakBefore w:val="0"/>
        <w:kinsoku/>
        <w:wordWrap/>
        <w:overflowPunct/>
        <w:topLinePunct w:val="0"/>
        <w:autoSpaceDE/>
        <w:bidi w:val="0"/>
        <w:adjustRightInd/>
        <w:snapToGrid/>
        <w:spacing w:line="560" w:lineRule="exact"/>
        <w:ind w:firstLine="626" w:firstLineChars="200"/>
        <w:textAlignment w:val="auto"/>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pPr>
        <w:pageBreakBefore w:val="0"/>
        <w:kinsoku/>
        <w:wordWrap/>
        <w:overflowPunct/>
        <w:topLinePunct w:val="0"/>
        <w:autoSpaceDE/>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w:t>
      </w:r>
      <w:r>
        <w:rPr>
          <w:rFonts w:hint="default" w:ascii="Times New Roman" w:hAnsi="Times New Roman" w:eastAsia="仿宋_GB2312" w:cs="Times New Roman"/>
          <w:sz w:val="32"/>
          <w:szCs w:val="32"/>
          <w:lang w:eastAsia="zh-CN"/>
        </w:rPr>
        <w:t>我所</w:t>
      </w:r>
      <w:r>
        <w:rPr>
          <w:rFonts w:hint="default" w:ascii="Times New Roman" w:hAnsi="Times New Roman" w:eastAsia="仿宋_GB2312" w:cs="Times New Roman"/>
          <w:sz w:val="32"/>
          <w:szCs w:val="32"/>
        </w:rPr>
        <w:t>提前做好项目规划，将所列计划再三审核。在项目实施过程中做好定期监督检查，严格按照项目管理规范进行，</w:t>
      </w:r>
      <w:r>
        <w:rPr>
          <w:rFonts w:hint="default" w:ascii="Times New Roman" w:hAnsi="Times New Roman" w:eastAsia="仿宋_GB2312" w:cs="Times New Roman"/>
          <w:sz w:val="32"/>
          <w:szCs w:val="32"/>
          <w:lang w:eastAsia="zh-CN"/>
        </w:rPr>
        <w:t>按时上报工作进度，</w:t>
      </w:r>
      <w:r>
        <w:rPr>
          <w:rFonts w:hint="default" w:ascii="Times New Roman" w:hAnsi="Times New Roman" w:eastAsia="仿宋_GB2312" w:cs="Times New Roman"/>
          <w:sz w:val="32"/>
          <w:szCs w:val="32"/>
        </w:rPr>
        <w:t>在项目资金使用过程中，严格落实把关，按照项目资金使用范围做好审核工作，让项目资金落于实处。在项目完成后，做好民意调查及项目防范工作。</w:t>
      </w:r>
    </w:p>
    <w:p>
      <w:pPr>
        <w:pageBreakBefore w:val="0"/>
        <w:kinsoku/>
        <w:wordWrap/>
        <w:overflowPunct/>
        <w:topLinePunct w:val="0"/>
        <w:autoSpaceDE/>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pageBreakBefore w:val="0"/>
        <w:kinsoku/>
        <w:wordWrap/>
        <w:overflowPunct/>
        <w:topLinePunct w:val="0"/>
        <w:autoSpaceDE/>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项目任务按照要求及时完成并上报，对于不合格</w:t>
      </w:r>
      <w:r>
        <w:rPr>
          <w:rFonts w:hint="eastAsia" w:ascii="Times New Roman" w:hAnsi="Times New Roman" w:eastAsia="仿宋_GB2312" w:cs="Times New Roman"/>
          <w:sz w:val="32"/>
          <w:szCs w:val="32"/>
          <w:lang w:val="en-US" w:eastAsia="zh-CN"/>
        </w:rPr>
        <w:t>产品</w:t>
      </w:r>
      <w:r>
        <w:rPr>
          <w:rFonts w:hint="default" w:ascii="Times New Roman" w:hAnsi="Times New Roman" w:eastAsia="仿宋_GB2312" w:cs="Times New Roman"/>
          <w:sz w:val="32"/>
          <w:szCs w:val="32"/>
        </w:rPr>
        <w:t>及时报送行政主管部门，项目资金按照要求专款专用、合理安排。</w:t>
      </w:r>
    </w:p>
    <w:p>
      <w:pPr>
        <w:keepNext/>
        <w:keepLines/>
        <w:pageBreakBefore w:val="0"/>
        <w:numPr>
          <w:ilvl w:val="0"/>
          <w:numId w:val="6"/>
        </w:numPr>
        <w:kinsoku/>
        <w:wordWrap/>
        <w:overflowPunct/>
        <w:topLinePunct w:val="0"/>
        <w:autoSpaceDE/>
        <w:bidi w:val="0"/>
        <w:adjustRightInd/>
        <w:snapToGrid/>
        <w:spacing w:line="560" w:lineRule="exact"/>
        <w:ind w:firstLine="642"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pPr>
        <w:pageBreakBefore w:val="0"/>
        <w:kinsoku/>
        <w:wordWrap/>
        <w:overflowPunct/>
        <w:topLinePunct w:val="0"/>
        <w:autoSpaceDE/>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预算绩效评价规范程度不够。主要</w:t>
      </w:r>
      <w:r>
        <w:rPr>
          <w:rFonts w:hint="default" w:ascii="Times New Roman" w:hAnsi="Times New Roman" w:eastAsia="仿宋_GB2312" w:cs="Times New Roman"/>
          <w:sz w:val="32"/>
          <w:szCs w:val="32"/>
          <w:lang w:eastAsia="zh-CN"/>
        </w:rPr>
        <w:t>由于人员变动等原因</w:t>
      </w:r>
      <w:r>
        <w:rPr>
          <w:rFonts w:hint="default" w:ascii="Times New Roman" w:hAnsi="Times New Roman" w:eastAsia="仿宋_GB2312" w:cs="Times New Roman"/>
          <w:sz w:val="32"/>
          <w:szCs w:val="32"/>
        </w:rPr>
        <w:t>对预算绩效的认识和操作还</w:t>
      </w:r>
      <w:r>
        <w:rPr>
          <w:rFonts w:hint="default" w:ascii="Times New Roman" w:hAnsi="Times New Roman" w:eastAsia="仿宋_GB2312" w:cs="Times New Roman"/>
          <w:sz w:val="32"/>
          <w:szCs w:val="32"/>
          <w:lang w:eastAsia="zh-CN"/>
        </w:rPr>
        <w:t>不够，将在今后加强相关方面的培训。</w:t>
      </w:r>
    </w:p>
    <w:p>
      <w:pPr>
        <w:pageBreakBefore w:val="0"/>
        <w:numPr>
          <w:ilvl w:val="0"/>
          <w:numId w:val="7"/>
        </w:numPr>
        <w:kinsoku/>
        <w:wordWrap/>
        <w:overflowPunct/>
        <w:topLinePunct w:val="0"/>
        <w:autoSpaceDE/>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有关建议</w:t>
      </w:r>
    </w:p>
    <w:p>
      <w:pPr>
        <w:pageBreakBefore w:val="0"/>
        <w:kinsoku/>
        <w:wordWrap/>
        <w:overflowPunct/>
        <w:topLinePunct w:val="0"/>
        <w:autoSpaceDE/>
        <w:bidi w:val="0"/>
        <w:adjustRightInd/>
        <w:snapToGrid/>
        <w:spacing w:line="560" w:lineRule="exact"/>
        <w:ind w:firstLine="640" w:firstLineChars="200"/>
        <w:textAlignment w:val="auto"/>
        <w:rPr>
          <w:rFonts w:hint="default" w:ascii="Times New Roman" w:hAnsi="Times New Roman" w:cs="Times New Roman"/>
        </w:rPr>
      </w:pPr>
      <w:r>
        <w:rPr>
          <w:rFonts w:hint="default" w:ascii="Times New Roman" w:hAnsi="Times New Roman" w:eastAsia="仿宋_GB2312" w:cs="Times New Roman"/>
          <w:sz w:val="32"/>
          <w:szCs w:val="28"/>
        </w:rPr>
        <w:t>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pageBreakBefore w:val="0"/>
        <w:numPr>
          <w:ilvl w:val="0"/>
          <w:numId w:val="7"/>
        </w:numPr>
        <w:kinsoku/>
        <w:wordWrap/>
        <w:overflowPunct/>
        <w:topLinePunct w:val="0"/>
        <w:autoSpaceDE/>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其他需要说</w:t>
      </w:r>
      <w:bookmarkStart w:id="1" w:name="page8"/>
      <w:bookmarkEnd w:id="1"/>
      <w:r>
        <w:rPr>
          <w:rFonts w:hint="default" w:ascii="Times New Roman" w:hAnsi="Times New Roman" w:eastAsia="黑体" w:cs="Times New Roman"/>
          <w:sz w:val="32"/>
          <w:szCs w:val="32"/>
        </w:rPr>
        <w:t>明的问题</w:t>
      </w:r>
    </w:p>
    <w:p>
      <w:pPr>
        <w:pStyle w:val="20"/>
        <w:pageBreakBefore w:val="0"/>
        <w:kinsoku/>
        <w:wordWrap/>
        <w:overflowPunct/>
        <w:topLinePunct w:val="0"/>
        <w:autoSpaceDE/>
        <w:bidi w:val="0"/>
        <w:adjustRightInd/>
        <w:snapToGrid/>
        <w:spacing w:line="560" w:lineRule="exact"/>
        <w:ind w:left="0" w:leftChars="0" w:firstLine="640" w:firstLineChars="200"/>
        <w:textAlignment w:val="auto"/>
        <w:rPr>
          <w:rFonts w:hint="default" w:ascii="Times New Roman" w:hAnsi="Times New Roman" w:eastAsia="方正小标宋简体" w:cs="Times New Roman"/>
          <w:b/>
          <w:kern w:val="0"/>
          <w:sz w:val="32"/>
          <w:szCs w:val="32"/>
          <w:lang w:bidi="ar"/>
        </w:rPr>
        <w:sectPr>
          <w:footerReference r:id="rId3" w:type="default"/>
          <w:pgSz w:w="11906" w:h="16838"/>
          <w:pgMar w:top="1440" w:right="1558" w:bottom="1440" w:left="1800" w:header="851" w:footer="992" w:gutter="0"/>
          <w:pgBorders>
            <w:top w:val="none" w:sz="0" w:space="0"/>
            <w:left w:val="none" w:sz="0" w:space="0"/>
            <w:bottom w:val="none" w:sz="0" w:space="0"/>
            <w:right w:val="none" w:sz="0" w:space="0"/>
          </w:pgBorders>
          <w:cols w:space="425" w:num="1"/>
          <w:docGrid w:type="lines" w:linePitch="312" w:charSpace="0"/>
        </w:sectPr>
      </w:pPr>
      <w:r>
        <w:rPr>
          <w:rFonts w:hint="default" w:ascii="Times New Roman" w:hAnsi="Times New Roman" w:eastAsia="仿宋_GB2312" w:cs="Times New Roman"/>
          <w:sz w:val="32"/>
          <w:szCs w:val="32"/>
        </w:rPr>
        <w:t>无。</w:t>
      </w:r>
    </w:p>
    <w:tbl>
      <w:tblPr>
        <w:tblStyle w:val="21"/>
        <w:tblW w:w="8834" w:type="dxa"/>
        <w:tblInd w:w="0" w:type="dxa"/>
        <w:tblLayout w:type="fixed"/>
        <w:tblCellMar>
          <w:top w:w="0" w:type="dxa"/>
          <w:left w:w="0" w:type="dxa"/>
          <w:bottom w:w="0" w:type="dxa"/>
          <w:right w:w="0" w:type="dxa"/>
        </w:tblCellMar>
      </w:tblPr>
      <w:tblGrid>
        <w:gridCol w:w="798"/>
        <w:gridCol w:w="984"/>
        <w:gridCol w:w="1221"/>
        <w:gridCol w:w="1732"/>
        <w:gridCol w:w="1268"/>
        <w:gridCol w:w="1348"/>
        <w:gridCol w:w="1483"/>
      </w:tblGrid>
      <w:tr>
        <w:tblPrEx>
          <w:tblCellMar>
            <w:top w:w="0" w:type="dxa"/>
            <w:left w:w="0" w:type="dxa"/>
            <w:bottom w:w="0" w:type="dxa"/>
            <w:right w:w="0" w:type="dxa"/>
          </w:tblCellMar>
        </w:tblPrEx>
        <w:trPr>
          <w:trHeight w:val="420" w:hRule="atLeast"/>
        </w:trPr>
        <w:tc>
          <w:tcPr>
            <w:tcW w:w="8834" w:type="dxa"/>
            <w:gridSpan w:val="7"/>
            <w:tcBorders>
              <w:top w:val="nil"/>
              <w:left w:val="nil"/>
              <w:bottom w:val="single" w:color="auto" w:sz="4" w:space="0"/>
              <w:right w:val="nil"/>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方正小标宋简体" w:cs="Times New Roman"/>
                <w:b/>
                <w:sz w:val="32"/>
                <w:szCs w:val="32"/>
                <w:u w:val="single"/>
              </w:rPr>
            </w:pPr>
            <w:r>
              <w:rPr>
                <w:rFonts w:hint="default" w:ascii="Times New Roman" w:hAnsi="Times New Roman" w:eastAsia="方正小标宋简体" w:cs="Times New Roman"/>
                <w:b/>
                <w:kern w:val="0"/>
                <w:sz w:val="32"/>
                <w:szCs w:val="32"/>
                <w:lang w:bidi="ar"/>
              </w:rPr>
              <w:t>项目支出绩效自评表</w:t>
            </w:r>
          </w:p>
        </w:tc>
      </w:tr>
      <w:tr>
        <w:tblPrEx>
          <w:tblCellMar>
            <w:top w:w="0" w:type="dxa"/>
            <w:left w:w="0" w:type="dxa"/>
            <w:bottom w:w="0" w:type="dxa"/>
            <w:right w:w="0" w:type="dxa"/>
          </w:tblCellMar>
        </w:tblPrEx>
        <w:trPr>
          <w:trHeight w:val="288" w:hRule="atLeast"/>
        </w:trPr>
        <w:tc>
          <w:tcPr>
            <w:tcW w:w="8834" w:type="dxa"/>
            <w:gridSpan w:val="7"/>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22"/>
                <w:szCs w:val="22"/>
              </w:rPr>
            </w:pPr>
            <w:r>
              <w:rPr>
                <w:rFonts w:hint="default" w:ascii="Times New Roman" w:hAnsi="Times New Roman" w:cs="Times New Roman"/>
                <w:kern w:val="0"/>
                <w:sz w:val="22"/>
                <w:szCs w:val="22"/>
                <w:lang w:bidi="ar"/>
              </w:rPr>
              <w:t>（202</w:t>
            </w:r>
            <w:r>
              <w:rPr>
                <w:rFonts w:hint="default" w:ascii="Times New Roman" w:hAnsi="Times New Roman" w:cs="Times New Roman"/>
                <w:kern w:val="0"/>
                <w:sz w:val="22"/>
                <w:szCs w:val="22"/>
                <w:lang w:val="en-US" w:eastAsia="zh-CN" w:bidi="ar"/>
              </w:rPr>
              <w:t>3</w:t>
            </w:r>
            <w:r>
              <w:rPr>
                <w:rFonts w:hint="default" w:ascii="Times New Roman" w:hAnsi="Times New Roman" w:cs="Times New Roman"/>
                <w:kern w:val="0"/>
                <w:sz w:val="22"/>
                <w:szCs w:val="22"/>
                <w:lang w:bidi="ar"/>
              </w:rPr>
              <w:t>年度）</w:t>
            </w:r>
          </w:p>
        </w:tc>
      </w:tr>
      <w:tr>
        <w:tblPrEx>
          <w:tblCellMar>
            <w:top w:w="0" w:type="dxa"/>
            <w:left w:w="0" w:type="dxa"/>
            <w:bottom w:w="0" w:type="dxa"/>
            <w:right w:w="0" w:type="dxa"/>
          </w:tblCellMar>
        </w:tblPrEx>
        <w:trPr>
          <w:trHeight w:val="276" w:hRule="atLeast"/>
        </w:trPr>
        <w:tc>
          <w:tcPr>
            <w:tcW w:w="178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项目名称</w:t>
            </w:r>
          </w:p>
        </w:tc>
        <w:tc>
          <w:tcPr>
            <w:tcW w:w="7052"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val="en-US" w:eastAsia="zh-CN" w:bidi="ar"/>
              </w:rPr>
              <w:t>自治区畜牧业生产发展资金（兽药饲料检验项目、畜产品质量安全监测）</w:t>
            </w:r>
          </w:p>
        </w:tc>
      </w:tr>
      <w:tr>
        <w:tblPrEx>
          <w:tblCellMar>
            <w:top w:w="0" w:type="dxa"/>
            <w:left w:w="0" w:type="dxa"/>
            <w:bottom w:w="0" w:type="dxa"/>
            <w:right w:w="0" w:type="dxa"/>
          </w:tblCellMar>
        </w:tblPrEx>
        <w:trPr>
          <w:trHeight w:val="276" w:hRule="atLeast"/>
        </w:trPr>
        <w:tc>
          <w:tcPr>
            <w:tcW w:w="178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主管部门</w:t>
            </w:r>
          </w:p>
        </w:tc>
        <w:tc>
          <w:tcPr>
            <w:tcW w:w="4221"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sz w:val="18"/>
                <w:szCs w:val="18"/>
                <w:lang w:val="en-US" w:eastAsia="zh-CN"/>
              </w:rPr>
            </w:pPr>
            <w:r>
              <w:rPr>
                <w:rFonts w:hint="default" w:ascii="Times New Roman" w:hAnsi="Times New Roman" w:cs="Times New Roman"/>
                <w:kern w:val="0"/>
                <w:sz w:val="18"/>
                <w:szCs w:val="18"/>
                <w:lang w:val="en-US" w:eastAsia="zh-CN" w:bidi="ar"/>
              </w:rPr>
              <w:t>自治区畜牧兽医局</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实施单位</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r>
              <w:rPr>
                <w:rFonts w:hint="default" w:ascii="Times New Roman" w:hAnsi="Times New Roman" w:cs="Times New Roman"/>
                <w:kern w:val="0"/>
                <w:sz w:val="18"/>
                <w:szCs w:val="18"/>
                <w:lang w:val="en-US" w:eastAsia="zh-CN" w:bidi="ar"/>
              </w:rPr>
              <w:t>新疆维吾尔自治区兽药饲料监察所</w:t>
            </w:r>
          </w:p>
        </w:tc>
      </w:tr>
      <w:tr>
        <w:tblPrEx>
          <w:tblCellMar>
            <w:top w:w="0" w:type="dxa"/>
            <w:left w:w="0" w:type="dxa"/>
            <w:bottom w:w="0" w:type="dxa"/>
            <w:right w:w="0" w:type="dxa"/>
          </w:tblCellMar>
        </w:tblPrEx>
        <w:trPr>
          <w:trHeight w:val="276" w:hRule="atLeast"/>
        </w:trPr>
        <w:tc>
          <w:tcPr>
            <w:tcW w:w="178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项目资金</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173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年初预算数</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全年预算数</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全年执行数</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执行率</w:t>
            </w:r>
          </w:p>
        </w:tc>
      </w:tr>
      <w:tr>
        <w:tblPrEx>
          <w:tblCellMar>
            <w:top w:w="0" w:type="dxa"/>
            <w:left w:w="0" w:type="dxa"/>
            <w:bottom w:w="0" w:type="dxa"/>
            <w:right w:w="0" w:type="dxa"/>
          </w:tblCellMar>
        </w:tblPrEx>
        <w:trPr>
          <w:trHeight w:val="27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ind w:firstLine="180" w:firstLineChars="100"/>
              <w:textAlignment w:val="center"/>
              <w:rPr>
                <w:rFonts w:hint="default" w:ascii="Times New Roman" w:hAnsi="Times New Roman" w:cs="Times New Roman"/>
                <w:kern w:val="0"/>
                <w:sz w:val="18"/>
                <w:szCs w:val="18"/>
                <w:lang w:bidi="ar"/>
              </w:rPr>
            </w:pPr>
            <w:r>
              <w:rPr>
                <w:rFonts w:hint="default" w:ascii="Times New Roman" w:hAnsi="Times New Roman" w:cs="Times New Roman"/>
                <w:kern w:val="0"/>
                <w:sz w:val="18"/>
                <w:szCs w:val="18"/>
                <w:lang w:bidi="ar"/>
              </w:rPr>
              <w:t>年度资金</w:t>
            </w:r>
          </w:p>
          <w:p>
            <w:pPr>
              <w:widowControl/>
              <w:ind w:firstLine="360" w:firstLineChars="200"/>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总额</w:t>
            </w:r>
          </w:p>
        </w:tc>
        <w:tc>
          <w:tcPr>
            <w:tcW w:w="173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sz w:val="18"/>
                <w:szCs w:val="18"/>
                <w:lang w:val="en-US" w:eastAsia="zh-CN"/>
              </w:rPr>
            </w:pPr>
            <w:r>
              <w:rPr>
                <w:rFonts w:hint="default" w:ascii="Times New Roman" w:hAnsi="Times New Roman" w:cs="Times New Roman"/>
                <w:sz w:val="18"/>
                <w:szCs w:val="18"/>
                <w:lang w:val="en-US" w:eastAsia="zh-CN"/>
              </w:rPr>
              <w:t>325万</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sz w:val="18"/>
                <w:szCs w:val="18"/>
                <w:lang w:val="en-US" w:eastAsia="zh-CN"/>
              </w:rPr>
            </w:pPr>
            <w:r>
              <w:rPr>
                <w:rFonts w:hint="default" w:ascii="Times New Roman" w:hAnsi="Times New Roman" w:cs="Times New Roman"/>
                <w:sz w:val="18"/>
                <w:szCs w:val="18"/>
                <w:lang w:val="en-US" w:eastAsia="zh-CN"/>
              </w:rPr>
              <w:t>325万</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sz w:val="18"/>
                <w:szCs w:val="18"/>
                <w:lang w:val="en-US" w:eastAsia="zh-CN"/>
              </w:rPr>
            </w:pPr>
            <w:r>
              <w:rPr>
                <w:rFonts w:hint="default" w:ascii="Times New Roman" w:hAnsi="Times New Roman" w:cs="Times New Roman"/>
                <w:sz w:val="18"/>
                <w:szCs w:val="18"/>
                <w:lang w:val="en-US" w:eastAsia="zh-CN"/>
              </w:rPr>
              <w:t>325万</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sz w:val="18"/>
                <w:szCs w:val="18"/>
                <w:lang w:val="en-US" w:eastAsia="zh-CN"/>
              </w:rPr>
            </w:pPr>
            <w:r>
              <w:rPr>
                <w:rFonts w:hint="default" w:ascii="Times New Roman" w:hAnsi="Times New Roman" w:cs="Times New Roman"/>
                <w:sz w:val="18"/>
                <w:szCs w:val="18"/>
                <w:lang w:val="en-US" w:eastAsia="zh-CN"/>
              </w:rPr>
              <w:t>100%</w:t>
            </w:r>
          </w:p>
        </w:tc>
      </w:tr>
      <w:tr>
        <w:tblPrEx>
          <w:tblCellMar>
            <w:top w:w="0" w:type="dxa"/>
            <w:left w:w="0" w:type="dxa"/>
            <w:bottom w:w="0" w:type="dxa"/>
            <w:right w:w="0" w:type="dxa"/>
          </w:tblCellMar>
        </w:tblPrEx>
        <w:trPr>
          <w:trHeight w:val="27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其中：当年财政拨款</w:t>
            </w:r>
          </w:p>
        </w:tc>
        <w:tc>
          <w:tcPr>
            <w:tcW w:w="173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sz w:val="18"/>
                <w:szCs w:val="18"/>
                <w:lang w:val="en-US" w:eastAsia="zh-CN"/>
              </w:rPr>
            </w:pPr>
            <w:r>
              <w:rPr>
                <w:rFonts w:hint="default" w:ascii="Times New Roman" w:hAnsi="Times New Roman" w:cs="Times New Roman"/>
                <w:sz w:val="18"/>
                <w:szCs w:val="18"/>
                <w:lang w:val="en-US" w:eastAsia="zh-CN"/>
              </w:rPr>
              <w:t>325万</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sz w:val="18"/>
                <w:szCs w:val="18"/>
                <w:lang w:val="en-US" w:eastAsia="zh-CN"/>
              </w:rPr>
              <w:t>325万</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sz w:val="18"/>
                <w:szCs w:val="18"/>
                <w:lang w:val="en-US" w:eastAsia="zh-CN"/>
              </w:rPr>
              <w:t>325万</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sz w:val="18"/>
                <w:szCs w:val="18"/>
                <w:lang w:val="en-US" w:eastAsia="zh-CN"/>
              </w:rPr>
              <w:t>100%</w:t>
            </w:r>
          </w:p>
        </w:tc>
      </w:tr>
      <w:tr>
        <w:tblPrEx>
          <w:tblCellMar>
            <w:top w:w="0" w:type="dxa"/>
            <w:left w:w="0" w:type="dxa"/>
            <w:bottom w:w="0" w:type="dxa"/>
            <w:right w:w="0" w:type="dxa"/>
          </w:tblCellMar>
        </w:tblPrEx>
        <w:trPr>
          <w:trHeight w:val="27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上年结转资金</w:t>
            </w:r>
          </w:p>
        </w:tc>
        <w:tc>
          <w:tcPr>
            <w:tcW w:w="173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cs="Times New Roman"/>
                <w:sz w:val="18"/>
                <w:szCs w:val="18"/>
                <w:lang w:val="en-US" w:eastAsia="zh-CN"/>
              </w:rPr>
              <w:t>0</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lang w:val="en-US" w:eastAsia="zh-CN"/>
              </w:rPr>
              <w:t>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lang w:val="en-US" w:eastAsia="zh-CN"/>
              </w:rPr>
              <w:t>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lang w:val="en-US" w:eastAsia="zh-CN"/>
              </w:rPr>
              <w:t>0</w:t>
            </w:r>
          </w:p>
        </w:tc>
      </w:tr>
      <w:tr>
        <w:tblPrEx>
          <w:tblCellMar>
            <w:top w:w="0" w:type="dxa"/>
            <w:left w:w="0" w:type="dxa"/>
            <w:bottom w:w="0" w:type="dxa"/>
            <w:right w:w="0" w:type="dxa"/>
          </w:tblCellMar>
        </w:tblPrEx>
        <w:trPr>
          <w:trHeight w:val="27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 xml:space="preserve">  其他资金</w:t>
            </w:r>
          </w:p>
        </w:tc>
        <w:tc>
          <w:tcPr>
            <w:tcW w:w="173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cs="Times New Roman"/>
                <w:sz w:val="18"/>
                <w:szCs w:val="18"/>
                <w:lang w:val="en-US" w:eastAsia="zh-CN"/>
              </w:rPr>
              <w:t>0</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cs="Times New Roman"/>
                <w:sz w:val="18"/>
                <w:szCs w:val="18"/>
                <w:lang w:val="en-US" w:eastAsia="zh-CN"/>
              </w:rPr>
              <w:t>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cs="Times New Roman"/>
                <w:sz w:val="18"/>
                <w:szCs w:val="18"/>
                <w:lang w:val="en-US" w:eastAsia="zh-CN"/>
              </w:rPr>
              <w:t>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宋体" w:cs="Times New Roman"/>
                <w:sz w:val="18"/>
                <w:szCs w:val="18"/>
                <w:lang w:val="en-US" w:eastAsia="zh-CN"/>
              </w:rPr>
            </w:pPr>
            <w:r>
              <w:rPr>
                <w:rFonts w:hint="default" w:ascii="Times New Roman" w:hAnsi="Times New Roman" w:cs="Times New Roman"/>
                <w:sz w:val="18"/>
                <w:szCs w:val="18"/>
                <w:lang w:val="en-US" w:eastAsia="zh-CN"/>
              </w:rPr>
              <w:t>0</w:t>
            </w:r>
          </w:p>
        </w:tc>
      </w:tr>
      <w:tr>
        <w:tblPrEx>
          <w:tblCellMar>
            <w:top w:w="0" w:type="dxa"/>
            <w:left w:w="0" w:type="dxa"/>
            <w:bottom w:w="0" w:type="dxa"/>
            <w:right w:w="0" w:type="dxa"/>
          </w:tblCellMar>
        </w:tblPrEx>
        <w:trPr>
          <w:trHeight w:val="276" w:hRule="atLeast"/>
        </w:trPr>
        <w:tc>
          <w:tcPr>
            <w:tcW w:w="79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年度总体目标</w:t>
            </w:r>
          </w:p>
        </w:tc>
        <w:tc>
          <w:tcPr>
            <w:tcW w:w="520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预期目标</w:t>
            </w:r>
          </w:p>
        </w:tc>
        <w:tc>
          <w:tcPr>
            <w:tcW w:w="283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实际完成情况</w:t>
            </w:r>
          </w:p>
        </w:tc>
      </w:tr>
      <w:tr>
        <w:tblPrEx>
          <w:tblCellMar>
            <w:top w:w="0" w:type="dxa"/>
            <w:left w:w="0" w:type="dxa"/>
            <w:bottom w:w="0" w:type="dxa"/>
            <w:right w:w="0" w:type="dxa"/>
          </w:tblCellMar>
        </w:tblPrEx>
        <w:trPr>
          <w:trHeight w:val="72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520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hint="default" w:ascii="Times New Roman" w:hAnsi="Times New Roman" w:cs="Times New Roman"/>
                <w:sz w:val="18"/>
                <w:szCs w:val="18"/>
              </w:rPr>
            </w:pPr>
            <w:r>
              <w:rPr>
                <w:rFonts w:hint="default" w:ascii="Times New Roman" w:hAnsi="Times New Roman" w:cs="Times New Roman"/>
                <w:sz w:val="18"/>
                <w:szCs w:val="18"/>
              </w:rPr>
              <w:t>根据农业农村部及主管部门下达各项工作计划，坚持问题导向，扭住重点环节和问题多发点，按照“</w:t>
            </w:r>
            <w:r>
              <w:rPr>
                <w:rFonts w:hint="eastAsia" w:cs="Times New Roman"/>
                <w:sz w:val="18"/>
                <w:szCs w:val="18"/>
                <w:lang w:eastAsia="zh-CN"/>
              </w:rPr>
              <w:t>双随机、一公开</w:t>
            </w:r>
            <w:r>
              <w:rPr>
                <w:rFonts w:hint="default" w:ascii="Times New Roman" w:hAnsi="Times New Roman" w:cs="Times New Roman"/>
                <w:sz w:val="18"/>
                <w:szCs w:val="18"/>
              </w:rPr>
              <w:t>”要求，对我区兽药、饲料、畜产品质量进行监测，不留死角，不留盲区，实现检测的全覆盖，为畜牧业高质量发展提供支撑作用</w:t>
            </w:r>
            <w:r>
              <w:rPr>
                <w:rFonts w:hint="default" w:ascii="Times New Roman" w:hAnsi="Times New Roman" w:cs="Times New Roman"/>
                <w:sz w:val="18"/>
                <w:szCs w:val="18"/>
                <w:lang w:eastAsia="zh-CN"/>
              </w:rPr>
              <w:t>。</w:t>
            </w:r>
            <w:r>
              <w:rPr>
                <w:rFonts w:hint="default" w:ascii="Times New Roman" w:hAnsi="Times New Roman" w:cs="Times New Roman"/>
                <w:sz w:val="18"/>
                <w:szCs w:val="18"/>
              </w:rPr>
              <w:t>开展全疆14个地州市兽药、饲料、畜产品质量安全监测工作。涉及生产、经营、使用、养殖、屠宰等环节，同时开展兽药生产企业GMP验收、兽药二维码检查、畜产品检疫证检查、兽用生物制品批签发等工作。2023年兽药监测批次达到800批次、饲料质量安全监测达到400批次、畜产品监测批次达到1400批次、动物源细菌耐药性监测达到200批次；动物源细菌耐药性监测、兽药、饲料、畜产品质量安全监测平均成本控制在1000元/批次以内；设备采购成本控制在9.8万元/台以内；协助行政主管部门承担全疆兽药、兽药生产企业GMP及现场审查工作；购买设备数量达到10台；监测数据准确率达到100%；政府采购率达到100%；设备质量合格率达到100%；设备验收合格率达到100%；检测按期完成率达到90%以上（包含90%）；设备采购于2023年12月31日前全部完成；实验设备利用率达到90%以上（包含90%）；确保无重大食品安全事件发生；社会对兽药、饲料、畜产品质量安全的满意度达到90%以上（包含90%）；设备操作人员对仪器设备使用满意度达到90%以上（包含90%）。</w:t>
            </w:r>
          </w:p>
        </w:tc>
        <w:tc>
          <w:tcPr>
            <w:tcW w:w="283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eastAsia="宋体" w:cs="Times New Roman"/>
                <w:sz w:val="18"/>
                <w:szCs w:val="18"/>
                <w:lang w:val="en-US" w:eastAsia="zh-CN"/>
              </w:rPr>
            </w:pPr>
            <w:r>
              <w:rPr>
                <w:rFonts w:hint="default" w:ascii="Times New Roman" w:hAnsi="Times New Roman" w:cs="Times New Roman"/>
                <w:kern w:val="0"/>
                <w:sz w:val="20"/>
                <w:szCs w:val="20"/>
              </w:rPr>
              <w:t>开展全疆14个地州市</w:t>
            </w:r>
            <w:r>
              <w:rPr>
                <w:rFonts w:hint="default" w:ascii="Times New Roman" w:hAnsi="Times New Roman" w:cs="Times New Roman"/>
                <w:kern w:val="0"/>
                <w:sz w:val="20"/>
                <w:szCs w:val="20"/>
                <w:lang w:eastAsia="zh-CN"/>
              </w:rPr>
              <w:t>兽药、饲料、</w:t>
            </w:r>
            <w:r>
              <w:rPr>
                <w:rFonts w:hint="default" w:ascii="Times New Roman" w:hAnsi="Times New Roman" w:cs="Times New Roman"/>
                <w:kern w:val="0"/>
                <w:sz w:val="20"/>
                <w:szCs w:val="20"/>
              </w:rPr>
              <w:t>畜产品质量安全监测工作。涉及生产、经营、使用、养殖、屠宰等环节，同时开展兽药生产企业GMP验收、兽药二维码检查、畜产品检疫证号检查、兽用生物制品批签发等工作。202</w:t>
            </w:r>
            <w:r>
              <w:rPr>
                <w:rFonts w:hint="default" w:ascii="Times New Roman" w:hAnsi="Times New Roman" w:cs="Times New Roman"/>
                <w:kern w:val="0"/>
                <w:sz w:val="20"/>
                <w:szCs w:val="20"/>
                <w:lang w:val="en-US" w:eastAsia="zh-CN"/>
              </w:rPr>
              <w:t>3</w:t>
            </w:r>
            <w:r>
              <w:rPr>
                <w:rFonts w:hint="default" w:ascii="Times New Roman" w:hAnsi="Times New Roman" w:cs="Times New Roman"/>
                <w:kern w:val="0"/>
                <w:sz w:val="20"/>
                <w:szCs w:val="20"/>
              </w:rPr>
              <w:t>年完成兽药质量监测</w:t>
            </w:r>
            <w:r>
              <w:rPr>
                <w:rFonts w:hint="default" w:ascii="Times New Roman" w:hAnsi="Times New Roman" w:cs="Times New Roman"/>
                <w:kern w:val="0"/>
                <w:sz w:val="20"/>
                <w:szCs w:val="20"/>
                <w:lang w:val="en-US" w:eastAsia="zh-CN"/>
              </w:rPr>
              <w:t>8</w:t>
            </w:r>
            <w:r>
              <w:rPr>
                <w:rFonts w:hint="default" w:ascii="Times New Roman" w:hAnsi="Times New Roman" w:cs="Times New Roman"/>
                <w:kern w:val="0"/>
                <w:sz w:val="20"/>
                <w:szCs w:val="20"/>
              </w:rPr>
              <w:t>0</w:t>
            </w:r>
            <w:r>
              <w:rPr>
                <w:rFonts w:hint="default" w:ascii="Times New Roman" w:hAnsi="Times New Roman" w:cs="Times New Roman"/>
                <w:kern w:val="0"/>
                <w:sz w:val="20"/>
                <w:szCs w:val="20"/>
                <w:lang w:val="en-US" w:eastAsia="zh-CN"/>
              </w:rPr>
              <w:t>0</w:t>
            </w:r>
            <w:r>
              <w:rPr>
                <w:rFonts w:hint="default" w:ascii="Times New Roman" w:hAnsi="Times New Roman" w:cs="Times New Roman"/>
                <w:kern w:val="0"/>
                <w:sz w:val="20"/>
                <w:szCs w:val="20"/>
              </w:rPr>
              <w:t>批次、动物源细菌耐药性监测工作2</w:t>
            </w:r>
            <w:r>
              <w:rPr>
                <w:rFonts w:hint="default" w:ascii="Times New Roman" w:hAnsi="Times New Roman" w:cs="Times New Roman"/>
                <w:kern w:val="0"/>
                <w:sz w:val="20"/>
                <w:szCs w:val="20"/>
                <w:lang w:val="en-US" w:eastAsia="zh-CN"/>
              </w:rPr>
              <w:t>00</w:t>
            </w:r>
            <w:r>
              <w:rPr>
                <w:rFonts w:hint="default" w:ascii="Times New Roman" w:hAnsi="Times New Roman" w:cs="Times New Roman"/>
                <w:kern w:val="0"/>
                <w:sz w:val="20"/>
                <w:szCs w:val="20"/>
              </w:rPr>
              <w:t>批次、饲料质量安全监测</w:t>
            </w:r>
            <w:r>
              <w:rPr>
                <w:rFonts w:hint="default" w:ascii="Times New Roman" w:hAnsi="Times New Roman" w:cs="Times New Roman"/>
                <w:kern w:val="0"/>
                <w:sz w:val="20"/>
                <w:szCs w:val="20"/>
                <w:lang w:val="en-US" w:eastAsia="zh-CN"/>
              </w:rPr>
              <w:t>400</w:t>
            </w:r>
            <w:r>
              <w:rPr>
                <w:rFonts w:hint="default" w:ascii="Times New Roman" w:hAnsi="Times New Roman" w:cs="Times New Roman"/>
                <w:kern w:val="0"/>
                <w:sz w:val="20"/>
                <w:szCs w:val="20"/>
              </w:rPr>
              <w:t>批次</w:t>
            </w:r>
            <w:r>
              <w:rPr>
                <w:rFonts w:hint="default" w:ascii="Times New Roman" w:hAnsi="Times New Roman" w:cs="Times New Roman"/>
                <w:kern w:val="0"/>
                <w:sz w:val="20"/>
                <w:szCs w:val="20"/>
                <w:lang w:eastAsia="zh-CN"/>
              </w:rPr>
              <w:t>、</w:t>
            </w:r>
            <w:r>
              <w:rPr>
                <w:rFonts w:hint="default" w:ascii="Times New Roman" w:hAnsi="Times New Roman" w:cs="Times New Roman"/>
                <w:kern w:val="0"/>
                <w:sz w:val="20"/>
                <w:szCs w:val="20"/>
              </w:rPr>
              <w:t>畜产品质量安全监测1</w:t>
            </w:r>
            <w:r>
              <w:rPr>
                <w:rFonts w:hint="default" w:ascii="Times New Roman" w:hAnsi="Times New Roman" w:cs="Times New Roman"/>
                <w:kern w:val="0"/>
                <w:sz w:val="20"/>
                <w:szCs w:val="20"/>
                <w:lang w:val="en-US" w:eastAsia="zh-CN"/>
              </w:rPr>
              <w:t>4</w:t>
            </w:r>
            <w:r>
              <w:rPr>
                <w:rFonts w:hint="default" w:ascii="Times New Roman" w:hAnsi="Times New Roman" w:cs="Times New Roman"/>
                <w:kern w:val="0"/>
                <w:sz w:val="20"/>
                <w:szCs w:val="20"/>
              </w:rPr>
              <w:t>00批次</w:t>
            </w:r>
            <w:r>
              <w:rPr>
                <w:rFonts w:hint="default" w:ascii="Times New Roman" w:hAnsi="Times New Roman" w:cs="Times New Roman"/>
                <w:kern w:val="0"/>
                <w:sz w:val="20"/>
                <w:szCs w:val="20"/>
                <w:lang w:eastAsia="zh-CN"/>
              </w:rPr>
              <w:t>；</w:t>
            </w:r>
            <w:r>
              <w:rPr>
                <w:rFonts w:hint="default" w:ascii="Times New Roman" w:hAnsi="Times New Roman" w:cs="Times New Roman"/>
                <w:kern w:val="0"/>
                <w:sz w:val="20"/>
                <w:szCs w:val="20"/>
              </w:rPr>
              <w:t>协助行政主管部门承担全疆兽药、兽药生产企业GMP及现场审查工作；根据兽用生物制品企业生产需要，完成批签发</w:t>
            </w:r>
            <w:r>
              <w:rPr>
                <w:rFonts w:hint="default" w:ascii="Times New Roman" w:hAnsi="Times New Roman" w:cs="Times New Roman"/>
                <w:kern w:val="0"/>
                <w:sz w:val="20"/>
                <w:szCs w:val="20"/>
                <w:lang w:val="en-US" w:eastAsia="zh-CN"/>
              </w:rPr>
              <w:t>抽样39次，合计353批次</w:t>
            </w:r>
            <w:r>
              <w:rPr>
                <w:rFonts w:hint="default" w:ascii="Times New Roman" w:hAnsi="Times New Roman" w:cs="Times New Roman"/>
                <w:kern w:val="0"/>
                <w:sz w:val="20"/>
                <w:szCs w:val="20"/>
              </w:rPr>
              <w:t>。</w:t>
            </w:r>
            <w:r>
              <w:rPr>
                <w:rFonts w:hint="default" w:ascii="Times New Roman" w:hAnsi="Times New Roman" w:cs="Times New Roman"/>
                <w:sz w:val="18"/>
                <w:szCs w:val="18"/>
              </w:rPr>
              <w:t>购买设备数量达到10台；监测数据准确率达到100%；政府采购率达到100%；设备质量合格率达到100%；设备验收合格率达到100%；检测按期完成率达到</w:t>
            </w:r>
            <w:r>
              <w:rPr>
                <w:rFonts w:hint="default" w:ascii="Times New Roman" w:hAnsi="Times New Roman" w:cs="Times New Roman"/>
                <w:sz w:val="18"/>
                <w:szCs w:val="18"/>
                <w:lang w:val="en-US" w:eastAsia="zh-CN"/>
              </w:rPr>
              <w:t>10</w:t>
            </w:r>
            <w:r>
              <w:rPr>
                <w:rFonts w:hint="default" w:ascii="Times New Roman" w:hAnsi="Times New Roman" w:cs="Times New Roman"/>
                <w:sz w:val="18"/>
                <w:szCs w:val="18"/>
              </w:rPr>
              <w:t>0%；设备采购于2023年1</w:t>
            </w:r>
            <w:r>
              <w:rPr>
                <w:rFonts w:hint="default" w:ascii="Times New Roman" w:hAnsi="Times New Roman" w:cs="Times New Roman"/>
                <w:sz w:val="18"/>
                <w:szCs w:val="18"/>
                <w:lang w:val="en-US" w:eastAsia="zh-CN"/>
              </w:rPr>
              <w:t>0</w:t>
            </w:r>
            <w:r>
              <w:rPr>
                <w:rFonts w:hint="default" w:ascii="Times New Roman" w:hAnsi="Times New Roman" w:cs="Times New Roman"/>
                <w:sz w:val="18"/>
                <w:szCs w:val="18"/>
              </w:rPr>
              <w:t>月</w:t>
            </w:r>
            <w:r>
              <w:rPr>
                <w:rFonts w:hint="default" w:ascii="Times New Roman" w:hAnsi="Times New Roman" w:cs="Times New Roman"/>
                <w:sz w:val="18"/>
                <w:szCs w:val="18"/>
                <w:lang w:val="en-US" w:eastAsia="zh-CN"/>
              </w:rPr>
              <w:t>15</w:t>
            </w:r>
            <w:r>
              <w:rPr>
                <w:rFonts w:hint="default" w:ascii="Times New Roman" w:hAnsi="Times New Roman" w:cs="Times New Roman"/>
                <w:sz w:val="18"/>
                <w:szCs w:val="18"/>
              </w:rPr>
              <w:t>日前全部完成；实验设备利用率达到9</w:t>
            </w:r>
            <w:r>
              <w:rPr>
                <w:rFonts w:hint="default" w:ascii="Times New Roman" w:hAnsi="Times New Roman" w:cs="Times New Roman"/>
                <w:sz w:val="18"/>
                <w:szCs w:val="18"/>
                <w:lang w:val="en-US" w:eastAsia="zh-CN"/>
              </w:rPr>
              <w:t>5</w:t>
            </w:r>
            <w:r>
              <w:rPr>
                <w:rFonts w:hint="default" w:ascii="Times New Roman" w:hAnsi="Times New Roman" w:cs="Times New Roman"/>
                <w:sz w:val="18"/>
                <w:szCs w:val="18"/>
              </w:rPr>
              <w:t>%</w:t>
            </w:r>
            <w:r>
              <w:rPr>
                <w:rFonts w:hint="default" w:ascii="Times New Roman" w:hAnsi="Times New Roman" w:cs="Times New Roman"/>
                <w:sz w:val="18"/>
                <w:szCs w:val="18"/>
                <w:lang w:eastAsia="zh-CN"/>
              </w:rPr>
              <w:t>；</w:t>
            </w:r>
            <w:r>
              <w:rPr>
                <w:rFonts w:hint="default" w:ascii="Times New Roman" w:hAnsi="Times New Roman" w:cs="Times New Roman"/>
                <w:sz w:val="18"/>
                <w:szCs w:val="18"/>
              </w:rPr>
              <w:t>无重大食品安全事件发生；社会对兽药、饲料、畜产品质量安全的满意度达到</w:t>
            </w:r>
            <w:r>
              <w:rPr>
                <w:rFonts w:hint="default" w:ascii="Times New Roman" w:hAnsi="Times New Roman" w:cs="Times New Roman"/>
                <w:sz w:val="18"/>
                <w:szCs w:val="18"/>
                <w:lang w:val="en-US" w:eastAsia="zh-CN"/>
              </w:rPr>
              <w:t>10</w:t>
            </w:r>
            <w:r>
              <w:rPr>
                <w:rFonts w:hint="default" w:ascii="Times New Roman" w:hAnsi="Times New Roman" w:cs="Times New Roman"/>
                <w:sz w:val="18"/>
                <w:szCs w:val="18"/>
              </w:rPr>
              <w:t>0%；设备操作人员对仪器设备使用满意度达到</w:t>
            </w:r>
            <w:r>
              <w:rPr>
                <w:rFonts w:hint="default" w:ascii="Times New Roman" w:hAnsi="Times New Roman" w:cs="Times New Roman"/>
                <w:sz w:val="18"/>
                <w:szCs w:val="18"/>
                <w:lang w:val="en-US" w:eastAsia="zh-CN"/>
              </w:rPr>
              <w:t>100%。</w:t>
            </w:r>
          </w:p>
        </w:tc>
      </w:tr>
      <w:tr>
        <w:tblPrEx>
          <w:tblCellMar>
            <w:top w:w="0" w:type="dxa"/>
            <w:left w:w="0" w:type="dxa"/>
            <w:bottom w:w="0" w:type="dxa"/>
            <w:right w:w="0" w:type="dxa"/>
          </w:tblCellMar>
        </w:tblPrEx>
        <w:trPr>
          <w:trHeight w:val="408" w:hRule="atLeast"/>
        </w:trPr>
        <w:tc>
          <w:tcPr>
            <w:tcW w:w="798" w:type="dxa"/>
            <w:vMerge w:val="restar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kern w:val="0"/>
                <w:sz w:val="18"/>
                <w:szCs w:val="18"/>
                <w:lang w:bidi="ar"/>
              </w:rPr>
            </w:pPr>
          </w:p>
          <w:p>
            <w:pPr>
              <w:widowControl/>
              <w:jc w:val="center"/>
              <w:textAlignment w:val="center"/>
              <w:rPr>
                <w:rFonts w:hint="default" w:ascii="Times New Roman" w:hAnsi="Times New Roman" w:cs="Times New Roman"/>
                <w:kern w:val="0"/>
                <w:sz w:val="18"/>
                <w:szCs w:val="18"/>
                <w:lang w:bidi="ar"/>
              </w:rPr>
            </w:pPr>
          </w:p>
          <w:p>
            <w:pPr>
              <w:widowControl/>
              <w:jc w:val="center"/>
              <w:textAlignment w:val="center"/>
              <w:rPr>
                <w:rFonts w:hint="default" w:ascii="Times New Roman" w:hAnsi="Times New Roman" w:cs="Times New Roman"/>
                <w:kern w:val="0"/>
                <w:sz w:val="18"/>
                <w:szCs w:val="18"/>
                <w:lang w:bidi="ar"/>
              </w:rPr>
            </w:pPr>
          </w:p>
          <w:p>
            <w:pPr>
              <w:widowControl/>
              <w:jc w:val="center"/>
              <w:textAlignment w:val="center"/>
              <w:rPr>
                <w:rFonts w:hint="default" w:ascii="Times New Roman" w:hAnsi="Times New Roman" w:cs="Times New Roman"/>
                <w:kern w:val="0"/>
                <w:sz w:val="18"/>
                <w:szCs w:val="18"/>
                <w:lang w:bidi="ar"/>
              </w:rPr>
            </w:pPr>
          </w:p>
          <w:p>
            <w:pPr>
              <w:widowControl/>
              <w:jc w:val="center"/>
              <w:textAlignment w:val="center"/>
              <w:rPr>
                <w:rFonts w:hint="default" w:ascii="Times New Roman" w:hAnsi="Times New Roman" w:cs="Times New Roman"/>
                <w:kern w:val="0"/>
                <w:sz w:val="18"/>
                <w:szCs w:val="18"/>
                <w:lang w:bidi="ar"/>
              </w:rPr>
            </w:pPr>
          </w:p>
          <w:p>
            <w:pPr>
              <w:widowControl/>
              <w:jc w:val="center"/>
              <w:textAlignment w:val="center"/>
              <w:rPr>
                <w:rFonts w:hint="default" w:ascii="Times New Roman" w:hAnsi="Times New Roman" w:cs="Times New Roman"/>
                <w:kern w:val="0"/>
                <w:sz w:val="18"/>
                <w:szCs w:val="18"/>
                <w:lang w:bidi="ar"/>
              </w:rPr>
            </w:pPr>
          </w:p>
          <w:p>
            <w:pPr>
              <w:widowControl/>
              <w:jc w:val="center"/>
              <w:textAlignment w:val="center"/>
              <w:rPr>
                <w:rFonts w:hint="default" w:ascii="Times New Roman" w:hAnsi="Times New Roman" w:cs="Times New Roman"/>
                <w:kern w:val="0"/>
                <w:sz w:val="18"/>
                <w:szCs w:val="18"/>
                <w:lang w:bidi="ar"/>
              </w:rPr>
            </w:pPr>
          </w:p>
          <w:p>
            <w:pPr>
              <w:widowControl/>
              <w:jc w:val="center"/>
              <w:textAlignment w:val="center"/>
              <w:rPr>
                <w:rFonts w:hint="default" w:ascii="Times New Roman" w:hAnsi="Times New Roman" w:cs="Times New Roman"/>
                <w:kern w:val="0"/>
                <w:sz w:val="18"/>
                <w:szCs w:val="18"/>
                <w:lang w:bidi="ar"/>
              </w:rPr>
            </w:pPr>
          </w:p>
          <w:p>
            <w:pPr>
              <w:widowControl/>
              <w:jc w:val="center"/>
              <w:textAlignment w:val="center"/>
              <w:rPr>
                <w:rFonts w:hint="default" w:ascii="Times New Roman" w:hAnsi="Times New Roman" w:cs="Times New Roman"/>
                <w:kern w:val="0"/>
                <w:sz w:val="18"/>
                <w:szCs w:val="18"/>
                <w:lang w:bidi="ar"/>
              </w:rPr>
            </w:pPr>
          </w:p>
          <w:p>
            <w:pPr>
              <w:widowControl/>
              <w:jc w:val="center"/>
              <w:textAlignment w:val="center"/>
              <w:rPr>
                <w:rFonts w:hint="default" w:ascii="Times New Roman" w:hAnsi="Times New Roman" w:cs="Times New Roman"/>
                <w:kern w:val="0"/>
                <w:sz w:val="18"/>
                <w:szCs w:val="18"/>
                <w:lang w:bidi="ar"/>
              </w:rPr>
            </w:pPr>
          </w:p>
          <w:p>
            <w:pPr>
              <w:widowControl/>
              <w:jc w:val="center"/>
              <w:textAlignment w:val="center"/>
              <w:rPr>
                <w:rFonts w:hint="default" w:ascii="Times New Roman" w:hAnsi="Times New Roman" w:cs="Times New Roman"/>
                <w:kern w:val="0"/>
                <w:sz w:val="18"/>
                <w:szCs w:val="18"/>
                <w:lang w:bidi="ar"/>
              </w:rPr>
            </w:pPr>
          </w:p>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绩效指标</w:t>
            </w:r>
          </w:p>
        </w:tc>
        <w:tc>
          <w:tcPr>
            <w:tcW w:w="98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一级指标</w:t>
            </w:r>
          </w:p>
        </w:tc>
        <w:tc>
          <w:tcPr>
            <w:tcW w:w="1221"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二级指标</w:t>
            </w:r>
          </w:p>
        </w:tc>
        <w:tc>
          <w:tcPr>
            <w:tcW w:w="173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三级指标</w:t>
            </w:r>
          </w:p>
        </w:tc>
        <w:tc>
          <w:tcPr>
            <w:tcW w:w="126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年度指标值</w:t>
            </w:r>
          </w:p>
        </w:tc>
        <w:tc>
          <w:tcPr>
            <w:tcW w:w="13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实际完成值</w:t>
            </w:r>
          </w:p>
        </w:tc>
        <w:tc>
          <w:tcPr>
            <w:tcW w:w="1483"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偏差原因分析及改进措施</w:t>
            </w:r>
          </w:p>
        </w:tc>
      </w:tr>
      <w:tr>
        <w:tblPrEx>
          <w:tblCellMar>
            <w:top w:w="0" w:type="dxa"/>
            <w:left w:w="0" w:type="dxa"/>
            <w:bottom w:w="0" w:type="dxa"/>
            <w:right w:w="0" w:type="dxa"/>
          </w:tblCellMar>
        </w:tblPrEx>
        <w:trPr>
          <w:trHeight w:val="408" w:hRule="atLeast"/>
        </w:trPr>
        <w:tc>
          <w:tcPr>
            <w:tcW w:w="798" w:type="dxa"/>
            <w:vMerge w:val="continue"/>
            <w:tcBorders>
              <w:top w:val="nil"/>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12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17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1268" w:type="dxa"/>
            <w:vMerge w:val="continue"/>
            <w:tcBorders>
              <w:top w:val="single" w:color="000000"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1348" w:type="dxa"/>
            <w:vMerge w:val="continue"/>
            <w:tcBorders>
              <w:top w:val="single" w:color="000000"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1483" w:type="dxa"/>
            <w:vMerge w:val="continue"/>
            <w:tcBorders>
              <w:top w:val="single" w:color="000000"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r>
      <w:tr>
        <w:tblPrEx>
          <w:tblCellMar>
            <w:top w:w="0" w:type="dxa"/>
            <w:left w:w="0" w:type="dxa"/>
            <w:bottom w:w="0" w:type="dxa"/>
            <w:right w:w="0" w:type="dxa"/>
          </w:tblCellMar>
        </w:tblPrEx>
        <w:trPr>
          <w:trHeight w:val="175" w:hRule="atLeast"/>
        </w:trPr>
        <w:tc>
          <w:tcPr>
            <w:tcW w:w="798" w:type="dxa"/>
            <w:vMerge w:val="continue"/>
            <w:tcBorders>
              <w:top w:val="nil"/>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98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产出指标</w:t>
            </w:r>
          </w:p>
        </w:tc>
        <w:tc>
          <w:tcPr>
            <w:tcW w:w="1221"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数量指标</w:t>
            </w:r>
          </w:p>
        </w:tc>
        <w:tc>
          <w:tcPr>
            <w:tcW w:w="1732" w:type="dxa"/>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sz w:val="18"/>
                <w:szCs w:val="18"/>
              </w:rPr>
            </w:pPr>
            <w:r>
              <w:rPr>
                <w:rFonts w:hint="default" w:ascii="Times New Roman" w:hAnsi="Times New Roman" w:cs="Times New Roman"/>
                <w:sz w:val="18"/>
                <w:szCs w:val="18"/>
              </w:rPr>
              <w:t>兽药、饲料、畜产品质量检测批次</w:t>
            </w:r>
          </w:p>
        </w:tc>
        <w:tc>
          <w:tcPr>
            <w:tcW w:w="126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sz w:val="18"/>
                <w:szCs w:val="18"/>
                <w:lang w:eastAsia="zh-CN"/>
              </w:rPr>
            </w:pPr>
            <w:r>
              <w:rPr>
                <w:rFonts w:hint="default" w:ascii="Times New Roman" w:hAnsi="Times New Roman" w:cs="Times New Roman"/>
                <w:kern w:val="0"/>
                <w:sz w:val="20"/>
                <w:szCs w:val="20"/>
              </w:rPr>
              <w:t>≥</w:t>
            </w:r>
            <w:r>
              <w:rPr>
                <w:rFonts w:hint="default" w:ascii="Times New Roman" w:hAnsi="Times New Roman" w:cs="Times New Roman"/>
                <w:kern w:val="0"/>
                <w:sz w:val="20"/>
                <w:szCs w:val="20"/>
                <w:lang w:val="en-US" w:eastAsia="zh-CN"/>
              </w:rPr>
              <w:t>26</w:t>
            </w:r>
            <w:r>
              <w:rPr>
                <w:rFonts w:hint="default" w:ascii="Times New Roman" w:hAnsi="Times New Roman" w:cs="Times New Roman"/>
                <w:kern w:val="0"/>
                <w:sz w:val="20"/>
                <w:szCs w:val="20"/>
              </w:rPr>
              <w:t>00批次</w:t>
            </w:r>
          </w:p>
        </w:tc>
        <w:tc>
          <w:tcPr>
            <w:tcW w:w="134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sz w:val="18"/>
                <w:szCs w:val="18"/>
                <w:lang w:val="en-US" w:eastAsia="zh-CN"/>
              </w:rPr>
            </w:pPr>
            <w:r>
              <w:rPr>
                <w:rFonts w:hint="default" w:ascii="Times New Roman" w:hAnsi="Times New Roman" w:cs="Times New Roman"/>
                <w:sz w:val="18"/>
                <w:szCs w:val="18"/>
                <w:lang w:val="en-US" w:eastAsia="zh-CN"/>
              </w:rPr>
              <w:t>2600批次</w:t>
            </w:r>
          </w:p>
        </w:tc>
        <w:tc>
          <w:tcPr>
            <w:tcW w:w="148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default" w:ascii="Times New Roman" w:hAnsi="Times New Roman" w:eastAsia="宋体" w:cs="Times New Roman"/>
                <w:sz w:val="18"/>
                <w:szCs w:val="18"/>
                <w:lang w:eastAsia="zh-CN"/>
              </w:rPr>
            </w:pPr>
            <w:r>
              <w:rPr>
                <w:rFonts w:hint="default" w:ascii="Times New Roman" w:hAnsi="Times New Roman" w:cs="Times New Roman"/>
                <w:sz w:val="18"/>
                <w:szCs w:val="18"/>
                <w:lang w:eastAsia="zh-CN"/>
              </w:rPr>
              <w:t>无</w:t>
            </w:r>
          </w:p>
        </w:tc>
      </w:tr>
      <w:tr>
        <w:tblPrEx>
          <w:tblCellMar>
            <w:top w:w="0" w:type="dxa"/>
            <w:left w:w="0" w:type="dxa"/>
            <w:bottom w:w="0" w:type="dxa"/>
            <w:right w:w="0" w:type="dxa"/>
          </w:tblCellMar>
        </w:tblPrEx>
        <w:trPr>
          <w:trHeight w:val="175" w:hRule="atLeast"/>
        </w:trPr>
        <w:tc>
          <w:tcPr>
            <w:tcW w:w="798" w:type="dxa"/>
            <w:vMerge w:val="continue"/>
            <w:tcBorders>
              <w:top w:val="nil"/>
              <w:left w:val="single" w:color="000000" w:sz="4" w:space="0"/>
              <w:bottom w:val="nil"/>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rPr>
            </w:pPr>
          </w:p>
        </w:tc>
        <w:tc>
          <w:tcPr>
            <w:tcW w:w="1221"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rPr>
            </w:pPr>
          </w:p>
        </w:tc>
        <w:tc>
          <w:tcPr>
            <w:tcW w:w="1732" w:type="dxa"/>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sz w:val="18"/>
                <w:szCs w:val="18"/>
              </w:rPr>
            </w:pPr>
            <w:r>
              <w:rPr>
                <w:rFonts w:hint="default" w:ascii="Times New Roman" w:hAnsi="Times New Roman" w:cs="Times New Roman"/>
                <w:sz w:val="18"/>
                <w:szCs w:val="18"/>
              </w:rPr>
              <w:t>动物源细菌耐药性</w:t>
            </w:r>
            <w:r>
              <w:rPr>
                <w:rFonts w:hint="default" w:ascii="Times New Roman" w:hAnsi="Times New Roman" w:cs="Times New Roman"/>
                <w:sz w:val="18"/>
                <w:szCs w:val="18"/>
                <w:lang w:val="en-US" w:eastAsia="zh-CN"/>
              </w:rPr>
              <w:t>监测</w:t>
            </w:r>
            <w:r>
              <w:rPr>
                <w:rFonts w:hint="default" w:ascii="Times New Roman" w:hAnsi="Times New Roman" w:cs="Times New Roman"/>
                <w:sz w:val="18"/>
                <w:szCs w:val="18"/>
              </w:rPr>
              <w:t>批次</w:t>
            </w:r>
          </w:p>
        </w:tc>
        <w:tc>
          <w:tcPr>
            <w:tcW w:w="126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sz w:val="18"/>
                <w:szCs w:val="18"/>
                <w:lang w:eastAsia="zh-CN"/>
              </w:rPr>
            </w:pPr>
            <w:r>
              <w:rPr>
                <w:rFonts w:hint="default" w:ascii="Times New Roman" w:hAnsi="Times New Roman" w:cs="Times New Roman"/>
                <w:kern w:val="0"/>
                <w:sz w:val="20"/>
                <w:szCs w:val="20"/>
              </w:rPr>
              <w:t>≥200批次</w:t>
            </w:r>
          </w:p>
        </w:tc>
        <w:tc>
          <w:tcPr>
            <w:tcW w:w="134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sz w:val="18"/>
                <w:szCs w:val="18"/>
                <w:lang w:val="en-US" w:eastAsia="zh-CN"/>
              </w:rPr>
            </w:pPr>
            <w:r>
              <w:rPr>
                <w:rFonts w:hint="default" w:ascii="Times New Roman" w:hAnsi="Times New Roman" w:cs="Times New Roman"/>
                <w:sz w:val="18"/>
                <w:szCs w:val="18"/>
                <w:lang w:val="en-US" w:eastAsia="zh-CN"/>
              </w:rPr>
              <w:t>200批次</w:t>
            </w:r>
          </w:p>
        </w:tc>
        <w:tc>
          <w:tcPr>
            <w:tcW w:w="148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sz w:val="18"/>
                <w:szCs w:val="18"/>
                <w:lang w:eastAsia="zh-CN"/>
              </w:rPr>
              <w:t>无</w:t>
            </w:r>
          </w:p>
        </w:tc>
      </w:tr>
      <w:tr>
        <w:tblPrEx>
          <w:tblCellMar>
            <w:top w:w="0" w:type="dxa"/>
            <w:left w:w="0" w:type="dxa"/>
            <w:bottom w:w="0" w:type="dxa"/>
            <w:right w:w="0" w:type="dxa"/>
          </w:tblCellMar>
        </w:tblPrEx>
        <w:trPr>
          <w:trHeight w:val="175" w:hRule="atLeast"/>
        </w:trPr>
        <w:tc>
          <w:tcPr>
            <w:tcW w:w="798" w:type="dxa"/>
            <w:vMerge w:val="continue"/>
            <w:tcBorders>
              <w:top w:val="nil"/>
              <w:left w:val="single" w:color="000000" w:sz="4" w:space="0"/>
              <w:bottom w:val="nil"/>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sz w:val="18"/>
                <w:szCs w:val="18"/>
              </w:rPr>
            </w:pPr>
          </w:p>
        </w:tc>
        <w:tc>
          <w:tcPr>
            <w:tcW w:w="1221"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sz w:val="18"/>
                <w:szCs w:val="18"/>
              </w:rPr>
            </w:pPr>
          </w:p>
        </w:tc>
        <w:tc>
          <w:tcPr>
            <w:tcW w:w="1732" w:type="dxa"/>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sz w:val="18"/>
                <w:szCs w:val="18"/>
              </w:rPr>
            </w:pPr>
            <w:r>
              <w:rPr>
                <w:rFonts w:hint="default" w:ascii="Times New Roman" w:hAnsi="Times New Roman" w:cs="Times New Roman"/>
                <w:sz w:val="18"/>
                <w:szCs w:val="18"/>
              </w:rPr>
              <w:t>设备采购数量</w:t>
            </w:r>
          </w:p>
        </w:tc>
        <w:tc>
          <w:tcPr>
            <w:tcW w:w="126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sz w:val="18"/>
                <w:szCs w:val="18"/>
                <w:lang w:val="en-US" w:eastAsia="zh-CN"/>
              </w:rPr>
            </w:pPr>
            <w:r>
              <w:rPr>
                <w:rFonts w:hint="default" w:ascii="Times New Roman" w:hAnsi="Times New Roman" w:cs="Times New Roman"/>
                <w:kern w:val="0"/>
                <w:sz w:val="20"/>
                <w:szCs w:val="20"/>
              </w:rPr>
              <w:t>≥</w:t>
            </w:r>
            <w:r>
              <w:rPr>
                <w:rFonts w:hint="default" w:ascii="Times New Roman" w:hAnsi="Times New Roman" w:cs="Times New Roman"/>
                <w:sz w:val="18"/>
                <w:szCs w:val="18"/>
                <w:lang w:val="en-US" w:eastAsia="zh-CN"/>
              </w:rPr>
              <w:t>10台</w:t>
            </w:r>
          </w:p>
        </w:tc>
        <w:tc>
          <w:tcPr>
            <w:tcW w:w="134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sz w:val="18"/>
                <w:szCs w:val="18"/>
                <w:lang w:val="en-US" w:eastAsia="zh-CN"/>
              </w:rPr>
            </w:pPr>
            <w:r>
              <w:rPr>
                <w:rFonts w:hint="default" w:ascii="Times New Roman" w:hAnsi="Times New Roman" w:cs="Times New Roman"/>
                <w:sz w:val="18"/>
                <w:szCs w:val="18"/>
                <w:lang w:val="en-US" w:eastAsia="zh-CN"/>
              </w:rPr>
              <w:t>10台</w:t>
            </w:r>
          </w:p>
        </w:tc>
        <w:tc>
          <w:tcPr>
            <w:tcW w:w="148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sz w:val="18"/>
                <w:szCs w:val="18"/>
                <w:lang w:eastAsia="zh-CN"/>
              </w:rPr>
              <w:t>无</w:t>
            </w:r>
          </w:p>
        </w:tc>
      </w:tr>
      <w:tr>
        <w:tblPrEx>
          <w:tblCellMar>
            <w:top w:w="0" w:type="dxa"/>
            <w:left w:w="0" w:type="dxa"/>
            <w:bottom w:w="0" w:type="dxa"/>
            <w:right w:w="0" w:type="dxa"/>
          </w:tblCellMar>
        </w:tblPrEx>
        <w:trPr>
          <w:trHeight w:val="175" w:hRule="atLeast"/>
        </w:trPr>
        <w:tc>
          <w:tcPr>
            <w:tcW w:w="798" w:type="dxa"/>
            <w:vMerge w:val="continue"/>
            <w:tcBorders>
              <w:top w:val="nil"/>
              <w:left w:val="single" w:color="000000" w:sz="4" w:space="0"/>
              <w:bottom w:val="nil"/>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sz w:val="18"/>
                <w:szCs w:val="18"/>
              </w:rPr>
            </w:pPr>
          </w:p>
        </w:tc>
        <w:tc>
          <w:tcPr>
            <w:tcW w:w="1221"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sz w:val="18"/>
                <w:szCs w:val="18"/>
              </w:rPr>
            </w:pPr>
          </w:p>
        </w:tc>
        <w:tc>
          <w:tcPr>
            <w:tcW w:w="1732" w:type="dxa"/>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sz w:val="18"/>
                <w:szCs w:val="18"/>
              </w:rPr>
            </w:pPr>
            <w:r>
              <w:rPr>
                <w:rFonts w:hint="default" w:ascii="Times New Roman" w:hAnsi="Times New Roman" w:cs="Times New Roman"/>
                <w:sz w:val="18"/>
                <w:szCs w:val="18"/>
              </w:rPr>
              <w:t>监测覆盖范围</w:t>
            </w:r>
          </w:p>
        </w:tc>
        <w:tc>
          <w:tcPr>
            <w:tcW w:w="126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lang w:val="en-US" w:eastAsia="zh-CN"/>
              </w:rPr>
            </w:pPr>
            <w:r>
              <w:rPr>
                <w:rFonts w:hint="default" w:ascii="Times New Roman" w:hAnsi="Times New Roman" w:cs="Times New Roman"/>
                <w:sz w:val="18"/>
                <w:szCs w:val="18"/>
                <w:lang w:val="en-US" w:eastAsia="zh-CN"/>
              </w:rPr>
              <w:t>14个地州</w:t>
            </w:r>
          </w:p>
        </w:tc>
        <w:tc>
          <w:tcPr>
            <w:tcW w:w="134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lang w:val="en-US" w:eastAsia="zh-CN"/>
              </w:rPr>
            </w:pPr>
            <w:r>
              <w:rPr>
                <w:rFonts w:hint="default" w:ascii="Times New Roman" w:hAnsi="Times New Roman" w:cs="Times New Roman"/>
                <w:sz w:val="18"/>
                <w:szCs w:val="18"/>
                <w:lang w:val="en-US" w:eastAsia="zh-CN"/>
              </w:rPr>
              <w:t>14个地州</w:t>
            </w:r>
          </w:p>
        </w:tc>
        <w:tc>
          <w:tcPr>
            <w:tcW w:w="148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lang w:val="en-US" w:eastAsia="zh-CN"/>
              </w:rPr>
            </w:pPr>
            <w:r>
              <w:rPr>
                <w:rFonts w:hint="default" w:ascii="Times New Roman" w:hAnsi="Times New Roman" w:cs="Times New Roman"/>
                <w:sz w:val="18"/>
                <w:szCs w:val="18"/>
                <w:lang w:val="en-US" w:eastAsia="zh-CN"/>
              </w:rPr>
              <w:t>无</w:t>
            </w:r>
          </w:p>
        </w:tc>
      </w:tr>
      <w:tr>
        <w:tblPrEx>
          <w:tblCellMar>
            <w:top w:w="0" w:type="dxa"/>
            <w:left w:w="0" w:type="dxa"/>
            <w:bottom w:w="0" w:type="dxa"/>
            <w:right w:w="0" w:type="dxa"/>
          </w:tblCellMar>
        </w:tblPrEx>
        <w:trPr>
          <w:trHeight w:val="224" w:hRule="atLeast"/>
        </w:trPr>
        <w:tc>
          <w:tcPr>
            <w:tcW w:w="798" w:type="dxa"/>
            <w:vMerge w:val="continue"/>
            <w:tcBorders>
              <w:top w:val="nil"/>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kern w:val="0"/>
                <w:sz w:val="18"/>
                <w:szCs w:val="18"/>
                <w:lang w:bidi="ar"/>
              </w:rPr>
            </w:pPr>
          </w:p>
        </w:tc>
        <w:tc>
          <w:tcPr>
            <w:tcW w:w="1221"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kern w:val="0"/>
                <w:sz w:val="18"/>
                <w:szCs w:val="18"/>
                <w:lang w:bidi="ar"/>
              </w:rPr>
            </w:pPr>
            <w:r>
              <w:rPr>
                <w:rFonts w:hint="default" w:ascii="Times New Roman" w:hAnsi="Times New Roman" w:cs="Times New Roman"/>
                <w:kern w:val="0"/>
                <w:sz w:val="18"/>
                <w:szCs w:val="18"/>
                <w:lang w:bidi="ar"/>
              </w:rPr>
              <w:t>质量指标</w:t>
            </w:r>
          </w:p>
        </w:tc>
        <w:tc>
          <w:tcPr>
            <w:tcW w:w="1732" w:type="dxa"/>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sz w:val="18"/>
                <w:szCs w:val="18"/>
              </w:rPr>
              <w:t>监测数据准确率</w:t>
            </w:r>
          </w:p>
        </w:tc>
        <w:tc>
          <w:tcPr>
            <w:tcW w:w="126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sz w:val="18"/>
                <w:szCs w:val="18"/>
              </w:rPr>
              <w:t>=100%</w:t>
            </w:r>
          </w:p>
        </w:tc>
        <w:tc>
          <w:tcPr>
            <w:tcW w:w="134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sz w:val="18"/>
                <w:szCs w:val="18"/>
                <w:lang w:val="en-US" w:eastAsia="zh-CN"/>
              </w:rPr>
              <w:t>100%</w:t>
            </w:r>
          </w:p>
        </w:tc>
        <w:tc>
          <w:tcPr>
            <w:tcW w:w="148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sz w:val="18"/>
                <w:szCs w:val="18"/>
                <w:lang w:eastAsia="zh-CN"/>
              </w:rPr>
              <w:t>无</w:t>
            </w:r>
          </w:p>
        </w:tc>
      </w:tr>
      <w:tr>
        <w:tblPrEx>
          <w:tblCellMar>
            <w:top w:w="0" w:type="dxa"/>
            <w:left w:w="0" w:type="dxa"/>
            <w:bottom w:w="0" w:type="dxa"/>
            <w:right w:w="0" w:type="dxa"/>
          </w:tblCellMar>
        </w:tblPrEx>
        <w:trPr>
          <w:trHeight w:val="224" w:hRule="atLeast"/>
        </w:trPr>
        <w:tc>
          <w:tcPr>
            <w:tcW w:w="798" w:type="dxa"/>
            <w:vMerge w:val="continue"/>
            <w:tcBorders>
              <w:top w:val="nil"/>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kern w:val="0"/>
                <w:sz w:val="18"/>
                <w:szCs w:val="18"/>
                <w:lang w:bidi="ar"/>
              </w:rPr>
            </w:pPr>
          </w:p>
        </w:tc>
        <w:tc>
          <w:tcPr>
            <w:tcW w:w="1221"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kern w:val="0"/>
                <w:sz w:val="18"/>
                <w:szCs w:val="18"/>
                <w:lang w:bidi="ar"/>
              </w:rPr>
            </w:pPr>
          </w:p>
        </w:tc>
        <w:tc>
          <w:tcPr>
            <w:tcW w:w="1732" w:type="dxa"/>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kern w:val="2"/>
                <w:sz w:val="18"/>
                <w:szCs w:val="18"/>
                <w:lang w:val="en-US" w:eastAsia="zh-CN" w:bidi="ar-SA"/>
              </w:rPr>
              <w:t>政府采购率</w:t>
            </w:r>
          </w:p>
        </w:tc>
        <w:tc>
          <w:tcPr>
            <w:tcW w:w="126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kern w:val="2"/>
                <w:sz w:val="18"/>
                <w:szCs w:val="18"/>
                <w:lang w:val="en-US" w:eastAsia="zh-CN" w:bidi="ar-SA"/>
              </w:rPr>
              <w:t>=100%</w:t>
            </w:r>
          </w:p>
        </w:tc>
        <w:tc>
          <w:tcPr>
            <w:tcW w:w="134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kern w:val="2"/>
                <w:sz w:val="18"/>
                <w:szCs w:val="18"/>
                <w:lang w:val="en-US" w:eastAsia="zh-CN" w:bidi="ar-SA"/>
              </w:rPr>
              <w:t>100%</w:t>
            </w:r>
          </w:p>
        </w:tc>
        <w:tc>
          <w:tcPr>
            <w:tcW w:w="148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kern w:val="2"/>
                <w:sz w:val="18"/>
                <w:szCs w:val="18"/>
                <w:lang w:val="en-US" w:eastAsia="zh-CN" w:bidi="ar-SA"/>
              </w:rPr>
              <w:t>无</w:t>
            </w:r>
          </w:p>
        </w:tc>
      </w:tr>
      <w:tr>
        <w:tblPrEx>
          <w:tblCellMar>
            <w:top w:w="0" w:type="dxa"/>
            <w:left w:w="0" w:type="dxa"/>
            <w:bottom w:w="0" w:type="dxa"/>
            <w:right w:w="0" w:type="dxa"/>
          </w:tblCellMar>
        </w:tblPrEx>
        <w:trPr>
          <w:trHeight w:val="224" w:hRule="atLeast"/>
        </w:trPr>
        <w:tc>
          <w:tcPr>
            <w:tcW w:w="798" w:type="dxa"/>
            <w:vMerge w:val="continue"/>
            <w:tcBorders>
              <w:top w:val="nil"/>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kern w:val="0"/>
                <w:sz w:val="18"/>
                <w:szCs w:val="18"/>
                <w:lang w:bidi="ar"/>
              </w:rPr>
            </w:pPr>
          </w:p>
        </w:tc>
        <w:tc>
          <w:tcPr>
            <w:tcW w:w="1221"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kern w:val="0"/>
                <w:sz w:val="18"/>
                <w:szCs w:val="18"/>
                <w:lang w:bidi="ar"/>
              </w:rPr>
            </w:pPr>
          </w:p>
        </w:tc>
        <w:tc>
          <w:tcPr>
            <w:tcW w:w="1732" w:type="dxa"/>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sz w:val="18"/>
                <w:szCs w:val="18"/>
              </w:rPr>
              <w:t>设备质量合格率</w:t>
            </w:r>
          </w:p>
        </w:tc>
        <w:tc>
          <w:tcPr>
            <w:tcW w:w="126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sz w:val="18"/>
                <w:szCs w:val="18"/>
              </w:rPr>
              <w:t>=100%</w:t>
            </w:r>
          </w:p>
        </w:tc>
        <w:tc>
          <w:tcPr>
            <w:tcW w:w="134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sz w:val="18"/>
                <w:szCs w:val="18"/>
                <w:lang w:val="en-US" w:eastAsia="zh-CN"/>
              </w:rPr>
              <w:t>100%</w:t>
            </w:r>
          </w:p>
        </w:tc>
        <w:tc>
          <w:tcPr>
            <w:tcW w:w="148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sz w:val="18"/>
                <w:szCs w:val="18"/>
                <w:lang w:eastAsia="zh-CN"/>
              </w:rPr>
              <w:t>无</w:t>
            </w:r>
          </w:p>
        </w:tc>
      </w:tr>
      <w:tr>
        <w:tblPrEx>
          <w:tblCellMar>
            <w:top w:w="0" w:type="dxa"/>
            <w:left w:w="0" w:type="dxa"/>
            <w:bottom w:w="0" w:type="dxa"/>
            <w:right w:w="0" w:type="dxa"/>
          </w:tblCellMar>
        </w:tblPrEx>
        <w:trPr>
          <w:trHeight w:val="224" w:hRule="atLeast"/>
        </w:trPr>
        <w:tc>
          <w:tcPr>
            <w:tcW w:w="798" w:type="dxa"/>
            <w:vMerge w:val="continue"/>
            <w:tcBorders>
              <w:top w:val="nil"/>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kern w:val="0"/>
                <w:sz w:val="18"/>
                <w:szCs w:val="18"/>
                <w:lang w:bidi="ar"/>
              </w:rPr>
            </w:pPr>
          </w:p>
        </w:tc>
        <w:tc>
          <w:tcPr>
            <w:tcW w:w="1221"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kern w:val="0"/>
                <w:sz w:val="18"/>
                <w:szCs w:val="18"/>
                <w:lang w:bidi="ar"/>
              </w:rPr>
            </w:pPr>
          </w:p>
        </w:tc>
        <w:tc>
          <w:tcPr>
            <w:tcW w:w="1732" w:type="dxa"/>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sz w:val="18"/>
                <w:szCs w:val="18"/>
              </w:rPr>
              <w:t>设备验收合格率</w:t>
            </w:r>
          </w:p>
        </w:tc>
        <w:tc>
          <w:tcPr>
            <w:tcW w:w="126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sz w:val="18"/>
                <w:szCs w:val="18"/>
              </w:rPr>
              <w:t>=100%</w:t>
            </w:r>
          </w:p>
        </w:tc>
        <w:tc>
          <w:tcPr>
            <w:tcW w:w="134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sz w:val="18"/>
                <w:szCs w:val="18"/>
                <w:lang w:val="en-US" w:eastAsia="zh-CN"/>
              </w:rPr>
              <w:t>100%</w:t>
            </w:r>
          </w:p>
        </w:tc>
        <w:tc>
          <w:tcPr>
            <w:tcW w:w="148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sz w:val="18"/>
                <w:szCs w:val="18"/>
                <w:lang w:eastAsia="zh-CN"/>
              </w:rPr>
              <w:t>无</w:t>
            </w:r>
          </w:p>
        </w:tc>
      </w:tr>
      <w:tr>
        <w:tblPrEx>
          <w:tblCellMar>
            <w:top w:w="0" w:type="dxa"/>
            <w:left w:w="0" w:type="dxa"/>
            <w:bottom w:w="0" w:type="dxa"/>
            <w:right w:w="0" w:type="dxa"/>
          </w:tblCellMar>
        </w:tblPrEx>
        <w:trPr>
          <w:trHeight w:val="251" w:hRule="atLeast"/>
        </w:trPr>
        <w:tc>
          <w:tcPr>
            <w:tcW w:w="798" w:type="dxa"/>
            <w:vMerge w:val="continue"/>
            <w:tcBorders>
              <w:top w:val="nil"/>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1221"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时效指标</w:t>
            </w:r>
          </w:p>
        </w:tc>
        <w:tc>
          <w:tcPr>
            <w:tcW w:w="1732" w:type="dxa"/>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sz w:val="18"/>
                <w:szCs w:val="18"/>
              </w:rPr>
            </w:pPr>
            <w:r>
              <w:rPr>
                <w:rFonts w:hint="default" w:ascii="Times New Roman" w:hAnsi="Times New Roman" w:cs="Times New Roman"/>
                <w:sz w:val="18"/>
                <w:szCs w:val="18"/>
              </w:rPr>
              <w:t>检测按期完成率</w:t>
            </w:r>
          </w:p>
        </w:tc>
        <w:tc>
          <w:tcPr>
            <w:tcW w:w="126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shd w:val="clear" w:color="auto" w:fill="auto"/>
              </w:rPr>
            </w:pPr>
            <w:r>
              <w:rPr>
                <w:rFonts w:hint="default" w:ascii="Times New Roman" w:hAnsi="Times New Roman" w:cs="Times New Roman"/>
                <w:kern w:val="0"/>
                <w:sz w:val="20"/>
                <w:szCs w:val="20"/>
              </w:rPr>
              <w:t>≥</w:t>
            </w:r>
            <w:r>
              <w:rPr>
                <w:rFonts w:hint="default" w:ascii="Times New Roman" w:hAnsi="Times New Roman" w:cs="Times New Roman"/>
                <w:sz w:val="18"/>
                <w:szCs w:val="18"/>
                <w:lang w:val="en-US" w:eastAsia="zh-CN"/>
              </w:rPr>
              <w:t>90</w:t>
            </w:r>
            <w:r>
              <w:rPr>
                <w:rFonts w:hint="default" w:ascii="Times New Roman" w:hAnsi="Times New Roman" w:cs="Times New Roman"/>
                <w:sz w:val="18"/>
                <w:szCs w:val="18"/>
              </w:rPr>
              <w:t>%</w:t>
            </w:r>
          </w:p>
        </w:tc>
        <w:tc>
          <w:tcPr>
            <w:tcW w:w="134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shd w:val="clear" w:color="auto" w:fill="auto"/>
              </w:rPr>
            </w:pPr>
            <w:r>
              <w:rPr>
                <w:rFonts w:hint="default" w:ascii="Times New Roman" w:hAnsi="Times New Roman" w:cs="Times New Roman"/>
                <w:sz w:val="18"/>
                <w:szCs w:val="18"/>
                <w:lang w:val="en-US" w:eastAsia="zh-CN"/>
              </w:rPr>
              <w:t>100%</w:t>
            </w:r>
          </w:p>
        </w:tc>
        <w:tc>
          <w:tcPr>
            <w:tcW w:w="148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default" w:ascii="Times New Roman" w:hAnsi="Times New Roman" w:eastAsia="宋体" w:cs="Times New Roman"/>
                <w:sz w:val="18"/>
                <w:szCs w:val="18"/>
                <w:shd w:val="clear" w:color="auto" w:fill="auto"/>
                <w:lang w:eastAsia="zh-CN"/>
              </w:rPr>
            </w:pPr>
            <w:r>
              <w:rPr>
                <w:rFonts w:hint="default" w:ascii="Times New Roman" w:hAnsi="Times New Roman" w:cs="Times New Roman"/>
                <w:sz w:val="18"/>
                <w:szCs w:val="18"/>
                <w:shd w:val="clear" w:color="auto" w:fill="auto"/>
                <w:lang w:eastAsia="zh-CN"/>
              </w:rPr>
              <w:t>无</w:t>
            </w:r>
          </w:p>
        </w:tc>
      </w:tr>
      <w:tr>
        <w:tblPrEx>
          <w:tblCellMar>
            <w:top w:w="0" w:type="dxa"/>
            <w:left w:w="0" w:type="dxa"/>
            <w:bottom w:w="0" w:type="dxa"/>
            <w:right w:w="0" w:type="dxa"/>
          </w:tblCellMar>
        </w:tblPrEx>
        <w:trPr>
          <w:trHeight w:val="251" w:hRule="atLeast"/>
        </w:trPr>
        <w:tc>
          <w:tcPr>
            <w:tcW w:w="798" w:type="dxa"/>
            <w:vMerge w:val="continue"/>
            <w:tcBorders>
              <w:top w:val="nil"/>
              <w:left w:val="single" w:color="000000" w:sz="4" w:space="0"/>
              <w:bottom w:val="nil"/>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rPr>
            </w:pPr>
          </w:p>
        </w:tc>
        <w:tc>
          <w:tcPr>
            <w:tcW w:w="1221"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rPr>
            </w:pPr>
          </w:p>
        </w:tc>
        <w:tc>
          <w:tcPr>
            <w:tcW w:w="1732" w:type="dxa"/>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sz w:val="18"/>
                <w:szCs w:val="18"/>
              </w:rPr>
            </w:pPr>
            <w:r>
              <w:rPr>
                <w:rFonts w:hint="default" w:ascii="Times New Roman" w:hAnsi="Times New Roman" w:cs="Times New Roman"/>
                <w:sz w:val="18"/>
                <w:szCs w:val="18"/>
              </w:rPr>
              <w:t>设备采购完成时间</w:t>
            </w:r>
          </w:p>
        </w:tc>
        <w:tc>
          <w:tcPr>
            <w:tcW w:w="126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sz w:val="18"/>
                <w:szCs w:val="18"/>
                <w:shd w:val="clear" w:color="auto" w:fill="auto"/>
                <w:lang w:val="en-US" w:eastAsia="zh-CN"/>
              </w:rPr>
            </w:pPr>
            <w:r>
              <w:rPr>
                <w:rFonts w:hint="default" w:ascii="Times New Roman" w:hAnsi="Times New Roman" w:cs="Times New Roman"/>
                <w:sz w:val="18"/>
                <w:szCs w:val="18"/>
                <w:shd w:val="clear" w:color="auto" w:fill="auto"/>
                <w:lang w:val="en-US" w:eastAsia="zh-CN"/>
              </w:rPr>
              <w:t>2023/12/31</w:t>
            </w:r>
          </w:p>
        </w:tc>
        <w:tc>
          <w:tcPr>
            <w:tcW w:w="134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shd w:val="clear" w:color="auto" w:fill="auto"/>
                <w:lang w:val="en-US"/>
              </w:rPr>
            </w:pPr>
            <w:r>
              <w:rPr>
                <w:rFonts w:hint="default" w:ascii="Times New Roman" w:hAnsi="Times New Roman" w:cs="Times New Roman"/>
                <w:sz w:val="18"/>
                <w:szCs w:val="18"/>
                <w:shd w:val="clear" w:color="auto" w:fill="auto"/>
                <w:lang w:val="en-US" w:eastAsia="zh-CN"/>
              </w:rPr>
              <w:t>2023/10/15</w:t>
            </w:r>
          </w:p>
        </w:tc>
        <w:tc>
          <w:tcPr>
            <w:tcW w:w="148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sz w:val="18"/>
                <w:szCs w:val="18"/>
                <w:shd w:val="clear" w:color="auto" w:fill="auto"/>
                <w:lang w:eastAsia="zh-CN"/>
              </w:rPr>
            </w:pPr>
            <w:r>
              <w:rPr>
                <w:rFonts w:hint="default" w:ascii="Times New Roman" w:hAnsi="Times New Roman" w:cs="Times New Roman"/>
                <w:sz w:val="18"/>
                <w:szCs w:val="18"/>
                <w:shd w:val="clear" w:color="auto" w:fill="auto"/>
                <w:lang w:eastAsia="zh-CN"/>
              </w:rPr>
              <w:t>无</w:t>
            </w:r>
          </w:p>
        </w:tc>
      </w:tr>
      <w:tr>
        <w:tblPrEx>
          <w:tblCellMar>
            <w:top w:w="0" w:type="dxa"/>
            <w:left w:w="0" w:type="dxa"/>
            <w:bottom w:w="0" w:type="dxa"/>
            <w:right w:w="0" w:type="dxa"/>
          </w:tblCellMar>
        </w:tblPrEx>
        <w:trPr>
          <w:trHeight w:val="187" w:hRule="atLeast"/>
        </w:trPr>
        <w:tc>
          <w:tcPr>
            <w:tcW w:w="798" w:type="dxa"/>
            <w:vMerge w:val="continue"/>
            <w:tcBorders>
              <w:top w:val="nil"/>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1221"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成本指标</w:t>
            </w:r>
          </w:p>
        </w:tc>
        <w:tc>
          <w:tcPr>
            <w:tcW w:w="1732" w:type="dxa"/>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sz w:val="18"/>
                <w:szCs w:val="18"/>
              </w:rPr>
            </w:pPr>
            <w:r>
              <w:rPr>
                <w:rFonts w:hint="default" w:ascii="Times New Roman" w:hAnsi="Times New Roman" w:cs="Times New Roman"/>
                <w:sz w:val="18"/>
                <w:szCs w:val="18"/>
              </w:rPr>
              <w:t>动物源细菌耐药性监测平均成本</w:t>
            </w:r>
          </w:p>
        </w:tc>
        <w:tc>
          <w:tcPr>
            <w:tcW w:w="126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20"/>
                <w:szCs w:val="20"/>
              </w:rPr>
              <w:t>≤</w:t>
            </w:r>
            <w:r>
              <w:rPr>
                <w:rFonts w:hint="default" w:ascii="Times New Roman" w:hAnsi="Times New Roman" w:cs="Times New Roman"/>
                <w:sz w:val="18"/>
                <w:szCs w:val="18"/>
              </w:rPr>
              <w:t>1</w:t>
            </w:r>
            <w:r>
              <w:rPr>
                <w:rFonts w:hint="default" w:ascii="Times New Roman" w:hAnsi="Times New Roman" w:cs="Times New Roman"/>
                <w:sz w:val="18"/>
                <w:szCs w:val="18"/>
                <w:lang w:val="en-US" w:eastAsia="zh-CN"/>
              </w:rPr>
              <w:t>0</w:t>
            </w:r>
            <w:r>
              <w:rPr>
                <w:rFonts w:hint="default" w:ascii="Times New Roman" w:hAnsi="Times New Roman" w:cs="Times New Roman"/>
                <w:sz w:val="18"/>
                <w:szCs w:val="18"/>
              </w:rPr>
              <w:t>00元/批</w:t>
            </w:r>
          </w:p>
        </w:tc>
        <w:tc>
          <w:tcPr>
            <w:tcW w:w="134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sz w:val="18"/>
                <w:szCs w:val="18"/>
                <w:lang w:val="en-US" w:eastAsia="zh-CN"/>
              </w:rPr>
            </w:pPr>
            <w:r>
              <w:rPr>
                <w:rFonts w:hint="default" w:ascii="Times New Roman" w:hAnsi="Times New Roman" w:cs="Times New Roman"/>
                <w:kern w:val="0"/>
                <w:sz w:val="20"/>
                <w:szCs w:val="20"/>
                <w:lang w:val="en-US" w:eastAsia="zh-CN"/>
              </w:rPr>
              <w:t>1000</w:t>
            </w:r>
            <w:r>
              <w:rPr>
                <w:rFonts w:hint="default" w:ascii="Times New Roman" w:hAnsi="Times New Roman" w:cs="Times New Roman"/>
                <w:kern w:val="0"/>
                <w:sz w:val="20"/>
                <w:szCs w:val="20"/>
              </w:rPr>
              <w:t>元/批</w:t>
            </w:r>
          </w:p>
        </w:tc>
        <w:tc>
          <w:tcPr>
            <w:tcW w:w="148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default" w:ascii="Times New Roman" w:hAnsi="Times New Roman" w:eastAsia="宋体" w:cs="Times New Roman"/>
                <w:sz w:val="18"/>
                <w:szCs w:val="18"/>
                <w:lang w:eastAsia="zh-CN"/>
              </w:rPr>
            </w:pPr>
            <w:r>
              <w:rPr>
                <w:rFonts w:hint="default" w:ascii="Times New Roman" w:hAnsi="Times New Roman" w:cs="Times New Roman"/>
                <w:sz w:val="18"/>
                <w:szCs w:val="18"/>
                <w:lang w:eastAsia="zh-CN"/>
              </w:rPr>
              <w:t>无</w:t>
            </w:r>
          </w:p>
        </w:tc>
      </w:tr>
      <w:tr>
        <w:tblPrEx>
          <w:tblCellMar>
            <w:top w:w="0" w:type="dxa"/>
            <w:left w:w="0" w:type="dxa"/>
            <w:bottom w:w="0" w:type="dxa"/>
            <w:right w:w="0" w:type="dxa"/>
          </w:tblCellMar>
        </w:tblPrEx>
        <w:trPr>
          <w:trHeight w:val="187" w:hRule="atLeast"/>
        </w:trPr>
        <w:tc>
          <w:tcPr>
            <w:tcW w:w="798" w:type="dxa"/>
            <w:vMerge w:val="continue"/>
            <w:tcBorders>
              <w:top w:val="nil"/>
              <w:left w:val="single" w:color="000000" w:sz="4" w:space="0"/>
              <w:bottom w:val="nil"/>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rPr>
            </w:pPr>
          </w:p>
        </w:tc>
        <w:tc>
          <w:tcPr>
            <w:tcW w:w="1221"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rPr>
            </w:pPr>
          </w:p>
        </w:tc>
        <w:tc>
          <w:tcPr>
            <w:tcW w:w="1732" w:type="dxa"/>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sz w:val="18"/>
                <w:szCs w:val="18"/>
              </w:rPr>
            </w:pPr>
            <w:r>
              <w:rPr>
                <w:rFonts w:hint="default" w:ascii="Times New Roman" w:hAnsi="Times New Roman" w:cs="Times New Roman"/>
                <w:sz w:val="18"/>
                <w:szCs w:val="18"/>
              </w:rPr>
              <w:t>兽药、饲料、畜产品质量安全监测平均成本</w:t>
            </w:r>
          </w:p>
        </w:tc>
        <w:tc>
          <w:tcPr>
            <w:tcW w:w="126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20"/>
                <w:szCs w:val="20"/>
              </w:rPr>
              <w:t>≤</w:t>
            </w:r>
            <w:r>
              <w:rPr>
                <w:rFonts w:hint="default" w:ascii="Times New Roman" w:hAnsi="Times New Roman" w:cs="Times New Roman"/>
                <w:sz w:val="18"/>
                <w:szCs w:val="18"/>
              </w:rPr>
              <w:t>1</w:t>
            </w:r>
            <w:r>
              <w:rPr>
                <w:rFonts w:hint="default" w:ascii="Times New Roman" w:hAnsi="Times New Roman" w:cs="Times New Roman"/>
                <w:sz w:val="18"/>
                <w:szCs w:val="18"/>
                <w:lang w:val="en-US" w:eastAsia="zh-CN"/>
              </w:rPr>
              <w:t>0</w:t>
            </w:r>
            <w:r>
              <w:rPr>
                <w:rFonts w:hint="default" w:ascii="Times New Roman" w:hAnsi="Times New Roman" w:cs="Times New Roman"/>
                <w:sz w:val="18"/>
                <w:szCs w:val="18"/>
              </w:rPr>
              <w:t>00元/批</w:t>
            </w:r>
          </w:p>
        </w:tc>
        <w:tc>
          <w:tcPr>
            <w:tcW w:w="134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sz w:val="18"/>
                <w:szCs w:val="18"/>
                <w:lang w:val="en-US" w:eastAsia="zh-CN"/>
              </w:rPr>
            </w:pPr>
            <w:r>
              <w:rPr>
                <w:rFonts w:hint="default" w:ascii="Times New Roman" w:hAnsi="Times New Roman" w:cs="Times New Roman"/>
                <w:kern w:val="0"/>
                <w:sz w:val="20"/>
                <w:szCs w:val="20"/>
                <w:lang w:val="en-US" w:eastAsia="zh-CN"/>
              </w:rPr>
              <w:t>1000</w:t>
            </w:r>
            <w:r>
              <w:rPr>
                <w:rFonts w:hint="default" w:ascii="Times New Roman" w:hAnsi="Times New Roman" w:cs="Times New Roman"/>
                <w:kern w:val="0"/>
                <w:sz w:val="20"/>
                <w:szCs w:val="20"/>
              </w:rPr>
              <w:t>元/批</w:t>
            </w:r>
          </w:p>
        </w:tc>
        <w:tc>
          <w:tcPr>
            <w:tcW w:w="148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sz w:val="18"/>
                <w:szCs w:val="18"/>
                <w:lang w:eastAsia="zh-CN"/>
              </w:rPr>
            </w:pPr>
            <w:r>
              <w:rPr>
                <w:rFonts w:hint="default" w:ascii="Times New Roman" w:hAnsi="Times New Roman" w:cs="Times New Roman"/>
                <w:sz w:val="18"/>
                <w:szCs w:val="18"/>
                <w:lang w:eastAsia="zh-CN"/>
              </w:rPr>
              <w:t>无</w:t>
            </w:r>
          </w:p>
        </w:tc>
      </w:tr>
      <w:tr>
        <w:tblPrEx>
          <w:tblCellMar>
            <w:top w:w="0" w:type="dxa"/>
            <w:left w:w="0" w:type="dxa"/>
            <w:bottom w:w="0" w:type="dxa"/>
            <w:right w:w="0" w:type="dxa"/>
          </w:tblCellMar>
        </w:tblPrEx>
        <w:trPr>
          <w:trHeight w:val="187" w:hRule="atLeast"/>
        </w:trPr>
        <w:tc>
          <w:tcPr>
            <w:tcW w:w="798" w:type="dxa"/>
            <w:vMerge w:val="continue"/>
            <w:tcBorders>
              <w:top w:val="nil"/>
              <w:left w:val="single" w:color="000000" w:sz="4" w:space="0"/>
              <w:bottom w:val="nil"/>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sz w:val="18"/>
                <w:szCs w:val="18"/>
              </w:rPr>
            </w:pPr>
          </w:p>
        </w:tc>
        <w:tc>
          <w:tcPr>
            <w:tcW w:w="1221"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sz w:val="18"/>
                <w:szCs w:val="18"/>
              </w:rPr>
            </w:pPr>
          </w:p>
        </w:tc>
        <w:tc>
          <w:tcPr>
            <w:tcW w:w="1732" w:type="dxa"/>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sz w:val="18"/>
                <w:szCs w:val="18"/>
              </w:rPr>
            </w:pPr>
            <w:r>
              <w:rPr>
                <w:rFonts w:hint="default" w:ascii="Times New Roman" w:hAnsi="Times New Roman" w:cs="Times New Roman"/>
                <w:sz w:val="18"/>
                <w:szCs w:val="18"/>
              </w:rPr>
              <w:t>设备采购成本控制数</w:t>
            </w:r>
          </w:p>
        </w:tc>
        <w:tc>
          <w:tcPr>
            <w:tcW w:w="126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20"/>
                <w:szCs w:val="20"/>
              </w:rPr>
              <w:t>≤</w:t>
            </w:r>
            <w:r>
              <w:rPr>
                <w:rFonts w:hint="default" w:ascii="Times New Roman" w:hAnsi="Times New Roman" w:cs="Times New Roman"/>
                <w:sz w:val="18"/>
                <w:szCs w:val="18"/>
              </w:rPr>
              <w:t>9.8万元/台</w:t>
            </w:r>
          </w:p>
        </w:tc>
        <w:tc>
          <w:tcPr>
            <w:tcW w:w="134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sz w:val="18"/>
                <w:szCs w:val="18"/>
                <w:lang w:val="en-US" w:eastAsia="zh-CN"/>
              </w:rPr>
            </w:pPr>
            <w:r>
              <w:rPr>
                <w:rFonts w:hint="default" w:ascii="Times New Roman" w:hAnsi="Times New Roman" w:cs="Times New Roman"/>
                <w:kern w:val="0"/>
                <w:sz w:val="20"/>
                <w:szCs w:val="20"/>
              </w:rPr>
              <w:t>≤</w:t>
            </w:r>
            <w:r>
              <w:rPr>
                <w:rFonts w:hint="default" w:ascii="Times New Roman" w:hAnsi="Times New Roman" w:cs="Times New Roman"/>
                <w:sz w:val="18"/>
                <w:szCs w:val="18"/>
                <w:lang w:val="en-US" w:eastAsia="zh-CN"/>
              </w:rPr>
              <w:t>8.98万元/台</w:t>
            </w:r>
          </w:p>
        </w:tc>
        <w:tc>
          <w:tcPr>
            <w:tcW w:w="148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sz w:val="18"/>
                <w:szCs w:val="18"/>
                <w:lang w:eastAsia="zh-CN"/>
              </w:rPr>
            </w:pPr>
            <w:r>
              <w:rPr>
                <w:rFonts w:hint="default" w:ascii="Times New Roman" w:hAnsi="Times New Roman" w:cs="Times New Roman"/>
                <w:sz w:val="18"/>
                <w:szCs w:val="18"/>
                <w:lang w:eastAsia="zh-CN"/>
              </w:rPr>
              <w:t>无</w:t>
            </w:r>
          </w:p>
        </w:tc>
      </w:tr>
      <w:tr>
        <w:tblPrEx>
          <w:tblCellMar>
            <w:top w:w="0" w:type="dxa"/>
            <w:left w:w="0" w:type="dxa"/>
            <w:bottom w:w="0" w:type="dxa"/>
            <w:right w:w="0" w:type="dxa"/>
          </w:tblCellMar>
        </w:tblPrEx>
        <w:trPr>
          <w:trHeight w:val="620" w:hRule="atLeast"/>
        </w:trPr>
        <w:tc>
          <w:tcPr>
            <w:tcW w:w="798" w:type="dxa"/>
            <w:vMerge w:val="continue"/>
            <w:tcBorders>
              <w:top w:val="nil"/>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98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效益指标</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sz w:val="18"/>
                <w:szCs w:val="18"/>
              </w:rPr>
              <w:t>社会效益指标</w:t>
            </w:r>
          </w:p>
        </w:tc>
        <w:tc>
          <w:tcPr>
            <w:tcW w:w="173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sz w:val="18"/>
                <w:szCs w:val="18"/>
              </w:rPr>
            </w:pPr>
            <w:r>
              <w:rPr>
                <w:rFonts w:hint="default" w:ascii="Times New Roman" w:hAnsi="Times New Roman" w:cs="Times New Roman"/>
                <w:sz w:val="18"/>
                <w:szCs w:val="18"/>
              </w:rPr>
              <w:t>确保无重大食品安全事件</w:t>
            </w:r>
          </w:p>
        </w:tc>
        <w:tc>
          <w:tcPr>
            <w:tcW w:w="1268" w:type="dxa"/>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sz w:val="18"/>
                <w:szCs w:val="18"/>
              </w:rPr>
              <w:t>有效确保</w:t>
            </w:r>
          </w:p>
        </w:tc>
        <w:tc>
          <w:tcPr>
            <w:tcW w:w="1348" w:type="dxa"/>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sz w:val="18"/>
                <w:szCs w:val="18"/>
                <w:lang w:val="en-US" w:eastAsia="zh-CN"/>
              </w:rPr>
            </w:pPr>
            <w:r>
              <w:rPr>
                <w:rFonts w:hint="default" w:ascii="Times New Roman" w:hAnsi="Times New Roman" w:cs="Times New Roman"/>
                <w:sz w:val="18"/>
                <w:szCs w:val="18"/>
                <w:lang w:val="en-US" w:eastAsia="zh-CN"/>
              </w:rPr>
              <w:t>未发生重大食品安全事件</w:t>
            </w:r>
          </w:p>
        </w:tc>
        <w:tc>
          <w:tcPr>
            <w:tcW w:w="1483" w:type="dxa"/>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宋体" w:cs="Times New Roman"/>
                <w:sz w:val="18"/>
                <w:szCs w:val="18"/>
                <w:lang w:eastAsia="zh-CN"/>
              </w:rPr>
            </w:pPr>
            <w:r>
              <w:rPr>
                <w:rFonts w:hint="default" w:ascii="Times New Roman" w:hAnsi="Times New Roman" w:cs="Times New Roman"/>
                <w:sz w:val="18"/>
                <w:szCs w:val="18"/>
                <w:lang w:eastAsia="zh-CN"/>
              </w:rPr>
              <w:t>无</w:t>
            </w:r>
          </w:p>
        </w:tc>
      </w:tr>
      <w:tr>
        <w:tblPrEx>
          <w:tblCellMar>
            <w:top w:w="0" w:type="dxa"/>
            <w:left w:w="0" w:type="dxa"/>
            <w:bottom w:w="0" w:type="dxa"/>
            <w:right w:w="0" w:type="dxa"/>
          </w:tblCellMar>
        </w:tblPrEx>
        <w:trPr>
          <w:trHeight w:val="620" w:hRule="atLeast"/>
        </w:trPr>
        <w:tc>
          <w:tcPr>
            <w:tcW w:w="798" w:type="dxa"/>
            <w:vMerge w:val="continue"/>
            <w:tcBorders>
              <w:top w:val="nil"/>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kern w:val="0"/>
                <w:sz w:val="18"/>
                <w:szCs w:val="18"/>
                <w:lang w:bidi="ar"/>
              </w:rPr>
            </w:pP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kern w:val="0"/>
                <w:sz w:val="18"/>
                <w:szCs w:val="18"/>
                <w:lang w:bidi="ar"/>
              </w:rPr>
            </w:pPr>
            <w:r>
              <w:rPr>
                <w:rFonts w:hint="default" w:ascii="Times New Roman" w:hAnsi="Times New Roman" w:cs="Times New Roman"/>
                <w:kern w:val="0"/>
                <w:sz w:val="18"/>
                <w:szCs w:val="18"/>
                <w:lang w:bidi="ar"/>
              </w:rPr>
              <w:t>经济效益</w:t>
            </w:r>
            <w:r>
              <w:rPr>
                <w:rFonts w:hint="default" w:ascii="Times New Roman" w:hAnsi="Times New Roman" w:cs="Times New Roman"/>
                <w:sz w:val="18"/>
                <w:szCs w:val="18"/>
              </w:rPr>
              <w:t>指标</w:t>
            </w:r>
          </w:p>
        </w:tc>
        <w:tc>
          <w:tcPr>
            <w:tcW w:w="173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sz w:val="18"/>
                <w:szCs w:val="18"/>
              </w:rPr>
              <w:t>实验设备利用率</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kern w:val="0"/>
                <w:sz w:val="20"/>
                <w:szCs w:val="20"/>
              </w:rPr>
              <w:t>≥90%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sz w:val="18"/>
                <w:szCs w:val="18"/>
                <w:lang w:val="en-US" w:eastAsia="zh-CN"/>
              </w:rPr>
              <w:t>95%</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宋体" w:cs="Times New Roman"/>
                <w:sz w:val="18"/>
                <w:szCs w:val="18"/>
                <w:lang w:eastAsia="zh-CN"/>
              </w:rPr>
            </w:pPr>
            <w:r>
              <w:rPr>
                <w:rFonts w:hint="default" w:ascii="Times New Roman" w:hAnsi="Times New Roman" w:cs="Times New Roman"/>
                <w:sz w:val="18"/>
                <w:szCs w:val="18"/>
                <w:lang w:eastAsia="zh-CN"/>
              </w:rPr>
              <w:t>无</w:t>
            </w:r>
          </w:p>
        </w:tc>
      </w:tr>
      <w:tr>
        <w:tblPrEx>
          <w:tblCellMar>
            <w:top w:w="0" w:type="dxa"/>
            <w:left w:w="0" w:type="dxa"/>
            <w:bottom w:w="0" w:type="dxa"/>
            <w:right w:w="0" w:type="dxa"/>
          </w:tblCellMar>
        </w:tblPrEx>
        <w:trPr>
          <w:trHeight w:val="432" w:hRule="atLeast"/>
        </w:trPr>
        <w:tc>
          <w:tcPr>
            <w:tcW w:w="798" w:type="dxa"/>
            <w:vMerge w:val="continue"/>
            <w:tcBorders>
              <w:top w:val="nil"/>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984" w:type="dxa"/>
            <w:vMerge w:val="restar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widowControl/>
              <w:jc w:val="both"/>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满意度指标</w:t>
            </w: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18"/>
                <w:szCs w:val="18"/>
                <w:lang w:bidi="ar"/>
              </w:rPr>
              <w:t>服务对象满意度指标</w:t>
            </w:r>
          </w:p>
        </w:tc>
        <w:tc>
          <w:tcPr>
            <w:tcW w:w="173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sz w:val="18"/>
                <w:szCs w:val="18"/>
              </w:rPr>
            </w:pPr>
            <w:r>
              <w:rPr>
                <w:rFonts w:hint="default" w:ascii="Times New Roman" w:hAnsi="Times New Roman" w:cs="Times New Roman"/>
                <w:sz w:val="18"/>
                <w:szCs w:val="18"/>
              </w:rPr>
              <w:t>社会对兽药、饲料、畜产品质量安全的满意度</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20"/>
                <w:szCs w:val="20"/>
              </w:rPr>
              <w:t>≥</w:t>
            </w:r>
            <w:r>
              <w:rPr>
                <w:rFonts w:hint="default" w:ascii="Times New Roman" w:hAnsi="Times New Roman" w:cs="Times New Roman"/>
                <w:sz w:val="18"/>
                <w:szCs w:val="18"/>
                <w:lang w:val="en-US" w:eastAsia="zh-CN"/>
              </w:rPr>
              <w:t>90</w:t>
            </w:r>
            <w:r>
              <w:rPr>
                <w:rFonts w:hint="default" w:ascii="Times New Roman" w:hAnsi="Times New Roman" w:cs="Times New Roman"/>
                <w:sz w:val="18"/>
                <w:szCs w:val="18"/>
              </w:rPr>
              <w:t>%</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20"/>
                <w:szCs w:val="20"/>
              </w:rPr>
              <w:t>100%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eastAsia="宋体" w:cs="Times New Roman"/>
                <w:sz w:val="18"/>
                <w:szCs w:val="18"/>
                <w:lang w:eastAsia="zh-CN"/>
              </w:rPr>
            </w:pPr>
            <w:r>
              <w:rPr>
                <w:rFonts w:hint="default" w:ascii="Times New Roman" w:hAnsi="Times New Roman" w:cs="Times New Roman"/>
                <w:sz w:val="18"/>
                <w:szCs w:val="18"/>
                <w:lang w:eastAsia="zh-CN"/>
              </w:rPr>
              <w:t>无</w:t>
            </w:r>
          </w:p>
        </w:tc>
      </w:tr>
      <w:tr>
        <w:tblPrEx>
          <w:tblCellMar>
            <w:top w:w="0" w:type="dxa"/>
            <w:left w:w="0" w:type="dxa"/>
            <w:bottom w:w="0" w:type="dxa"/>
            <w:right w:w="0" w:type="dxa"/>
          </w:tblCellMar>
        </w:tblPrEx>
        <w:trPr>
          <w:trHeight w:val="432" w:hRule="atLeast"/>
        </w:trPr>
        <w:tc>
          <w:tcPr>
            <w:tcW w:w="798" w:type="dxa"/>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rPr>
            </w:pPr>
          </w:p>
        </w:tc>
        <w:tc>
          <w:tcPr>
            <w:tcW w:w="984" w:type="dxa"/>
            <w:vMerge w:val="continue"/>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kern w:val="0"/>
                <w:sz w:val="18"/>
                <w:szCs w:val="18"/>
                <w:lang w:bidi="ar"/>
              </w:rPr>
            </w:pPr>
          </w:p>
        </w:tc>
        <w:tc>
          <w:tcPr>
            <w:tcW w:w="122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kern w:val="0"/>
                <w:sz w:val="18"/>
                <w:szCs w:val="18"/>
                <w:lang w:val="en-US" w:eastAsia="zh-CN" w:bidi="ar"/>
              </w:rPr>
            </w:pPr>
            <w:r>
              <w:rPr>
                <w:rFonts w:hint="default" w:ascii="Times New Roman" w:hAnsi="Times New Roman" w:cs="Times New Roman"/>
                <w:kern w:val="0"/>
                <w:sz w:val="18"/>
                <w:szCs w:val="18"/>
                <w:lang w:val="en-US" w:eastAsia="zh-CN" w:bidi="ar"/>
              </w:rPr>
              <w:t>服务</w:t>
            </w:r>
            <w:r>
              <w:rPr>
                <w:rFonts w:hint="default" w:ascii="Times New Roman" w:hAnsi="Times New Roman" w:cs="Times New Roman"/>
                <w:kern w:val="0"/>
                <w:sz w:val="18"/>
                <w:szCs w:val="18"/>
                <w:lang w:bidi="ar"/>
              </w:rPr>
              <w:t>对象满意度指标</w:t>
            </w:r>
          </w:p>
        </w:tc>
        <w:tc>
          <w:tcPr>
            <w:tcW w:w="173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Times New Roman" w:hAnsi="Times New Roman" w:cs="Times New Roman"/>
                <w:sz w:val="18"/>
                <w:szCs w:val="18"/>
              </w:rPr>
            </w:pPr>
            <w:r>
              <w:rPr>
                <w:rFonts w:hint="default" w:ascii="Times New Roman" w:hAnsi="Times New Roman" w:cs="Times New Roman"/>
                <w:sz w:val="18"/>
                <w:szCs w:val="18"/>
              </w:rPr>
              <w:t>设备操作人员对仪器设备使用满意度</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cs="Times New Roman"/>
                <w:sz w:val="18"/>
                <w:szCs w:val="18"/>
              </w:rPr>
            </w:pPr>
            <w:r>
              <w:rPr>
                <w:rFonts w:hint="default" w:ascii="Times New Roman" w:hAnsi="Times New Roman" w:cs="Times New Roman"/>
                <w:kern w:val="0"/>
                <w:sz w:val="20"/>
                <w:szCs w:val="20"/>
              </w:rPr>
              <w:t>≥</w:t>
            </w:r>
            <w:r>
              <w:rPr>
                <w:rFonts w:hint="default" w:ascii="Times New Roman" w:hAnsi="Times New Roman" w:cs="Times New Roman"/>
                <w:sz w:val="18"/>
                <w:szCs w:val="18"/>
                <w:lang w:val="en-US" w:eastAsia="zh-CN"/>
              </w:rPr>
              <w:t>90</w:t>
            </w:r>
            <w:r>
              <w:rPr>
                <w:rFonts w:hint="default" w:ascii="Times New Roman" w:hAnsi="Times New Roman" w:cs="Times New Roman"/>
                <w:sz w:val="18"/>
                <w:szCs w:val="18"/>
              </w:rPr>
              <w:t>%</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Times New Roman" w:hAnsi="Times New Roman" w:eastAsia="宋体" w:cs="Times New Roman"/>
                <w:kern w:val="0"/>
                <w:sz w:val="20"/>
                <w:szCs w:val="20"/>
                <w:lang w:val="en-US" w:eastAsia="zh-CN"/>
              </w:rPr>
            </w:pPr>
            <w:r>
              <w:rPr>
                <w:rFonts w:hint="default" w:ascii="Times New Roman" w:hAnsi="Times New Roman" w:cs="Times New Roman"/>
                <w:kern w:val="0"/>
                <w:sz w:val="20"/>
                <w:szCs w:val="20"/>
                <w:lang w:val="en-US" w:eastAsia="zh-CN"/>
              </w:rPr>
              <w:t>100%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default" w:ascii="Times New Roman" w:hAnsi="Times New Roman" w:cs="Times New Roman"/>
                <w:sz w:val="18"/>
                <w:szCs w:val="18"/>
                <w:lang w:val="en-US" w:eastAsia="zh-CN"/>
              </w:rPr>
            </w:pPr>
            <w:r>
              <w:rPr>
                <w:rFonts w:hint="default" w:ascii="Times New Roman" w:hAnsi="Times New Roman" w:cs="Times New Roman"/>
                <w:sz w:val="18"/>
                <w:szCs w:val="18"/>
                <w:lang w:val="en-US" w:eastAsia="zh-CN"/>
              </w:rPr>
              <w:t>无</w:t>
            </w:r>
          </w:p>
        </w:tc>
      </w:tr>
    </w:tbl>
    <w:p>
      <w:pPr>
        <w:pStyle w:val="18"/>
        <w:jc w:val="both"/>
        <w:rPr>
          <w:rFonts w:hint="default" w:ascii="Times New Roman" w:hAnsi="Times New Roman" w:eastAsia="黑体" w:cs="Times New Roman"/>
          <w:b w:val="0"/>
          <w:bCs w:val="0"/>
        </w:rPr>
      </w:pPr>
    </w:p>
    <w:p>
      <w:pPr>
        <w:pStyle w:val="18"/>
        <w:rPr>
          <w:rFonts w:hint="default" w:ascii="Times New Roman" w:hAnsi="Times New Roman" w:eastAsia="黑体" w:cs="Times New Roman"/>
          <w:b w:val="0"/>
          <w:bCs w:val="0"/>
        </w:rPr>
      </w:pPr>
    </w:p>
    <w:p>
      <w:pPr>
        <w:pStyle w:val="18"/>
        <w:jc w:val="both"/>
        <w:rPr>
          <w:rFonts w:hint="default" w:ascii="Times New Roman" w:hAnsi="Times New Roman" w:cs="Times New Roman"/>
        </w:rPr>
        <w:sectPr>
          <w:pgSz w:w="11906" w:h="16838"/>
          <w:pgMar w:top="1440" w:right="1558"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spacing w:line="600" w:lineRule="exact"/>
        <w:rPr>
          <w:rFonts w:hint="default" w:ascii="Times New Roman" w:hAnsi="Times New Roman" w:cs="Times New Roman"/>
          <w:bCs/>
          <w:sz w:val="32"/>
          <w:szCs w:val="32"/>
        </w:rPr>
      </w:pPr>
      <w:r>
        <w:rPr>
          <w:rFonts w:hint="default" w:ascii="Times New Roman" w:hAnsi="Times New Roman" w:cs="Times New Roman"/>
          <w:bCs/>
          <w:sz w:val="32"/>
          <w:szCs w:val="32"/>
        </w:rPr>
        <w:t>附件1</w:t>
      </w:r>
    </w:p>
    <w:tbl>
      <w:tblPr>
        <w:tblStyle w:val="21"/>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39"/>
        <w:gridCol w:w="767"/>
        <w:gridCol w:w="873"/>
        <w:gridCol w:w="2353"/>
        <w:gridCol w:w="5188"/>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39" w:type="dxa"/>
            <w:shd w:val="clear" w:color="auto" w:fill="FFFFFF"/>
            <w:vAlign w:val="center"/>
          </w:tcPr>
          <w:p>
            <w:pPr>
              <w:widowControl/>
              <w:spacing w:line="0" w:lineRule="atLeast"/>
              <w:jc w:val="center"/>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一级指标</w:t>
            </w:r>
          </w:p>
        </w:tc>
        <w:tc>
          <w:tcPr>
            <w:tcW w:w="767" w:type="dxa"/>
            <w:shd w:val="clear" w:color="auto" w:fill="FFFFFF"/>
            <w:vAlign w:val="center"/>
          </w:tcPr>
          <w:p>
            <w:pPr>
              <w:widowControl/>
              <w:spacing w:line="0" w:lineRule="atLeast"/>
              <w:jc w:val="center"/>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二级指标</w:t>
            </w:r>
          </w:p>
        </w:tc>
        <w:tc>
          <w:tcPr>
            <w:tcW w:w="873" w:type="dxa"/>
            <w:shd w:val="clear" w:color="auto" w:fill="FFFFFF"/>
            <w:vAlign w:val="center"/>
          </w:tcPr>
          <w:p>
            <w:pPr>
              <w:widowControl/>
              <w:spacing w:line="0" w:lineRule="atLeast"/>
              <w:jc w:val="center"/>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三级指标</w:t>
            </w:r>
          </w:p>
        </w:tc>
        <w:tc>
          <w:tcPr>
            <w:tcW w:w="2353" w:type="dxa"/>
            <w:shd w:val="clear" w:color="auto" w:fill="FFFFFF"/>
            <w:vAlign w:val="center"/>
          </w:tcPr>
          <w:p>
            <w:pPr>
              <w:widowControl/>
              <w:spacing w:line="0" w:lineRule="atLeast"/>
              <w:jc w:val="center"/>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指标解释</w:t>
            </w:r>
          </w:p>
        </w:tc>
        <w:tc>
          <w:tcPr>
            <w:tcW w:w="5188" w:type="dxa"/>
            <w:shd w:val="clear" w:color="auto" w:fill="FFFFFF"/>
            <w:vAlign w:val="center"/>
          </w:tcPr>
          <w:p>
            <w:pPr>
              <w:widowControl/>
              <w:spacing w:line="0" w:lineRule="atLeast"/>
              <w:jc w:val="center"/>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指标说明</w:t>
            </w:r>
          </w:p>
        </w:tc>
        <w:tc>
          <w:tcPr>
            <w:tcW w:w="1300" w:type="dxa"/>
            <w:shd w:val="clear" w:color="auto" w:fill="FFFFFF"/>
            <w:vAlign w:val="center"/>
          </w:tcPr>
          <w:p>
            <w:pPr>
              <w:widowControl/>
              <w:spacing w:line="0" w:lineRule="atLeast"/>
              <w:jc w:val="center"/>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权重</w:t>
            </w:r>
          </w:p>
        </w:tc>
        <w:tc>
          <w:tcPr>
            <w:tcW w:w="1363" w:type="dxa"/>
            <w:shd w:val="clear" w:color="auto" w:fill="FFFFFF"/>
            <w:vAlign w:val="center"/>
          </w:tcPr>
          <w:p>
            <w:pPr>
              <w:widowControl/>
              <w:spacing w:line="0" w:lineRule="atLeast"/>
              <w:jc w:val="center"/>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839"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决策　</w:t>
            </w: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　</w:t>
            </w:r>
          </w:p>
          <w:p>
            <w:pPr>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　</w:t>
            </w:r>
          </w:p>
        </w:tc>
        <w:tc>
          <w:tcPr>
            <w:tcW w:w="767"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项目立项　</w:t>
            </w:r>
          </w:p>
        </w:tc>
        <w:tc>
          <w:tcPr>
            <w:tcW w:w="87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立项依据</w:t>
            </w: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充分性</w:t>
            </w:r>
          </w:p>
        </w:tc>
        <w:tc>
          <w:tcPr>
            <w:tcW w:w="2353" w:type="dxa"/>
            <w:shd w:val="clear" w:color="auto" w:fill="FFFFFF"/>
            <w:vAlign w:val="center"/>
          </w:tcPr>
          <w:p>
            <w:pPr>
              <w:widowControl/>
              <w:spacing w:line="0" w:lineRule="atLeast"/>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项目立项是否符合法律法规、相关政策、发展规划以及部门职责，用以反映和考核项目立项依据情况。</w:t>
            </w:r>
          </w:p>
        </w:tc>
        <w:tc>
          <w:tcPr>
            <w:tcW w:w="5188" w:type="dxa"/>
            <w:shd w:val="clear" w:color="auto" w:fill="FFFFFF"/>
            <w:vAlign w:val="center"/>
          </w:tcPr>
          <w:p>
            <w:pPr>
              <w:widowControl/>
              <w:spacing w:line="0" w:lineRule="atLeast"/>
              <w:jc w:val="lef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评价要点：</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①项目立项是否符合国家法律法规、国民经济发展规划和相关政策；</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②项目立项是否符合行业发展规划和政策要求；</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③项目立项是否与部门职责范围相符，属于部门履职所需；</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④项目是否属于公共财政支持范围，是否符合中央、地方事权支出责任划分原则；</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⑤项目是否与相关部门同类项目或部门内部相关项目重复。</w:t>
            </w:r>
          </w:p>
        </w:tc>
        <w:tc>
          <w:tcPr>
            <w:tcW w:w="1300" w:type="dxa"/>
            <w:shd w:val="clear" w:color="auto" w:fill="FFFFFF"/>
            <w:vAlign w:val="center"/>
          </w:tcPr>
          <w:p>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3</w:t>
            </w:r>
          </w:p>
        </w:tc>
        <w:tc>
          <w:tcPr>
            <w:tcW w:w="1363"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eastAsia="zh-CN"/>
              </w:rPr>
            </w:pPr>
            <w:r>
              <w:rPr>
                <w:rFonts w:hint="default" w:ascii="Times New Roman" w:hAnsi="Times New Roman" w:cs="Times New Roman"/>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839"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rPr>
            </w:pPr>
          </w:p>
        </w:tc>
        <w:tc>
          <w:tcPr>
            <w:tcW w:w="767"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87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立项程序</w:t>
            </w: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规范性</w:t>
            </w:r>
          </w:p>
        </w:tc>
        <w:tc>
          <w:tcPr>
            <w:tcW w:w="2353" w:type="dxa"/>
            <w:shd w:val="clear" w:color="auto" w:fill="FFFFFF"/>
            <w:vAlign w:val="center"/>
          </w:tcPr>
          <w:p>
            <w:pPr>
              <w:widowControl/>
              <w:spacing w:line="0" w:lineRule="atLeast"/>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项目申请、设立过程是否符合相关要求，用以反映和考核项目立项的规范情况。</w:t>
            </w:r>
          </w:p>
        </w:tc>
        <w:tc>
          <w:tcPr>
            <w:tcW w:w="5188" w:type="dxa"/>
            <w:shd w:val="clear" w:color="auto" w:fill="FFFFFF"/>
            <w:vAlign w:val="center"/>
          </w:tcPr>
          <w:p>
            <w:pPr>
              <w:widowControl/>
              <w:spacing w:line="0" w:lineRule="atLeast"/>
              <w:jc w:val="lef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评价要点：</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①项目是否按照规定的程序申请设立；</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②审批文件、材料是否符合相关要求；</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③事前是否已经过必要的可行性研究、专家论证、风险评估、绩效评估、集体决策。</w:t>
            </w:r>
          </w:p>
        </w:tc>
        <w:tc>
          <w:tcPr>
            <w:tcW w:w="1300" w:type="dxa"/>
            <w:shd w:val="clear" w:color="auto" w:fill="FFFFFF"/>
            <w:vAlign w:val="center"/>
          </w:tcPr>
          <w:p>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3</w:t>
            </w:r>
          </w:p>
        </w:tc>
        <w:tc>
          <w:tcPr>
            <w:tcW w:w="1363"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eastAsia="zh-CN"/>
              </w:rPr>
            </w:pPr>
            <w:r>
              <w:rPr>
                <w:rFonts w:hint="default" w:ascii="Times New Roman" w:hAnsi="Times New Roman" w:cs="Times New Roman"/>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839"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rPr>
            </w:pPr>
          </w:p>
        </w:tc>
        <w:tc>
          <w:tcPr>
            <w:tcW w:w="76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绩效目标　</w:t>
            </w:r>
          </w:p>
        </w:tc>
        <w:tc>
          <w:tcPr>
            <w:tcW w:w="87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绩效目标</w:t>
            </w: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合理性</w:t>
            </w:r>
          </w:p>
        </w:tc>
        <w:tc>
          <w:tcPr>
            <w:tcW w:w="2353" w:type="dxa"/>
            <w:shd w:val="clear" w:color="000000" w:fill="FFFFFF"/>
            <w:vAlign w:val="center"/>
          </w:tcPr>
          <w:p>
            <w:pPr>
              <w:widowControl/>
              <w:spacing w:line="0" w:lineRule="atLeast"/>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项目所设定的绩效目标是否依据充分，是否符合客观实际，用以反映和考核项目绩效目标与项目实施的相符情况。</w:t>
            </w:r>
          </w:p>
        </w:tc>
        <w:tc>
          <w:tcPr>
            <w:tcW w:w="5188" w:type="dxa"/>
            <w:shd w:val="clear" w:color="000000" w:fill="FFFFFF"/>
            <w:vAlign w:val="center"/>
          </w:tcPr>
          <w:p>
            <w:pPr>
              <w:widowControl/>
              <w:spacing w:line="0" w:lineRule="atLeast"/>
              <w:jc w:val="lef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评价要点：</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（如未设定预算绩效目标，也可考核其他工作任务目标）</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①项目是否有绩效目标；</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②项目绩效目标与实际工作内容是否具有相关性；</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③项目预期产出效益和效果是否符合正常的业绩水平；</w:t>
            </w:r>
          </w:p>
          <w:p>
            <w:pPr>
              <w:widowControl/>
              <w:spacing w:line="0" w:lineRule="atLeast"/>
              <w:jc w:val="lef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④是否与预算确定的项目投资额或资金量相匹配。</w:t>
            </w:r>
          </w:p>
        </w:tc>
        <w:tc>
          <w:tcPr>
            <w:tcW w:w="1300" w:type="dxa"/>
            <w:shd w:val="clear" w:color="000000" w:fill="FFFFFF"/>
            <w:vAlign w:val="center"/>
          </w:tcPr>
          <w:p>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4</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eastAsia="zh-CN"/>
              </w:rPr>
            </w:pPr>
            <w:r>
              <w:rPr>
                <w:rFonts w:hint="default" w:ascii="Times New Roman" w:hAnsi="Times New Roman" w:cs="Times New Roman"/>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39"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决策　</w:t>
            </w:r>
          </w:p>
        </w:tc>
        <w:tc>
          <w:tcPr>
            <w:tcW w:w="76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绩效目标</w:t>
            </w:r>
          </w:p>
        </w:tc>
        <w:tc>
          <w:tcPr>
            <w:tcW w:w="87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绩效指标</w:t>
            </w: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明确性</w:t>
            </w:r>
          </w:p>
        </w:tc>
        <w:tc>
          <w:tcPr>
            <w:tcW w:w="2353" w:type="dxa"/>
            <w:shd w:val="clear" w:color="000000" w:fill="FFFFFF"/>
            <w:vAlign w:val="center"/>
          </w:tcPr>
          <w:p>
            <w:pPr>
              <w:widowControl/>
              <w:spacing w:line="0" w:lineRule="atLeast"/>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依据绩效目标设定的绩效指标是否清晰、细化、可衡量等，用以反映和考核项目绩效目标的明细化情况。</w:t>
            </w:r>
          </w:p>
        </w:tc>
        <w:tc>
          <w:tcPr>
            <w:tcW w:w="5188" w:type="dxa"/>
            <w:shd w:val="clear" w:color="000000" w:fill="FFFFFF"/>
            <w:vAlign w:val="center"/>
          </w:tcPr>
          <w:p>
            <w:pPr>
              <w:widowControl/>
              <w:spacing w:line="0" w:lineRule="atLeast"/>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评价要点：</w:t>
            </w:r>
            <w:r>
              <w:rPr>
                <w:rFonts w:hint="default" w:ascii="Times New Roman" w:hAnsi="Times New Roman" w:cs="Times New Roman"/>
                <w:color w:val="000000"/>
                <w:kern w:val="0"/>
                <w:sz w:val="22"/>
                <w:szCs w:val="22"/>
              </w:rPr>
              <w:br w:type="textWrapping"/>
            </w:r>
            <w:r>
              <w:rPr>
                <w:rFonts w:hint="default" w:ascii="Times New Roman" w:hAnsi="Times New Roman" w:cs="Times New Roman"/>
                <w:color w:val="000000"/>
                <w:kern w:val="0"/>
                <w:sz w:val="22"/>
                <w:szCs w:val="22"/>
              </w:rPr>
              <w:t>①是否将项目绩效目标细化分解为具体的绩效指标；</w:t>
            </w:r>
            <w:r>
              <w:rPr>
                <w:rFonts w:hint="default" w:ascii="Times New Roman" w:hAnsi="Times New Roman" w:cs="Times New Roman"/>
                <w:color w:val="000000"/>
                <w:kern w:val="0"/>
                <w:sz w:val="22"/>
                <w:szCs w:val="22"/>
              </w:rPr>
              <w:br w:type="textWrapping"/>
            </w:r>
            <w:r>
              <w:rPr>
                <w:rFonts w:hint="default" w:ascii="Times New Roman" w:hAnsi="Times New Roman" w:cs="Times New Roman"/>
                <w:color w:val="000000"/>
                <w:kern w:val="0"/>
                <w:sz w:val="22"/>
                <w:szCs w:val="22"/>
              </w:rPr>
              <w:t>②是否通过清晰、可衡量的指标值予以体现；</w:t>
            </w:r>
            <w:r>
              <w:rPr>
                <w:rFonts w:hint="default" w:ascii="Times New Roman" w:hAnsi="Times New Roman" w:cs="Times New Roman"/>
                <w:color w:val="000000"/>
                <w:kern w:val="0"/>
                <w:sz w:val="22"/>
                <w:szCs w:val="22"/>
              </w:rPr>
              <w:br w:type="textWrapping"/>
            </w:r>
            <w:r>
              <w:rPr>
                <w:rFonts w:hint="default" w:ascii="Times New Roman" w:hAnsi="Times New Roman" w:cs="Times New Roman"/>
                <w:color w:val="000000"/>
                <w:kern w:val="0"/>
                <w:sz w:val="22"/>
                <w:szCs w:val="22"/>
              </w:rPr>
              <w:t>③是否与项目目标任务数或计划数相对应。</w:t>
            </w:r>
            <w:r>
              <w:rPr>
                <w:rFonts w:hint="default" w:ascii="Times New Roman" w:hAnsi="Times New Roman" w:cs="Times New Roman"/>
                <w:color w:val="000000"/>
                <w:kern w:val="0"/>
                <w:sz w:val="22"/>
                <w:szCs w:val="22"/>
              </w:rPr>
              <w:br w:type="textWrapping"/>
            </w:r>
          </w:p>
        </w:tc>
        <w:tc>
          <w:tcPr>
            <w:tcW w:w="1300" w:type="dxa"/>
            <w:shd w:val="clear" w:color="000000" w:fill="FFFFFF"/>
            <w:vAlign w:val="center"/>
          </w:tcPr>
          <w:p>
            <w:pPr>
              <w:widowControl/>
              <w:spacing w:line="0" w:lineRule="atLeast"/>
              <w:jc w:val="center"/>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3</w:t>
            </w:r>
          </w:p>
        </w:tc>
        <w:tc>
          <w:tcPr>
            <w:tcW w:w="1363" w:type="dxa"/>
            <w:shd w:val="clear" w:color="000000" w:fill="FFFFFF"/>
            <w:vAlign w:val="center"/>
          </w:tcPr>
          <w:p>
            <w:pPr>
              <w:widowControl/>
              <w:spacing w:line="0" w:lineRule="atLeast"/>
              <w:jc w:val="center"/>
              <w:rPr>
                <w:rFonts w:hint="default" w:ascii="Times New Roman" w:hAnsi="Times New Roman" w:cs="Times New Roman"/>
                <w:lang w:val="en-US" w:eastAsia="zh-CN"/>
              </w:rPr>
            </w:pPr>
            <w:r>
              <w:rPr>
                <w:rFonts w:hint="default" w:ascii="Times New Roman" w:hAnsi="Times New Roman" w:cs="Times New Roman"/>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39"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rPr>
            </w:pPr>
          </w:p>
        </w:tc>
        <w:tc>
          <w:tcPr>
            <w:tcW w:w="767"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资金投入</w:t>
            </w:r>
          </w:p>
          <w:p>
            <w:pPr>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　</w:t>
            </w:r>
          </w:p>
        </w:tc>
        <w:tc>
          <w:tcPr>
            <w:tcW w:w="87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预算编制</w:t>
            </w: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科学性</w:t>
            </w:r>
          </w:p>
        </w:tc>
        <w:tc>
          <w:tcPr>
            <w:tcW w:w="2353" w:type="dxa"/>
            <w:shd w:val="clear" w:color="auto" w:fill="FFFFFF"/>
            <w:vAlign w:val="center"/>
          </w:tcPr>
          <w:p>
            <w:pPr>
              <w:widowControl/>
              <w:spacing w:line="0" w:lineRule="atLeast"/>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项目预算编制是否经过科学论证、有明确标准，资金额度与年度目标是否相适应，用以反映和考核项目预算编制的科学性、合理性情况。</w:t>
            </w:r>
          </w:p>
        </w:tc>
        <w:tc>
          <w:tcPr>
            <w:tcW w:w="5188" w:type="dxa"/>
            <w:shd w:val="clear" w:color="auto" w:fill="FFFFFF"/>
            <w:vAlign w:val="center"/>
          </w:tcPr>
          <w:p>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评价要点：</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①预算编制是否经过科学论证；</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②预算内容与项目内容是否匹配；</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③预算额度测算依据是否充分，是否按照标准编制；</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④预算确定的项目投资额或资金量是否与工作任务相匹配。</w:t>
            </w:r>
          </w:p>
        </w:tc>
        <w:tc>
          <w:tcPr>
            <w:tcW w:w="1300" w:type="dxa"/>
            <w:shd w:val="clear" w:color="auto" w:fill="FFFFFF"/>
            <w:vAlign w:val="center"/>
          </w:tcPr>
          <w:p>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4</w:t>
            </w:r>
          </w:p>
        </w:tc>
        <w:tc>
          <w:tcPr>
            <w:tcW w:w="1363"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eastAsia="zh-CN"/>
              </w:rPr>
            </w:pPr>
            <w:r>
              <w:rPr>
                <w:rFonts w:hint="default" w:ascii="Times New Roman" w:hAnsi="Times New Roman"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39"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767"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87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资金分配</w:t>
            </w: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合理性</w:t>
            </w:r>
          </w:p>
        </w:tc>
        <w:tc>
          <w:tcPr>
            <w:tcW w:w="2353" w:type="dxa"/>
            <w:shd w:val="clear" w:color="auto" w:fill="FFFFFF"/>
            <w:vAlign w:val="center"/>
          </w:tcPr>
          <w:p>
            <w:pPr>
              <w:widowControl/>
              <w:spacing w:line="0" w:lineRule="atLeast"/>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项目预算资金分配是否有测算依据，与补助单位或地方实际是否相适应，用以反映和考核项目预算资金分配的科学性、合理性情况。</w:t>
            </w:r>
          </w:p>
        </w:tc>
        <w:tc>
          <w:tcPr>
            <w:tcW w:w="5188" w:type="dxa"/>
            <w:shd w:val="clear" w:color="auto" w:fill="FFFFFF"/>
            <w:vAlign w:val="center"/>
          </w:tcPr>
          <w:p>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评价要点：</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①预算资金分配依据是否充分；</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②资金分配额度是否合理，与项目单位或地方实际是否相适应。</w:t>
            </w:r>
          </w:p>
        </w:tc>
        <w:tc>
          <w:tcPr>
            <w:tcW w:w="1300" w:type="dxa"/>
            <w:shd w:val="clear" w:color="auto" w:fill="FFFFFF"/>
            <w:vAlign w:val="center"/>
          </w:tcPr>
          <w:p>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3</w:t>
            </w:r>
          </w:p>
        </w:tc>
        <w:tc>
          <w:tcPr>
            <w:tcW w:w="1363"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eastAsia="zh-CN"/>
              </w:rPr>
            </w:pPr>
            <w:r>
              <w:rPr>
                <w:rFonts w:hint="default" w:ascii="Times New Roman" w:hAnsi="Times New Roman" w:cs="Times New Roman"/>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39" w:type="dxa"/>
            <w:vMerge w:val="restart"/>
            <w:shd w:val="clear" w:color="auto" w:fill="FFFFFF"/>
            <w:vAlign w:val="center"/>
          </w:tcPr>
          <w:p>
            <w:pPr>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过程</w:t>
            </w:r>
          </w:p>
        </w:tc>
        <w:tc>
          <w:tcPr>
            <w:tcW w:w="767"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资金管理</w:t>
            </w:r>
          </w:p>
        </w:tc>
        <w:tc>
          <w:tcPr>
            <w:tcW w:w="87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资金到位率</w:t>
            </w:r>
          </w:p>
        </w:tc>
        <w:tc>
          <w:tcPr>
            <w:tcW w:w="2353" w:type="dxa"/>
            <w:shd w:val="clear" w:color="000000" w:fill="FFFFFF"/>
            <w:vAlign w:val="center"/>
          </w:tcPr>
          <w:p>
            <w:pPr>
              <w:widowControl/>
              <w:spacing w:line="0" w:lineRule="atLeast"/>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实际到位资金与预算资金的比率，用以反映和考核资金落实情况对项目实施的总体保障程度。</w:t>
            </w:r>
          </w:p>
        </w:tc>
        <w:tc>
          <w:tcPr>
            <w:tcW w:w="5188" w:type="dxa"/>
            <w:shd w:val="clear" w:color="000000" w:fill="FFFFFF"/>
            <w:vAlign w:val="center"/>
          </w:tcPr>
          <w:p>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资金到位率=（实际到位资金/预算资金）×100%。</w:t>
            </w:r>
          </w:p>
          <w:p>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实际到位资金：一定时期（本年度或项目期）内落实到具体项目的资金。</w:t>
            </w:r>
          </w:p>
          <w:p>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预算资金：一定时期（本年度或项目期）内预算安排到具体项目的资金。</w:t>
            </w:r>
          </w:p>
        </w:tc>
        <w:tc>
          <w:tcPr>
            <w:tcW w:w="1300" w:type="dxa"/>
            <w:shd w:val="clear" w:color="000000" w:fill="FFFFFF"/>
            <w:vAlign w:val="center"/>
          </w:tcPr>
          <w:p>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4</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eastAsia="zh-CN"/>
              </w:rPr>
            </w:pPr>
            <w:r>
              <w:rPr>
                <w:rFonts w:hint="default" w:ascii="Times New Roman" w:hAnsi="Times New Roman"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39"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rPr>
            </w:pPr>
          </w:p>
        </w:tc>
        <w:tc>
          <w:tcPr>
            <w:tcW w:w="767"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rPr>
            </w:pPr>
          </w:p>
        </w:tc>
        <w:tc>
          <w:tcPr>
            <w:tcW w:w="87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预算执行率</w:t>
            </w:r>
          </w:p>
        </w:tc>
        <w:tc>
          <w:tcPr>
            <w:tcW w:w="2353" w:type="dxa"/>
            <w:shd w:val="clear" w:color="auto" w:fill="FFFFFF"/>
            <w:vAlign w:val="center"/>
          </w:tcPr>
          <w:p>
            <w:pPr>
              <w:widowControl/>
              <w:spacing w:line="0" w:lineRule="atLeast"/>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项目预算资金是否按照计划执行，用以反映或考核项目预算执行情况。</w:t>
            </w:r>
          </w:p>
        </w:tc>
        <w:tc>
          <w:tcPr>
            <w:tcW w:w="5188" w:type="dxa"/>
            <w:shd w:val="clear" w:color="auto" w:fill="FFFFFF"/>
            <w:vAlign w:val="center"/>
          </w:tcPr>
          <w:p>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预算执行率=（实际支出资金/实际到位资金）×100%。</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实际支出资金：一定时期（本年度或项目期）内项目实际拨付的资金。</w:t>
            </w:r>
          </w:p>
        </w:tc>
        <w:tc>
          <w:tcPr>
            <w:tcW w:w="1300" w:type="dxa"/>
            <w:shd w:val="clear" w:color="auto" w:fill="FFFFFF"/>
            <w:vAlign w:val="center"/>
          </w:tcPr>
          <w:p>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4</w:t>
            </w:r>
          </w:p>
        </w:tc>
        <w:tc>
          <w:tcPr>
            <w:tcW w:w="1363"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eastAsia="zh-CN"/>
              </w:rPr>
            </w:pPr>
            <w:r>
              <w:rPr>
                <w:rFonts w:hint="default" w:ascii="Times New Roman" w:hAnsi="Times New Roman"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9"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　</w:t>
            </w:r>
          </w:p>
          <w:p>
            <w:pPr>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过程　</w:t>
            </w:r>
          </w:p>
        </w:tc>
        <w:tc>
          <w:tcPr>
            <w:tcW w:w="76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资金管理</w:t>
            </w:r>
          </w:p>
        </w:tc>
        <w:tc>
          <w:tcPr>
            <w:tcW w:w="87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资金使用</w:t>
            </w: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合规性</w:t>
            </w:r>
          </w:p>
        </w:tc>
        <w:tc>
          <w:tcPr>
            <w:tcW w:w="2353" w:type="dxa"/>
            <w:shd w:val="clear" w:color="000000" w:fill="FFFFFF"/>
            <w:vAlign w:val="center"/>
          </w:tcPr>
          <w:p>
            <w:pPr>
              <w:widowControl/>
              <w:spacing w:line="0" w:lineRule="atLeast"/>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项目资金使用是否符合相关的财务管理制度规定，用以反映和考核项目资金的规范运行情况。</w:t>
            </w:r>
          </w:p>
        </w:tc>
        <w:tc>
          <w:tcPr>
            <w:tcW w:w="5188" w:type="dxa"/>
            <w:shd w:val="clear" w:color="000000" w:fill="FFFFFF"/>
            <w:vAlign w:val="center"/>
          </w:tcPr>
          <w:p>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评价要点：</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①是否符合国家财经法规和财务管理制度以及有关专项资金管理办法的规定；</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②资金的拨付是否有完整的审批程序和手续；</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③是否符合项目预算批复或合同规定的用途；</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④是否存在截留、挤占、挪用、虚列支出等情况。</w:t>
            </w:r>
          </w:p>
        </w:tc>
        <w:tc>
          <w:tcPr>
            <w:tcW w:w="1300" w:type="dxa"/>
            <w:shd w:val="clear" w:color="000000" w:fill="FFFFFF"/>
            <w:vAlign w:val="center"/>
          </w:tcPr>
          <w:p>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4</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eastAsia="zh-CN"/>
              </w:rPr>
            </w:pPr>
            <w:r>
              <w:rPr>
                <w:rFonts w:hint="default" w:ascii="Times New Roman" w:hAnsi="Times New Roman"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39"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rPr>
            </w:pPr>
          </w:p>
        </w:tc>
        <w:tc>
          <w:tcPr>
            <w:tcW w:w="767"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组织实施</w:t>
            </w:r>
          </w:p>
          <w:p>
            <w:pPr>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　</w:t>
            </w:r>
          </w:p>
        </w:tc>
        <w:tc>
          <w:tcPr>
            <w:tcW w:w="87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管理制度</w:t>
            </w: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健全性</w:t>
            </w:r>
          </w:p>
        </w:tc>
        <w:tc>
          <w:tcPr>
            <w:tcW w:w="2353" w:type="dxa"/>
            <w:shd w:val="clear" w:color="000000" w:fill="FFFFFF"/>
            <w:vAlign w:val="center"/>
          </w:tcPr>
          <w:p>
            <w:pPr>
              <w:widowControl/>
              <w:spacing w:line="0" w:lineRule="atLeast"/>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项目实施单位的财务和业务管理制度是否健全，用以反映和考核财务和业务管理制度对项目顺利实施的保障情况。</w:t>
            </w:r>
          </w:p>
        </w:tc>
        <w:tc>
          <w:tcPr>
            <w:tcW w:w="5188" w:type="dxa"/>
            <w:shd w:val="clear" w:color="000000" w:fill="FFFFFF"/>
            <w:vAlign w:val="center"/>
          </w:tcPr>
          <w:p>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评价要点：</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①是否已制定或具有相应的财务和业务管理制度；</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②财务和业务管理制度是否合法、合规、完整。</w:t>
            </w:r>
          </w:p>
        </w:tc>
        <w:tc>
          <w:tcPr>
            <w:tcW w:w="1300" w:type="dxa"/>
            <w:shd w:val="clear" w:color="000000" w:fill="FFFFFF"/>
            <w:vAlign w:val="center"/>
          </w:tcPr>
          <w:p>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4</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eastAsia="zh-CN"/>
              </w:rPr>
            </w:pPr>
            <w:r>
              <w:rPr>
                <w:rFonts w:hint="default" w:ascii="Times New Roman" w:hAnsi="Times New Roman"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39"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767"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87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制度执行</w:t>
            </w:r>
          </w:p>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有效性</w:t>
            </w:r>
          </w:p>
        </w:tc>
        <w:tc>
          <w:tcPr>
            <w:tcW w:w="2353" w:type="dxa"/>
            <w:shd w:val="clear" w:color="000000" w:fill="FFFFFF"/>
            <w:vAlign w:val="center"/>
          </w:tcPr>
          <w:p>
            <w:pPr>
              <w:widowControl/>
              <w:spacing w:line="0" w:lineRule="atLeast"/>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项目实施是否符合相关管理规定，用以反映和考核相关管理制度的有效执行情况。</w:t>
            </w:r>
          </w:p>
        </w:tc>
        <w:tc>
          <w:tcPr>
            <w:tcW w:w="5188" w:type="dxa"/>
            <w:shd w:val="clear" w:color="000000" w:fill="FFFFFF"/>
            <w:vAlign w:val="center"/>
          </w:tcPr>
          <w:p>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评价要点：</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①是否遵守相关法律法规和相关管理规定；</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②项目调整及支出调整手续是否完备；</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③项目合同书、验收报告、技术鉴定等资料是否齐全并及时归档；</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④项目实施的人员条件、场地设备、信息支撑等是否落实到位。</w:t>
            </w:r>
          </w:p>
        </w:tc>
        <w:tc>
          <w:tcPr>
            <w:tcW w:w="1300" w:type="dxa"/>
            <w:shd w:val="clear" w:color="000000" w:fill="FFFFFF"/>
            <w:vAlign w:val="center"/>
          </w:tcPr>
          <w:p>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4</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eastAsia="zh-CN"/>
              </w:rPr>
            </w:pPr>
            <w:r>
              <w:rPr>
                <w:rFonts w:hint="default" w:ascii="Times New Roman" w:hAnsi="Times New Roman"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39"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产出</w:t>
            </w:r>
          </w:p>
        </w:tc>
        <w:tc>
          <w:tcPr>
            <w:tcW w:w="76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产出数量</w:t>
            </w:r>
          </w:p>
        </w:tc>
        <w:tc>
          <w:tcPr>
            <w:tcW w:w="87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实际完成率</w:t>
            </w:r>
          </w:p>
        </w:tc>
        <w:tc>
          <w:tcPr>
            <w:tcW w:w="2353" w:type="dxa"/>
            <w:shd w:val="clear" w:color="000000" w:fill="FFFFFF"/>
            <w:vAlign w:val="center"/>
          </w:tcPr>
          <w:p>
            <w:pPr>
              <w:widowControl/>
              <w:spacing w:line="0" w:lineRule="atLeast"/>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项目实施的实际产出数与计划产出数的比率，用以反映和考核项目产出数量目标的实现程度。</w:t>
            </w:r>
          </w:p>
        </w:tc>
        <w:tc>
          <w:tcPr>
            <w:tcW w:w="5188" w:type="dxa"/>
            <w:shd w:val="clear" w:color="000000" w:fill="FFFFFF"/>
            <w:vAlign w:val="center"/>
          </w:tcPr>
          <w:p>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实际完成率=（实际产出数/计划产出数）×100%。</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实际产出数：一定时期（本年度或项目期）内项目实际产出的产品或提供的服务数量。</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计划产出数：项目绩效目标确定的在一定时期（本年度或项目期）内计划产出的产品或提供的服务数量。</w:t>
            </w:r>
          </w:p>
        </w:tc>
        <w:tc>
          <w:tcPr>
            <w:tcW w:w="1300" w:type="dxa"/>
            <w:shd w:val="clear" w:color="000000" w:fill="FFFFFF"/>
            <w:vAlign w:val="center"/>
          </w:tcPr>
          <w:p>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10</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39"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产出</w:t>
            </w:r>
          </w:p>
        </w:tc>
        <w:tc>
          <w:tcPr>
            <w:tcW w:w="76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产出质量</w:t>
            </w:r>
          </w:p>
        </w:tc>
        <w:tc>
          <w:tcPr>
            <w:tcW w:w="87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质量达标率</w:t>
            </w:r>
          </w:p>
        </w:tc>
        <w:tc>
          <w:tcPr>
            <w:tcW w:w="2353" w:type="dxa"/>
            <w:shd w:val="clear" w:color="000000" w:fill="FFFFFF"/>
            <w:vAlign w:val="center"/>
          </w:tcPr>
          <w:p>
            <w:pPr>
              <w:widowControl/>
              <w:spacing w:line="0" w:lineRule="atLeast"/>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项目完成的质量达标产出数与实际产出数的比率，用以反映和考核项目产出质量目标的实现程度。</w:t>
            </w:r>
          </w:p>
        </w:tc>
        <w:tc>
          <w:tcPr>
            <w:tcW w:w="5188" w:type="dxa"/>
            <w:shd w:val="clear" w:color="000000" w:fill="FFFFFF"/>
            <w:vAlign w:val="center"/>
          </w:tcPr>
          <w:p>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质量达标率=（质量达标产出数/实际产出数）×100%。</w:t>
            </w:r>
          </w:p>
          <w:p>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10</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39"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szCs w:val="22"/>
              </w:rPr>
            </w:pPr>
          </w:p>
        </w:tc>
        <w:tc>
          <w:tcPr>
            <w:tcW w:w="767" w:type="dxa"/>
            <w:shd w:val="clear" w:color="auto" w:fill="FFFFFF"/>
            <w:vAlign w:val="center"/>
          </w:tcPr>
          <w:p>
            <w:pPr>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产出时效</w:t>
            </w:r>
          </w:p>
        </w:tc>
        <w:tc>
          <w:tcPr>
            <w:tcW w:w="87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完成及时性</w:t>
            </w:r>
          </w:p>
        </w:tc>
        <w:tc>
          <w:tcPr>
            <w:tcW w:w="2353" w:type="dxa"/>
            <w:shd w:val="clear" w:color="000000" w:fill="FFFFFF"/>
            <w:vAlign w:val="center"/>
          </w:tcPr>
          <w:p>
            <w:pPr>
              <w:widowControl/>
              <w:spacing w:line="0" w:lineRule="atLeast"/>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项目实际完成时间与计划完成时间的比较，用以反映和考核项目产出时效目标的实现程度。</w:t>
            </w:r>
          </w:p>
        </w:tc>
        <w:tc>
          <w:tcPr>
            <w:tcW w:w="5188" w:type="dxa"/>
            <w:shd w:val="clear" w:color="000000" w:fill="FFFFFF"/>
            <w:vAlign w:val="center"/>
          </w:tcPr>
          <w:p>
            <w:pPr>
              <w:widowControl/>
              <w:spacing w:line="0" w:lineRule="atLeast"/>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实际完成时间：项目实施单位完成该项目实际所耗用的时间。</w:t>
            </w:r>
            <w:r>
              <w:rPr>
                <w:rFonts w:hint="default" w:ascii="Times New Roman" w:hAnsi="Times New Roman" w:cs="Times New Roman"/>
                <w:color w:val="000000"/>
                <w:kern w:val="0"/>
                <w:sz w:val="22"/>
                <w:szCs w:val="22"/>
              </w:rPr>
              <w:br w:type="textWrapping"/>
            </w:r>
            <w:r>
              <w:rPr>
                <w:rFonts w:hint="default" w:ascii="Times New Roman" w:hAnsi="Times New Roman" w:cs="Times New Roman"/>
                <w:color w:val="000000"/>
                <w:kern w:val="0"/>
                <w:sz w:val="22"/>
                <w:szCs w:val="22"/>
              </w:rPr>
              <w:t>计划完成时间：按照项目实施计划或相关规定完成该项目所需的时间。</w:t>
            </w:r>
          </w:p>
        </w:tc>
        <w:tc>
          <w:tcPr>
            <w:tcW w:w="1300" w:type="dxa"/>
            <w:shd w:val="clear" w:color="000000" w:fill="FFFFFF"/>
            <w:vAlign w:val="center"/>
          </w:tcPr>
          <w:p>
            <w:pPr>
              <w:widowControl/>
              <w:spacing w:line="0" w:lineRule="atLeast"/>
              <w:jc w:val="center"/>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10</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lang w:val="en-US" w:eastAsia="zh-CN"/>
              </w:rPr>
            </w:pPr>
            <w:r>
              <w:rPr>
                <w:rFonts w:hint="default" w:ascii="Times New Roman" w:hAnsi="Times New Roman" w:cs="Times New Roman"/>
                <w:b/>
                <w:bCs/>
                <w:color w:val="000000"/>
                <w:kern w:val="0"/>
                <w:sz w:val="22"/>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9"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p>
        </w:tc>
        <w:tc>
          <w:tcPr>
            <w:tcW w:w="767"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产出成本</w:t>
            </w:r>
          </w:p>
        </w:tc>
        <w:tc>
          <w:tcPr>
            <w:tcW w:w="87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成本节约率</w:t>
            </w:r>
          </w:p>
        </w:tc>
        <w:tc>
          <w:tcPr>
            <w:tcW w:w="2353" w:type="dxa"/>
            <w:shd w:val="clear" w:color="000000" w:fill="FFFFFF"/>
            <w:vAlign w:val="center"/>
          </w:tcPr>
          <w:p>
            <w:pPr>
              <w:widowControl/>
              <w:spacing w:line="0" w:lineRule="atLeast"/>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完成项目计划工作目标的实际节约成本与计划成本的比率，用以反映和考核项目的成本节约程度。</w:t>
            </w:r>
          </w:p>
        </w:tc>
        <w:tc>
          <w:tcPr>
            <w:tcW w:w="5188" w:type="dxa"/>
            <w:shd w:val="clear" w:color="000000" w:fill="FFFFFF"/>
            <w:vAlign w:val="center"/>
          </w:tcPr>
          <w:p>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成本节约率=[（计划成本-实际成本）/计划成本]×100%。</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实际成本：项目实施单位如期、保质、保量完成既定工作目标实际所耗费的支出。</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计划成本：项目实施单位为完成工作目标计划安排的支出，一般以项目预算为参考。</w:t>
            </w:r>
          </w:p>
        </w:tc>
        <w:tc>
          <w:tcPr>
            <w:tcW w:w="1300" w:type="dxa"/>
            <w:shd w:val="clear" w:color="000000" w:fill="FFFFFF"/>
            <w:vAlign w:val="center"/>
          </w:tcPr>
          <w:p>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10</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39"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效益　</w:t>
            </w:r>
          </w:p>
        </w:tc>
        <w:tc>
          <w:tcPr>
            <w:tcW w:w="767"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项目效益　</w:t>
            </w:r>
          </w:p>
        </w:tc>
        <w:tc>
          <w:tcPr>
            <w:tcW w:w="87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实施效益</w:t>
            </w:r>
          </w:p>
        </w:tc>
        <w:tc>
          <w:tcPr>
            <w:tcW w:w="2353" w:type="dxa"/>
            <w:shd w:val="clear" w:color="auto" w:fill="FFFFFF"/>
            <w:vAlign w:val="center"/>
          </w:tcPr>
          <w:p>
            <w:pPr>
              <w:widowControl/>
              <w:spacing w:line="0" w:lineRule="atLeast"/>
              <w:jc w:val="lef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项目实施所产生的效益。</w:t>
            </w:r>
          </w:p>
        </w:tc>
        <w:tc>
          <w:tcPr>
            <w:tcW w:w="5188" w:type="dxa"/>
            <w:shd w:val="clear" w:color="auto" w:fill="FFFFFF"/>
            <w:vAlign w:val="center"/>
          </w:tcPr>
          <w:p>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项目实施所产生的社会效益、经济效益、生态效益、可持续影响等。可根据项目实际情况有选择地设置和细化。</w:t>
            </w:r>
          </w:p>
        </w:tc>
        <w:tc>
          <w:tcPr>
            <w:tcW w:w="1300" w:type="dxa"/>
            <w:shd w:val="clear" w:color="auto" w:fill="FFFFFF"/>
            <w:vAlign w:val="center"/>
          </w:tcPr>
          <w:p>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15</w:t>
            </w:r>
          </w:p>
        </w:tc>
        <w:tc>
          <w:tcPr>
            <w:tcW w:w="1363"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39"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p>
        </w:tc>
        <w:tc>
          <w:tcPr>
            <w:tcW w:w="767"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p>
        </w:tc>
        <w:tc>
          <w:tcPr>
            <w:tcW w:w="873" w:type="dxa"/>
            <w:shd w:val="clear" w:color="auto" w:fill="FFFFFF"/>
            <w:vAlign w:val="center"/>
          </w:tcPr>
          <w:p>
            <w:pPr>
              <w:widowControl/>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满意度</w:t>
            </w:r>
          </w:p>
        </w:tc>
        <w:tc>
          <w:tcPr>
            <w:tcW w:w="2353" w:type="dxa"/>
            <w:shd w:val="clear" w:color="000000" w:fill="FFFFFF"/>
            <w:vAlign w:val="center"/>
          </w:tcPr>
          <w:p>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社会公众或服务对象对项目实施效果的满意程度。</w:t>
            </w:r>
          </w:p>
        </w:tc>
        <w:tc>
          <w:tcPr>
            <w:tcW w:w="5188" w:type="dxa"/>
            <w:shd w:val="clear" w:color="000000" w:fill="FFFFFF"/>
            <w:vAlign w:val="center"/>
          </w:tcPr>
          <w:p>
            <w:pPr>
              <w:widowControl/>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社会公众或服务对象是指因该项目实施而受到影响的部门（单位）、群体或个人。一般采取社会调查的方式。</w:t>
            </w:r>
          </w:p>
        </w:tc>
        <w:tc>
          <w:tcPr>
            <w:tcW w:w="1300" w:type="dxa"/>
            <w:shd w:val="clear" w:color="000000" w:fill="FFFFFF"/>
            <w:vAlign w:val="center"/>
          </w:tcPr>
          <w:p>
            <w:pPr>
              <w:widowControl/>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5</w:t>
            </w:r>
          </w:p>
        </w:tc>
        <w:tc>
          <w:tcPr>
            <w:tcW w:w="1363" w:type="dxa"/>
            <w:shd w:val="clear" w:color="000000" w:fill="FFFFFF"/>
            <w:vAlign w:val="center"/>
          </w:tcPr>
          <w:p>
            <w:pPr>
              <w:widowControl/>
              <w:spacing w:line="0" w:lineRule="atLeast"/>
              <w:jc w:val="center"/>
              <w:rPr>
                <w:rFonts w:hint="default" w:ascii="Times New Roman" w:hAnsi="Times New Roman" w:eastAsia="宋体" w:cs="Times New Roman"/>
                <w:b/>
                <w:bCs/>
                <w:color w:val="000000"/>
                <w:kern w:val="0"/>
                <w:sz w:val="22"/>
                <w:szCs w:val="22"/>
                <w:highlight w:val="none"/>
                <w:lang w:eastAsia="zh-CN"/>
              </w:rPr>
            </w:pPr>
            <w:r>
              <w:rPr>
                <w:rFonts w:hint="default" w:ascii="Times New Roman" w:hAnsi="Times New Roman" w:cs="Times New Roman"/>
                <w:b/>
                <w:bCs/>
                <w:color w:val="000000"/>
                <w:kern w:val="0"/>
                <w:sz w:val="22"/>
                <w:szCs w:val="22"/>
                <w:highlight w:val="none"/>
                <w:lang w:val="en-US" w:eastAsia="zh-CN"/>
              </w:rPr>
              <w:t>5</w:t>
            </w:r>
          </w:p>
        </w:tc>
      </w:tr>
    </w:tbl>
    <w:p>
      <w:pPr>
        <w:pStyle w:val="18"/>
        <w:rPr>
          <w:rFonts w:hint="default" w:ascii="Times New Roman" w:hAnsi="Times New Roman" w:cs="Times New Roman"/>
        </w:rPr>
      </w:pPr>
    </w:p>
    <w:p>
      <w:pPr>
        <w:rPr>
          <w:rFonts w:hint="default" w:ascii="Times New Roman" w:hAnsi="Times New Roman" w:cs="Times New Roman"/>
        </w:rPr>
      </w:pPr>
    </w:p>
    <w:p>
      <w:pPr>
        <w:spacing w:line="540" w:lineRule="exact"/>
        <w:ind w:firstLine="640"/>
        <w:rPr>
          <w:rStyle w:val="23"/>
          <w:rFonts w:hint="default" w:ascii="Times New Roman" w:hAnsi="Times New Roman" w:eastAsia="黑体" w:cs="Times New Roman"/>
          <w:bCs w:val="0"/>
          <w:spacing w:val="-4"/>
          <w:sz w:val="32"/>
          <w:szCs w:val="32"/>
        </w:rPr>
      </w:pPr>
    </w:p>
    <w:p>
      <w:pPr>
        <w:spacing w:line="540" w:lineRule="exact"/>
        <w:ind w:firstLine="640"/>
        <w:rPr>
          <w:rStyle w:val="23"/>
          <w:rFonts w:hint="default" w:ascii="Times New Roman" w:hAnsi="Times New Roman" w:eastAsia="黑体" w:cs="Times New Roman"/>
          <w:bCs w:val="0"/>
          <w:spacing w:val="-4"/>
          <w:sz w:val="32"/>
          <w:szCs w:val="32"/>
        </w:rPr>
      </w:pPr>
    </w:p>
    <w:p>
      <w:pPr>
        <w:spacing w:line="540" w:lineRule="exact"/>
        <w:ind w:firstLine="640"/>
        <w:rPr>
          <w:rStyle w:val="23"/>
          <w:rFonts w:hint="default" w:ascii="Times New Roman" w:hAnsi="Times New Roman" w:eastAsia="黑体" w:cs="Times New Roman"/>
          <w:bCs w:val="0"/>
          <w:spacing w:val="-4"/>
          <w:sz w:val="32"/>
          <w:szCs w:val="32"/>
        </w:rPr>
      </w:pPr>
    </w:p>
    <w:p>
      <w:pPr>
        <w:spacing w:line="540" w:lineRule="exact"/>
        <w:ind w:firstLine="640"/>
        <w:rPr>
          <w:rStyle w:val="23"/>
          <w:rFonts w:hint="default" w:ascii="Times New Roman" w:hAnsi="Times New Roman" w:eastAsia="黑体" w:cs="Times New Roman"/>
          <w:bCs w:val="0"/>
          <w:spacing w:val="-4"/>
          <w:sz w:val="32"/>
          <w:szCs w:val="32"/>
        </w:rPr>
      </w:pPr>
    </w:p>
    <w:p>
      <w:pPr>
        <w:spacing w:line="540" w:lineRule="exact"/>
        <w:ind w:firstLine="640"/>
        <w:rPr>
          <w:rStyle w:val="23"/>
          <w:rFonts w:hint="default" w:ascii="Times New Roman" w:hAnsi="Times New Roman" w:eastAsia="黑体" w:cs="Times New Roman"/>
          <w:bCs w:val="0"/>
          <w:spacing w:val="-4"/>
          <w:sz w:val="32"/>
          <w:szCs w:val="32"/>
        </w:rPr>
      </w:pPr>
    </w:p>
    <w:p>
      <w:pPr>
        <w:spacing w:line="540" w:lineRule="exact"/>
        <w:ind w:firstLine="640"/>
        <w:rPr>
          <w:rStyle w:val="23"/>
          <w:rFonts w:hint="default" w:ascii="Times New Roman" w:hAnsi="Times New Roman" w:eastAsia="黑体" w:cs="Times New Roman"/>
          <w:bCs w:val="0"/>
          <w:spacing w:val="-4"/>
          <w:sz w:val="32"/>
          <w:szCs w:val="32"/>
        </w:rPr>
      </w:pPr>
    </w:p>
    <w:p>
      <w:pPr>
        <w:spacing w:line="540" w:lineRule="exact"/>
        <w:rPr>
          <w:rStyle w:val="23"/>
          <w:rFonts w:hint="default" w:ascii="Times New Roman" w:hAnsi="Times New Roman" w:eastAsia="仿宋" w:cs="Times New Roman"/>
          <w:b w:val="0"/>
          <w:spacing w:val="-4"/>
          <w:sz w:val="32"/>
          <w:szCs w:val="32"/>
        </w:rPr>
      </w:pPr>
    </w:p>
    <w:sectPr>
      <w:pgSz w:w="16838" w:h="11906" w:orient="landscape"/>
      <w:pgMar w:top="1800" w:right="1440" w:bottom="1558" w:left="144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modern"/>
    <w:pitch w:val="default"/>
    <w:sig w:usb0="00000000" w:usb1="00000000" w:usb2="00000009" w:usb3="00000000" w:csb0="400001FF" w:csb1="FFFF0000"/>
  </w:font>
  <w:font w:name="宋体">
    <w:altName w:val="方正书宋_GBK"/>
    <w:panose1 w:val="02010600030101010101"/>
    <w:charset w:val="34"/>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2000019F" w:csb1="00000000"/>
  </w:font>
  <w:font w:name="仿宋_GB2312">
    <w:altName w:val="方正仿宋_GBK"/>
    <w:panose1 w:val="02010609030101010101"/>
    <w:charset w:val="86"/>
    <w:family w:val="modern"/>
    <w:pitch w:val="default"/>
    <w:sig w:usb0="00000000" w:usb1="0000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楷体_GB2312">
    <w:altName w:val="方正楷体_GBK"/>
    <w:panose1 w:val="02010609030101010101"/>
    <w:charset w:val="86"/>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CJK JP Bold">
    <w:panose1 w:val="020B0800000000000000"/>
    <w:charset w:val="86"/>
    <w:family w:val="auto"/>
    <w:pitch w:val="default"/>
    <w:sig w:usb0="30000003" w:usb1="2BDF3C10" w:usb2="00000016" w:usb3="00000000" w:csb0="602E0107"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4"/>
          <w:jc w:val="center"/>
        </w:pPr>
        <w:r>
          <w:fldChar w:fldCharType="begin"/>
        </w:r>
        <w:r>
          <w:instrText xml:space="preserve">PAGE   \* MERGEFORMAT</w:instrText>
        </w:r>
        <w:r>
          <w:fldChar w:fldCharType="separate"/>
        </w:r>
        <w:r>
          <w:rPr>
            <w:lang w:val="zh-CN"/>
          </w:rPr>
          <w:t>17</w:t>
        </w:r>
        <w:r>
          <w:fldChar w:fldCharType="end"/>
        </w:r>
      </w:p>
    </w:sdtContent>
  </w:sdt>
  <w:p>
    <w:pPr>
      <w:pStyle w:val="1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3D2FA9"/>
    <w:multiLevelType w:val="singleLevel"/>
    <w:tmpl w:val="9D3D2FA9"/>
    <w:lvl w:ilvl="0" w:tentative="0">
      <w:start w:val="6"/>
      <w:numFmt w:val="chineseCounting"/>
      <w:suff w:val="nothing"/>
      <w:lvlText w:val="%1、"/>
      <w:lvlJc w:val="left"/>
      <w:rPr>
        <w:rFonts w:hint="eastAsia"/>
      </w:rPr>
    </w:lvl>
  </w:abstractNum>
  <w:abstractNum w:abstractNumId="1">
    <w:nsid w:val="DEF60FE1"/>
    <w:multiLevelType w:val="singleLevel"/>
    <w:tmpl w:val="DEF60FE1"/>
    <w:lvl w:ilvl="0" w:tentative="0">
      <w:start w:val="1"/>
      <w:numFmt w:val="decimal"/>
      <w:suff w:val="nothing"/>
      <w:lvlText w:val="（%1）"/>
      <w:lvlJc w:val="left"/>
    </w:lvl>
  </w:abstractNum>
  <w:abstractNum w:abstractNumId="2">
    <w:nsid w:val="E83853AE"/>
    <w:multiLevelType w:val="singleLevel"/>
    <w:tmpl w:val="E83853AE"/>
    <w:lvl w:ilvl="0" w:tentative="0">
      <w:start w:val="2"/>
      <w:numFmt w:val="decimal"/>
      <w:suff w:val="nothing"/>
      <w:lvlText w:val="%1、"/>
      <w:lvlJc w:val="left"/>
    </w:lvl>
  </w:abstractNum>
  <w:abstractNum w:abstractNumId="3">
    <w:nsid w:val="FF9379A8"/>
    <w:multiLevelType w:val="singleLevel"/>
    <w:tmpl w:val="FF9379A8"/>
    <w:lvl w:ilvl="0" w:tentative="0">
      <w:start w:val="2"/>
      <w:numFmt w:val="chineseCounting"/>
      <w:suff w:val="nothing"/>
      <w:lvlText w:val="（%1）"/>
      <w:lvlJc w:val="left"/>
      <w:rPr>
        <w:rFonts w:hint="eastAsia"/>
      </w:rPr>
    </w:lvl>
  </w:abstractNum>
  <w:abstractNum w:abstractNumId="4">
    <w:nsid w:val="116B29BF"/>
    <w:multiLevelType w:val="singleLevel"/>
    <w:tmpl w:val="116B29BF"/>
    <w:lvl w:ilvl="0" w:tentative="0">
      <w:start w:val="3"/>
      <w:numFmt w:val="chineseCounting"/>
      <w:suff w:val="nothing"/>
      <w:lvlText w:val="%1、"/>
      <w:lvlJc w:val="left"/>
      <w:rPr>
        <w:rFonts w:hint="eastAsia"/>
      </w:rPr>
    </w:lvl>
  </w:abstractNum>
  <w:abstractNum w:abstractNumId="5">
    <w:nsid w:val="27813159"/>
    <w:multiLevelType w:val="singleLevel"/>
    <w:tmpl w:val="27813159"/>
    <w:lvl w:ilvl="0" w:tentative="0">
      <w:start w:val="3"/>
      <w:numFmt w:val="chineseCounting"/>
      <w:suff w:val="nothing"/>
      <w:lvlText w:val="（%1）"/>
      <w:lvlJc w:val="left"/>
      <w:rPr>
        <w:rFonts w:hint="eastAsia"/>
      </w:rPr>
    </w:lvl>
  </w:abstractNum>
  <w:abstractNum w:abstractNumId="6">
    <w:nsid w:val="38F0C646"/>
    <w:multiLevelType w:val="singleLevel"/>
    <w:tmpl w:val="38F0C646"/>
    <w:lvl w:ilvl="0" w:tentative="0">
      <w:start w:val="1"/>
      <w:numFmt w:val="decimal"/>
      <w:suff w:val="nothing"/>
      <w:lvlText w:val="%1、"/>
      <w:lvlJc w:val="left"/>
    </w:lvl>
  </w:abstractNum>
  <w:num w:numId="1">
    <w:abstractNumId w:val="2"/>
  </w:num>
  <w:num w:numId="2">
    <w:abstractNumId w:val="1"/>
  </w:num>
  <w:num w:numId="3">
    <w:abstractNumId w:val="5"/>
  </w:num>
  <w:num w:numId="4">
    <w:abstractNumId w:val="6"/>
  </w:num>
  <w:num w:numId="5">
    <w:abstractNumId w:val="4"/>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4NzhiNWU2NzVmNWIxNTdhMDYwYWQ3MDg0MmI4ZmMifQ=="/>
  </w:docVars>
  <w:rsids>
    <w:rsidRoot w:val="00CA6457"/>
    <w:rsid w:val="00056465"/>
    <w:rsid w:val="000E50F0"/>
    <w:rsid w:val="000E586C"/>
    <w:rsid w:val="00121AE4"/>
    <w:rsid w:val="00146AAD"/>
    <w:rsid w:val="001B3A40"/>
    <w:rsid w:val="00200850"/>
    <w:rsid w:val="003748BB"/>
    <w:rsid w:val="003C18BC"/>
    <w:rsid w:val="00430B95"/>
    <w:rsid w:val="004366A8"/>
    <w:rsid w:val="00464900"/>
    <w:rsid w:val="0050203C"/>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A46E6"/>
    <w:rsid w:val="00C20F12"/>
    <w:rsid w:val="00C56C72"/>
    <w:rsid w:val="00CA6457"/>
    <w:rsid w:val="00D17F2E"/>
    <w:rsid w:val="00D30354"/>
    <w:rsid w:val="00DF42A0"/>
    <w:rsid w:val="00DF7C45"/>
    <w:rsid w:val="00E31565"/>
    <w:rsid w:val="00E46C51"/>
    <w:rsid w:val="00E659F7"/>
    <w:rsid w:val="00E769FE"/>
    <w:rsid w:val="00EA2CBE"/>
    <w:rsid w:val="00F20494"/>
    <w:rsid w:val="00F32FEE"/>
    <w:rsid w:val="00F71278"/>
    <w:rsid w:val="00FA15E9"/>
    <w:rsid w:val="00FB10BB"/>
    <w:rsid w:val="029D33DC"/>
    <w:rsid w:val="038C12F2"/>
    <w:rsid w:val="039667A9"/>
    <w:rsid w:val="051A56F5"/>
    <w:rsid w:val="05E01D30"/>
    <w:rsid w:val="060E0879"/>
    <w:rsid w:val="066D6EAA"/>
    <w:rsid w:val="06DC1681"/>
    <w:rsid w:val="06F84345"/>
    <w:rsid w:val="07F65A68"/>
    <w:rsid w:val="08793FA4"/>
    <w:rsid w:val="08A454C4"/>
    <w:rsid w:val="08C662D4"/>
    <w:rsid w:val="09694018"/>
    <w:rsid w:val="09BD4D95"/>
    <w:rsid w:val="0B0F58D6"/>
    <w:rsid w:val="0C470CB4"/>
    <w:rsid w:val="0CF77AEC"/>
    <w:rsid w:val="0E54536A"/>
    <w:rsid w:val="0F2C7FC2"/>
    <w:rsid w:val="0F8D41CB"/>
    <w:rsid w:val="0FEE2F21"/>
    <w:rsid w:val="100B407B"/>
    <w:rsid w:val="1041184B"/>
    <w:rsid w:val="11BB6C8F"/>
    <w:rsid w:val="11C75270"/>
    <w:rsid w:val="12637CC3"/>
    <w:rsid w:val="12E657C5"/>
    <w:rsid w:val="133C6E2A"/>
    <w:rsid w:val="14E530ED"/>
    <w:rsid w:val="15086DDB"/>
    <w:rsid w:val="151D2886"/>
    <w:rsid w:val="1570522D"/>
    <w:rsid w:val="164976AB"/>
    <w:rsid w:val="167C7687"/>
    <w:rsid w:val="168B3546"/>
    <w:rsid w:val="1A2374E0"/>
    <w:rsid w:val="1B043BA1"/>
    <w:rsid w:val="1C317CE2"/>
    <w:rsid w:val="1CFC5477"/>
    <w:rsid w:val="1DD45808"/>
    <w:rsid w:val="1DED42AC"/>
    <w:rsid w:val="20005763"/>
    <w:rsid w:val="20FB313D"/>
    <w:rsid w:val="220B4804"/>
    <w:rsid w:val="22DB758F"/>
    <w:rsid w:val="25FA451E"/>
    <w:rsid w:val="276460F3"/>
    <w:rsid w:val="278B653F"/>
    <w:rsid w:val="27B34984"/>
    <w:rsid w:val="282475E3"/>
    <w:rsid w:val="284A4D73"/>
    <w:rsid w:val="29A05869"/>
    <w:rsid w:val="29E421D9"/>
    <w:rsid w:val="29EC6874"/>
    <w:rsid w:val="2B1E480B"/>
    <w:rsid w:val="2B2142FB"/>
    <w:rsid w:val="2B7462A4"/>
    <w:rsid w:val="2C6100C1"/>
    <w:rsid w:val="2D546C0A"/>
    <w:rsid w:val="2D8D3ECA"/>
    <w:rsid w:val="2D8F7C42"/>
    <w:rsid w:val="2E2C5491"/>
    <w:rsid w:val="2F520F27"/>
    <w:rsid w:val="2F860BD0"/>
    <w:rsid w:val="3235157C"/>
    <w:rsid w:val="3264220D"/>
    <w:rsid w:val="32A83563"/>
    <w:rsid w:val="337551E4"/>
    <w:rsid w:val="342804A8"/>
    <w:rsid w:val="35ED7BFB"/>
    <w:rsid w:val="361433EF"/>
    <w:rsid w:val="36B9188B"/>
    <w:rsid w:val="38366B24"/>
    <w:rsid w:val="383D41FD"/>
    <w:rsid w:val="38872456"/>
    <w:rsid w:val="38FE7A29"/>
    <w:rsid w:val="3963178C"/>
    <w:rsid w:val="39BC3B6C"/>
    <w:rsid w:val="3AF15A98"/>
    <w:rsid w:val="3BA5236D"/>
    <w:rsid w:val="3C805325"/>
    <w:rsid w:val="3CED0699"/>
    <w:rsid w:val="3D1E68EC"/>
    <w:rsid w:val="3EB02FD6"/>
    <w:rsid w:val="3F133A85"/>
    <w:rsid w:val="3F626F64"/>
    <w:rsid w:val="4134674D"/>
    <w:rsid w:val="41CC2676"/>
    <w:rsid w:val="421D53C4"/>
    <w:rsid w:val="439B2A45"/>
    <w:rsid w:val="44957494"/>
    <w:rsid w:val="44B244EA"/>
    <w:rsid w:val="46764E21"/>
    <w:rsid w:val="46B21672"/>
    <w:rsid w:val="47482FB0"/>
    <w:rsid w:val="47C42721"/>
    <w:rsid w:val="48CC18F2"/>
    <w:rsid w:val="49A40179"/>
    <w:rsid w:val="4A381B21"/>
    <w:rsid w:val="4CD314A1"/>
    <w:rsid w:val="4D96420E"/>
    <w:rsid w:val="4EEF1E97"/>
    <w:rsid w:val="4F530C0F"/>
    <w:rsid w:val="4F552460"/>
    <w:rsid w:val="4FCC6863"/>
    <w:rsid w:val="50045CBF"/>
    <w:rsid w:val="500A214A"/>
    <w:rsid w:val="501E2A33"/>
    <w:rsid w:val="522105B9"/>
    <w:rsid w:val="522D604D"/>
    <w:rsid w:val="52432C25"/>
    <w:rsid w:val="5297585E"/>
    <w:rsid w:val="52AD7D6F"/>
    <w:rsid w:val="533B38FC"/>
    <w:rsid w:val="53B67639"/>
    <w:rsid w:val="551337A9"/>
    <w:rsid w:val="5549519D"/>
    <w:rsid w:val="5557596B"/>
    <w:rsid w:val="56095F34"/>
    <w:rsid w:val="56D303A0"/>
    <w:rsid w:val="57D76345"/>
    <w:rsid w:val="582160BE"/>
    <w:rsid w:val="58E40592"/>
    <w:rsid w:val="591744C4"/>
    <w:rsid w:val="5B596DFC"/>
    <w:rsid w:val="5C3F26AF"/>
    <w:rsid w:val="5C86208C"/>
    <w:rsid w:val="5DAE6D00"/>
    <w:rsid w:val="5DF03945"/>
    <w:rsid w:val="5F03526B"/>
    <w:rsid w:val="5F842877"/>
    <w:rsid w:val="61406582"/>
    <w:rsid w:val="61FE26C5"/>
    <w:rsid w:val="62125BED"/>
    <w:rsid w:val="62E515AF"/>
    <w:rsid w:val="637C2815"/>
    <w:rsid w:val="64195594"/>
    <w:rsid w:val="6525230A"/>
    <w:rsid w:val="65E04199"/>
    <w:rsid w:val="666B4FDC"/>
    <w:rsid w:val="67DA14DE"/>
    <w:rsid w:val="67FF13C8"/>
    <w:rsid w:val="682144B7"/>
    <w:rsid w:val="696E0A9A"/>
    <w:rsid w:val="69AC2A06"/>
    <w:rsid w:val="6A3D3FA6"/>
    <w:rsid w:val="6B503F77"/>
    <w:rsid w:val="6B53250E"/>
    <w:rsid w:val="6BE96194"/>
    <w:rsid w:val="6C9A748E"/>
    <w:rsid w:val="6CAD5413"/>
    <w:rsid w:val="6E311968"/>
    <w:rsid w:val="6E5042A8"/>
    <w:rsid w:val="6E761835"/>
    <w:rsid w:val="70D14F18"/>
    <w:rsid w:val="70DD1A5F"/>
    <w:rsid w:val="71600CA6"/>
    <w:rsid w:val="72D65BBC"/>
    <w:rsid w:val="733D0C11"/>
    <w:rsid w:val="75A1363B"/>
    <w:rsid w:val="75CA7AAF"/>
    <w:rsid w:val="777A3593"/>
    <w:rsid w:val="777C7EBC"/>
    <w:rsid w:val="77E617D9"/>
    <w:rsid w:val="78520C1D"/>
    <w:rsid w:val="78BB7BE1"/>
    <w:rsid w:val="792409F5"/>
    <w:rsid w:val="7A2B3E1B"/>
    <w:rsid w:val="7A353D0B"/>
    <w:rsid w:val="7B9B1FB8"/>
    <w:rsid w:val="7C0E4280"/>
    <w:rsid w:val="7C7A8FC6"/>
    <w:rsid w:val="7CB927D8"/>
    <w:rsid w:val="7D2E5047"/>
    <w:rsid w:val="7D3A5E2F"/>
    <w:rsid w:val="7F6864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nhideWhenUsed="0" w:uiPriority="0"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5"/>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6"/>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7"/>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8"/>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9"/>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30"/>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31"/>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32"/>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33"/>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22">
    <w:name w:val="Default Paragraph Font"/>
    <w:unhideWhenUsed/>
    <w:qFormat/>
    <w:uiPriority w:val="1"/>
  </w:style>
  <w:style w:type="table" w:default="1" w:styleId="21">
    <w:name w:val="Normal Table"/>
    <w:unhideWhenUsed/>
    <w:qFormat/>
    <w:uiPriority w:val="99"/>
    <w:tblPr>
      <w:tblCellMar>
        <w:top w:w="0" w:type="dxa"/>
        <w:left w:w="108" w:type="dxa"/>
        <w:bottom w:w="0" w:type="dxa"/>
        <w:right w:w="108" w:type="dxa"/>
      </w:tblCellMar>
    </w:tblPr>
  </w:style>
  <w:style w:type="paragraph" w:styleId="11">
    <w:name w:val="Body Text"/>
    <w:basedOn w:val="1"/>
    <w:qFormat/>
    <w:uiPriority w:val="0"/>
    <w:pPr>
      <w:spacing w:after="120"/>
    </w:pPr>
  </w:style>
  <w:style w:type="paragraph" w:styleId="12">
    <w:name w:val="Body Text Indent"/>
    <w:basedOn w:val="1"/>
    <w:qFormat/>
    <w:uiPriority w:val="0"/>
    <w:pPr>
      <w:spacing w:after="120"/>
      <w:ind w:left="420" w:leftChars="200"/>
    </w:pPr>
    <w:rPr>
      <w:rFonts w:ascii="Calibri" w:hAnsi="Calibri"/>
    </w:rPr>
  </w:style>
  <w:style w:type="paragraph" w:styleId="13">
    <w:name w:val="Balloon Text"/>
    <w:basedOn w:val="1"/>
    <w:link w:val="50"/>
    <w:unhideWhenUsed/>
    <w:qFormat/>
    <w:uiPriority w:val="99"/>
    <w:rPr>
      <w:sz w:val="18"/>
      <w:szCs w:val="18"/>
    </w:rPr>
  </w:style>
  <w:style w:type="paragraph" w:styleId="14">
    <w:name w:val="footer"/>
    <w:basedOn w:val="1"/>
    <w:link w:val="49"/>
    <w:unhideWhenUsed/>
    <w:qFormat/>
    <w:uiPriority w:val="99"/>
    <w:pPr>
      <w:tabs>
        <w:tab w:val="center" w:pos="4153"/>
        <w:tab w:val="right" w:pos="8306"/>
      </w:tabs>
      <w:snapToGrid w:val="0"/>
      <w:jc w:val="left"/>
    </w:pPr>
    <w:rPr>
      <w:rFonts w:ascii="Calibri" w:hAnsi="Calibri"/>
      <w:sz w:val="18"/>
      <w:szCs w:val="18"/>
    </w:rPr>
  </w:style>
  <w:style w:type="paragraph" w:styleId="15">
    <w:name w:val="header"/>
    <w:basedOn w:val="1"/>
    <w:link w:val="48"/>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6">
    <w:name w:val="Subtitle"/>
    <w:basedOn w:val="1"/>
    <w:next w:val="1"/>
    <w:link w:val="35"/>
    <w:qFormat/>
    <w:uiPriority w:val="11"/>
    <w:pPr>
      <w:widowControl/>
      <w:spacing w:after="60"/>
      <w:jc w:val="center"/>
      <w:outlineLvl w:val="1"/>
    </w:pPr>
    <w:rPr>
      <w:rFonts w:asciiTheme="majorHAnsi" w:hAnsiTheme="majorHAnsi" w:eastAsiaTheme="majorEastAsia"/>
      <w:kern w:val="0"/>
      <w:sz w:val="24"/>
    </w:rPr>
  </w:style>
  <w:style w:type="paragraph" w:styleId="17">
    <w:name w:val="toc 2"/>
    <w:basedOn w:val="1"/>
    <w:next w:val="1"/>
    <w:qFormat/>
    <w:uiPriority w:val="0"/>
    <w:pPr>
      <w:ind w:left="420" w:leftChars="200"/>
    </w:pPr>
  </w:style>
  <w:style w:type="paragraph" w:styleId="18">
    <w:name w:val="Title"/>
    <w:basedOn w:val="1"/>
    <w:next w:val="1"/>
    <w:link w:val="34"/>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9">
    <w:name w:val="Body Text First Indent"/>
    <w:basedOn w:val="11"/>
    <w:qFormat/>
    <w:uiPriority w:val="0"/>
    <w:pPr>
      <w:spacing w:after="0"/>
      <w:ind w:firstLine="200" w:firstLineChars="200"/>
    </w:pPr>
  </w:style>
  <w:style w:type="paragraph" w:styleId="20">
    <w:name w:val="Body Text First Indent 2"/>
    <w:basedOn w:val="12"/>
    <w:qFormat/>
    <w:uiPriority w:val="0"/>
    <w:pPr>
      <w:ind w:firstLine="420" w:firstLineChars="200"/>
    </w:pPr>
  </w:style>
  <w:style w:type="character" w:styleId="23">
    <w:name w:val="Strong"/>
    <w:basedOn w:val="22"/>
    <w:qFormat/>
    <w:uiPriority w:val="0"/>
    <w:rPr>
      <w:b/>
      <w:bCs/>
    </w:rPr>
  </w:style>
  <w:style w:type="character" w:styleId="24">
    <w:name w:val="Emphasis"/>
    <w:basedOn w:val="22"/>
    <w:qFormat/>
    <w:uiPriority w:val="20"/>
    <w:rPr>
      <w:rFonts w:asciiTheme="minorHAnsi" w:hAnsiTheme="minorHAnsi"/>
      <w:b/>
      <w:i/>
      <w:iCs/>
    </w:rPr>
  </w:style>
  <w:style w:type="character" w:customStyle="1" w:styleId="25">
    <w:name w:val="标题 1 字符"/>
    <w:basedOn w:val="22"/>
    <w:link w:val="2"/>
    <w:qFormat/>
    <w:uiPriority w:val="9"/>
    <w:rPr>
      <w:rFonts w:asciiTheme="majorHAnsi" w:hAnsiTheme="majorHAnsi" w:eastAsiaTheme="majorEastAsia"/>
      <w:b/>
      <w:bCs/>
      <w:kern w:val="32"/>
      <w:sz w:val="32"/>
      <w:szCs w:val="32"/>
    </w:rPr>
  </w:style>
  <w:style w:type="character" w:customStyle="1" w:styleId="26">
    <w:name w:val="标题 2 字符"/>
    <w:basedOn w:val="22"/>
    <w:link w:val="3"/>
    <w:semiHidden/>
    <w:qFormat/>
    <w:uiPriority w:val="9"/>
    <w:rPr>
      <w:rFonts w:asciiTheme="majorHAnsi" w:hAnsiTheme="majorHAnsi" w:eastAsiaTheme="majorEastAsia"/>
      <w:b/>
      <w:bCs/>
      <w:i/>
      <w:iCs/>
      <w:sz w:val="28"/>
      <w:szCs w:val="28"/>
    </w:rPr>
  </w:style>
  <w:style w:type="character" w:customStyle="1" w:styleId="27">
    <w:name w:val="标题 3 字符"/>
    <w:basedOn w:val="22"/>
    <w:link w:val="4"/>
    <w:semiHidden/>
    <w:qFormat/>
    <w:uiPriority w:val="9"/>
    <w:rPr>
      <w:rFonts w:asciiTheme="majorHAnsi" w:hAnsiTheme="majorHAnsi" w:eastAsiaTheme="majorEastAsia"/>
      <w:b/>
      <w:bCs/>
      <w:sz w:val="26"/>
      <w:szCs w:val="26"/>
    </w:rPr>
  </w:style>
  <w:style w:type="character" w:customStyle="1" w:styleId="28">
    <w:name w:val="标题 4 字符"/>
    <w:basedOn w:val="22"/>
    <w:link w:val="5"/>
    <w:semiHidden/>
    <w:qFormat/>
    <w:uiPriority w:val="9"/>
    <w:rPr>
      <w:b/>
      <w:bCs/>
      <w:sz w:val="28"/>
      <w:szCs w:val="28"/>
    </w:rPr>
  </w:style>
  <w:style w:type="character" w:customStyle="1" w:styleId="29">
    <w:name w:val="标题 5 字符"/>
    <w:basedOn w:val="22"/>
    <w:link w:val="6"/>
    <w:semiHidden/>
    <w:qFormat/>
    <w:uiPriority w:val="9"/>
    <w:rPr>
      <w:b/>
      <w:bCs/>
      <w:i/>
      <w:iCs/>
      <w:sz w:val="26"/>
      <w:szCs w:val="26"/>
    </w:rPr>
  </w:style>
  <w:style w:type="character" w:customStyle="1" w:styleId="30">
    <w:name w:val="标题 6 字符"/>
    <w:basedOn w:val="22"/>
    <w:link w:val="7"/>
    <w:semiHidden/>
    <w:qFormat/>
    <w:uiPriority w:val="9"/>
    <w:rPr>
      <w:b/>
      <w:bCs/>
    </w:rPr>
  </w:style>
  <w:style w:type="character" w:customStyle="1" w:styleId="31">
    <w:name w:val="标题 7 字符"/>
    <w:basedOn w:val="22"/>
    <w:link w:val="8"/>
    <w:semiHidden/>
    <w:qFormat/>
    <w:uiPriority w:val="9"/>
    <w:rPr>
      <w:sz w:val="24"/>
      <w:szCs w:val="24"/>
    </w:rPr>
  </w:style>
  <w:style w:type="character" w:customStyle="1" w:styleId="32">
    <w:name w:val="标题 8 字符"/>
    <w:basedOn w:val="22"/>
    <w:link w:val="9"/>
    <w:semiHidden/>
    <w:qFormat/>
    <w:uiPriority w:val="9"/>
    <w:rPr>
      <w:i/>
      <w:iCs/>
      <w:sz w:val="24"/>
      <w:szCs w:val="24"/>
    </w:rPr>
  </w:style>
  <w:style w:type="character" w:customStyle="1" w:styleId="33">
    <w:name w:val="标题 9 字符"/>
    <w:basedOn w:val="22"/>
    <w:link w:val="10"/>
    <w:semiHidden/>
    <w:qFormat/>
    <w:uiPriority w:val="9"/>
    <w:rPr>
      <w:rFonts w:asciiTheme="majorHAnsi" w:hAnsiTheme="majorHAnsi" w:eastAsiaTheme="majorEastAsia"/>
    </w:rPr>
  </w:style>
  <w:style w:type="character" w:customStyle="1" w:styleId="34">
    <w:name w:val="标题 字符"/>
    <w:basedOn w:val="22"/>
    <w:link w:val="18"/>
    <w:qFormat/>
    <w:uiPriority w:val="10"/>
    <w:rPr>
      <w:rFonts w:asciiTheme="majorHAnsi" w:hAnsiTheme="majorHAnsi" w:eastAsiaTheme="majorEastAsia"/>
      <w:b/>
      <w:bCs/>
      <w:kern w:val="28"/>
      <w:sz w:val="32"/>
      <w:szCs w:val="32"/>
    </w:rPr>
  </w:style>
  <w:style w:type="character" w:customStyle="1" w:styleId="35">
    <w:name w:val="副标题 字符"/>
    <w:basedOn w:val="22"/>
    <w:link w:val="16"/>
    <w:qFormat/>
    <w:uiPriority w:val="11"/>
    <w:rPr>
      <w:rFonts w:asciiTheme="majorHAnsi" w:hAnsiTheme="majorHAnsi" w:eastAsiaTheme="majorEastAsia"/>
      <w:sz w:val="24"/>
      <w:szCs w:val="24"/>
    </w:rPr>
  </w:style>
  <w:style w:type="paragraph" w:customStyle="1" w:styleId="36">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7">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8">
    <w:name w:val="Quote"/>
    <w:basedOn w:val="1"/>
    <w:next w:val="1"/>
    <w:link w:val="39"/>
    <w:qFormat/>
    <w:uiPriority w:val="29"/>
    <w:pPr>
      <w:widowControl/>
      <w:jc w:val="left"/>
    </w:pPr>
    <w:rPr>
      <w:rFonts w:asciiTheme="minorHAnsi" w:hAnsiTheme="minorHAnsi" w:eastAsiaTheme="minorEastAsia"/>
      <w:i/>
      <w:kern w:val="0"/>
      <w:sz w:val="24"/>
    </w:rPr>
  </w:style>
  <w:style w:type="character" w:customStyle="1" w:styleId="39">
    <w:name w:val="引用 字符"/>
    <w:basedOn w:val="22"/>
    <w:link w:val="38"/>
    <w:qFormat/>
    <w:uiPriority w:val="29"/>
    <w:rPr>
      <w:i/>
      <w:sz w:val="24"/>
      <w:szCs w:val="24"/>
    </w:rPr>
  </w:style>
  <w:style w:type="paragraph" w:customStyle="1" w:styleId="40">
    <w:name w:val="Intense Quote"/>
    <w:basedOn w:val="1"/>
    <w:next w:val="1"/>
    <w:link w:val="41"/>
    <w:qFormat/>
    <w:uiPriority w:val="30"/>
    <w:pPr>
      <w:widowControl/>
      <w:ind w:left="720" w:right="720"/>
      <w:jc w:val="left"/>
    </w:pPr>
    <w:rPr>
      <w:rFonts w:asciiTheme="minorHAnsi" w:hAnsiTheme="minorHAnsi" w:eastAsiaTheme="minorEastAsia"/>
      <w:b/>
      <w:i/>
      <w:kern w:val="0"/>
      <w:sz w:val="24"/>
      <w:szCs w:val="22"/>
    </w:rPr>
  </w:style>
  <w:style w:type="character" w:customStyle="1" w:styleId="41">
    <w:name w:val="明显引用 字符"/>
    <w:basedOn w:val="22"/>
    <w:link w:val="40"/>
    <w:qFormat/>
    <w:uiPriority w:val="30"/>
    <w:rPr>
      <w:b/>
      <w:i/>
      <w:sz w:val="24"/>
    </w:rPr>
  </w:style>
  <w:style w:type="character" w:customStyle="1" w:styleId="42">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43">
    <w:name w:val="明显强调1"/>
    <w:basedOn w:val="22"/>
    <w:qFormat/>
    <w:uiPriority w:val="21"/>
    <w:rPr>
      <w:b/>
      <w:i/>
      <w:sz w:val="24"/>
      <w:szCs w:val="24"/>
      <w:u w:val="single"/>
    </w:rPr>
  </w:style>
  <w:style w:type="character" w:customStyle="1" w:styleId="44">
    <w:name w:val="不明显参考1"/>
    <w:basedOn w:val="22"/>
    <w:qFormat/>
    <w:uiPriority w:val="31"/>
    <w:rPr>
      <w:sz w:val="24"/>
      <w:szCs w:val="24"/>
      <w:u w:val="single"/>
    </w:rPr>
  </w:style>
  <w:style w:type="character" w:customStyle="1" w:styleId="45">
    <w:name w:val="明显参考1"/>
    <w:basedOn w:val="22"/>
    <w:qFormat/>
    <w:uiPriority w:val="32"/>
    <w:rPr>
      <w:b/>
      <w:sz w:val="24"/>
      <w:u w:val="single"/>
    </w:rPr>
  </w:style>
  <w:style w:type="character" w:customStyle="1" w:styleId="46">
    <w:name w:val="书籍标题1"/>
    <w:basedOn w:val="22"/>
    <w:qFormat/>
    <w:uiPriority w:val="33"/>
    <w:rPr>
      <w:rFonts w:asciiTheme="majorHAnsi" w:hAnsiTheme="majorHAnsi" w:eastAsiaTheme="majorEastAsia"/>
      <w:b/>
      <w:i/>
      <w:sz w:val="24"/>
      <w:szCs w:val="24"/>
    </w:rPr>
  </w:style>
  <w:style w:type="paragraph" w:customStyle="1" w:styleId="47">
    <w:name w:val="TOC 标题1"/>
    <w:basedOn w:val="2"/>
    <w:next w:val="1"/>
    <w:unhideWhenUsed/>
    <w:qFormat/>
    <w:uiPriority w:val="39"/>
    <w:pPr>
      <w:outlineLvl w:val="9"/>
    </w:pPr>
    <w:rPr>
      <w:lang w:eastAsia="en-US" w:bidi="en-US"/>
    </w:rPr>
  </w:style>
  <w:style w:type="character" w:customStyle="1" w:styleId="48">
    <w:name w:val="页眉 字符"/>
    <w:basedOn w:val="22"/>
    <w:link w:val="15"/>
    <w:qFormat/>
    <w:uiPriority w:val="99"/>
    <w:rPr>
      <w:rFonts w:ascii="Calibri" w:hAnsi="Calibri" w:eastAsia="宋体"/>
      <w:kern w:val="2"/>
      <w:sz w:val="18"/>
      <w:szCs w:val="18"/>
    </w:rPr>
  </w:style>
  <w:style w:type="character" w:customStyle="1" w:styleId="49">
    <w:name w:val="页脚 字符"/>
    <w:basedOn w:val="22"/>
    <w:link w:val="14"/>
    <w:qFormat/>
    <w:uiPriority w:val="99"/>
    <w:rPr>
      <w:rFonts w:ascii="Calibri" w:hAnsi="Calibri" w:eastAsia="宋体"/>
      <w:kern w:val="2"/>
      <w:sz w:val="18"/>
      <w:szCs w:val="18"/>
    </w:rPr>
  </w:style>
  <w:style w:type="character" w:customStyle="1" w:styleId="50">
    <w:name w:val="批注框文本 字符"/>
    <w:basedOn w:val="22"/>
    <w:link w:val="13"/>
    <w:semiHidden/>
    <w:qFormat/>
    <w:uiPriority w:val="99"/>
    <w:rPr>
      <w:rFonts w:ascii="Times New Roman" w:hAnsi="Times New Roman" w:eastAsia="宋体"/>
      <w:kern w:val="2"/>
      <w:sz w:val="18"/>
      <w:szCs w:val="18"/>
    </w:rPr>
  </w:style>
  <w:style w:type="paragraph" w:customStyle="1" w:styleId="51">
    <w:name w:val="Heading2"/>
    <w:next w:val="1"/>
    <w:qFormat/>
    <w:uiPriority w:val="0"/>
    <w:pPr>
      <w:keepNext/>
      <w:keepLines/>
      <w:widowControl w:val="0"/>
      <w:spacing w:before="260" w:after="260" w:line="413" w:lineRule="auto"/>
      <w:jc w:val="both"/>
    </w:pPr>
    <w:rPr>
      <w:rFonts w:ascii="Arial" w:hAnsi="Arial" w:eastAsia="黑体" w:cs="Times New Roman"/>
      <w:b/>
      <w:kern w:val="2"/>
      <w:sz w:val="32"/>
      <w:szCs w:val="22"/>
      <w:lang w:val="en-US" w:eastAsia="zh-CN" w:bidi="ar-SA"/>
    </w:rPr>
  </w:style>
  <w:style w:type="character" w:customStyle="1" w:styleId="52">
    <w:name w:val="fontstyle01"/>
    <w:qFormat/>
    <w:uiPriority w:val="0"/>
    <w:rPr>
      <w:rFonts w:ascii="仿宋_GB2312" w:hAnsi="仿宋_GB2312" w:eastAsia="仿宋_GB2312" w:cs="仿宋_GB2312"/>
      <w:color w:val="000000"/>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26</Pages>
  <Words>11664</Words>
  <Characters>12497</Characters>
  <Lines>50</Lines>
  <Paragraphs>14</Paragraphs>
  <TotalTime>19</TotalTime>
  <ScaleCrop>false</ScaleCrop>
  <LinksUpToDate>false</LinksUpToDate>
  <CharactersWithSpaces>12761</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2020-07-04T16:35:00Z</dcterms:created>
  <dc:creator>赵 恺（预算处）</dc:creator>
  <cp:lastModifiedBy>user</cp:lastModifiedBy>
  <cp:lastPrinted>2023-01-13T16:43:00Z</cp:lastPrinted>
  <dcterms:modified xsi:type="dcterms:W3CDTF">2024-10-15T13:24:41Z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0BD1E5F10FA640C9B2A2C404678F20D2</vt:lpwstr>
  </property>
  <property fmtid="{D5CDD505-2E9C-101B-9397-08002B2CF9AE}" pid="4" name="KSOSaveFontToCloudKey">
    <vt:lpwstr>0_btnclosed</vt:lpwstr>
  </property>
</Properties>
</file>