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附件4</w:t>
      </w:r>
    </w:p>
    <w:p>
      <w:pPr>
        <w:pStyle w:val="11"/>
        <w:rPr>
          <w:rFonts w:hint="default" w:ascii="Times New Roman" w:hAnsi="Times New Roman" w:eastAsia="方正小标宋_GBK" w:cs="Times New Roman"/>
          <w:b w:val="0"/>
          <w:bCs w:val="0"/>
          <w:snapToGrid w:val="0"/>
          <w:color w:val="auto"/>
          <w:spacing w:val="-5"/>
          <w:kern w:val="0"/>
          <w:sz w:val="40"/>
          <w:szCs w:val="40"/>
          <w:lang w:val="en-US" w:eastAsia="zh-CN"/>
        </w:rPr>
      </w:pPr>
      <w:bookmarkStart w:id="0" w:name="_GoBack"/>
      <w:bookmarkEnd w:id="0"/>
    </w:p>
    <w:p>
      <w:pPr>
        <w:pStyle w:val="10"/>
        <w:ind w:left="0" w:leftChars="0" w:firstLine="0" w:firstLineChars="0"/>
        <w:rPr>
          <w:rFonts w:hint="default" w:ascii="Times New Roman" w:hAnsi="Times New Roman" w:eastAsia="方正小标宋_GBK" w:cs="Times New Roman"/>
          <w:b w:val="0"/>
          <w:bCs w:val="0"/>
          <w:snapToGrid w:val="0"/>
          <w:color w:val="auto"/>
          <w:spacing w:val="-5"/>
          <w:kern w:val="0"/>
          <w:sz w:val="40"/>
          <w:szCs w:val="40"/>
          <w:lang w:val="en-US" w:eastAsia="zh-CN"/>
        </w:r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p>
    <w:p>
      <w:pPr>
        <w:widowControl/>
        <w:kinsoku w:val="0"/>
        <w:autoSpaceDE w:val="0"/>
        <w:autoSpaceDN w:val="0"/>
        <w:adjustRightInd w:val="0"/>
        <w:snapToGrid w:val="0"/>
        <w:jc w:val="center"/>
        <w:textAlignment w:val="baseline"/>
        <w:rPr>
          <w:rFonts w:hint="default" w:ascii="Times New Roman" w:hAnsi="Times New Roman" w:eastAsia="方正小标宋_GBK" w:cs="Times New Roman"/>
          <w:b w:val="0"/>
          <w:bCs w:val="0"/>
          <w:snapToGrid w:val="0"/>
          <w:color w:val="auto"/>
          <w:spacing w:val="-5"/>
          <w:kern w:val="0"/>
          <w:sz w:val="40"/>
          <w:szCs w:val="40"/>
          <w:lang w:val="en-US" w:eastAsia="zh-CN"/>
        </w:rPr>
      </w:pPr>
    </w:p>
    <w:p>
      <w:pPr>
        <w:jc w:val="center"/>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新疆</w:t>
      </w:r>
      <w:r>
        <w:rPr>
          <w:rFonts w:hint="default" w:ascii="Times New Roman" w:hAnsi="Times New Roman" w:eastAsia="宋体" w:cs="Times New Roman"/>
          <w:b/>
          <w:bCs/>
          <w:sz w:val="44"/>
          <w:szCs w:val="44"/>
        </w:rPr>
        <w:t>维吾尔自治区</w:t>
      </w:r>
      <w:r>
        <w:rPr>
          <w:rFonts w:hint="default" w:ascii="Times New Roman" w:hAnsi="Times New Roman" w:eastAsia="宋体" w:cs="Times New Roman"/>
          <w:b/>
          <w:bCs/>
          <w:sz w:val="44"/>
          <w:szCs w:val="44"/>
          <w:lang w:val="en-US" w:eastAsia="zh-CN"/>
        </w:rPr>
        <w:t>耕地建设与利用资金转移支付</w:t>
      </w:r>
      <w:r>
        <w:rPr>
          <w:rFonts w:hint="default" w:ascii="Times New Roman" w:hAnsi="Times New Roman" w:eastAsia="宋体" w:cs="Times New Roman"/>
          <w:b/>
          <w:bCs/>
          <w:sz w:val="44"/>
          <w:szCs w:val="44"/>
        </w:rPr>
        <w:t>2023年度</w:t>
      </w:r>
      <w:r>
        <w:rPr>
          <w:rFonts w:hint="default" w:ascii="Times New Roman" w:hAnsi="Times New Roman" w:eastAsia="宋体" w:cs="Times New Roman"/>
          <w:b/>
          <w:bCs/>
          <w:sz w:val="44"/>
          <w:szCs w:val="44"/>
          <w:lang w:val="en-US" w:eastAsia="zh-CN"/>
        </w:rPr>
        <w:t>绩效自评报告</w:t>
      </w:r>
    </w:p>
    <w:p>
      <w:pPr>
        <w:jc w:val="center"/>
        <w:rPr>
          <w:rFonts w:hint="default" w:ascii="Times New Roman" w:hAnsi="Times New Roman" w:eastAsia="宋体" w:cs="Times New Roman"/>
          <w:b/>
          <w:bCs/>
          <w:sz w:val="44"/>
          <w:szCs w:val="44"/>
          <w:lang w:val="en-US" w:eastAsia="zh-CN"/>
        </w:rPr>
      </w:pPr>
    </w:p>
    <w:p>
      <w:pPr>
        <w:spacing w:line="540" w:lineRule="exact"/>
        <w:jc w:val="center"/>
        <w:rPr>
          <w:rFonts w:hint="default" w:ascii="Times New Roman" w:hAnsi="Times New Roman" w:cs="Times New Roman"/>
          <w:b/>
          <w:bCs/>
          <w:kern w:val="0"/>
          <w:szCs w:val="30"/>
        </w:rPr>
      </w:pPr>
    </w:p>
    <w:p>
      <w:pPr>
        <w:spacing w:line="540" w:lineRule="exact"/>
        <w:jc w:val="center"/>
        <w:rPr>
          <w:rFonts w:hint="default" w:ascii="Times New Roman" w:hAnsi="Times New Roman" w:cs="Times New Roman"/>
          <w:kern w:val="0"/>
          <w:szCs w:val="30"/>
        </w:rPr>
      </w:pPr>
    </w:p>
    <w:p>
      <w:pPr>
        <w:spacing w:line="540" w:lineRule="exact"/>
        <w:jc w:val="center"/>
        <w:rPr>
          <w:rFonts w:hint="default" w:ascii="Times New Roman" w:hAnsi="Times New Roman" w:cs="Times New Roman"/>
          <w:kern w:val="0"/>
          <w:szCs w:val="30"/>
        </w:rPr>
      </w:pPr>
    </w:p>
    <w:p>
      <w:pPr>
        <w:pStyle w:val="11"/>
        <w:ind w:left="600" w:firstLine="600"/>
        <w:rPr>
          <w:rFonts w:hint="default" w:ascii="Times New Roman" w:hAnsi="Times New Roman" w:cs="Times New Roman"/>
          <w:kern w:val="0"/>
          <w:szCs w:val="30"/>
        </w:rPr>
      </w:pPr>
    </w:p>
    <w:p>
      <w:pPr>
        <w:pStyle w:val="11"/>
        <w:ind w:left="0" w:leftChars="0" w:firstLine="0" w:firstLineChars="0"/>
        <w:rPr>
          <w:rFonts w:hint="default" w:ascii="Times New Roman" w:hAnsi="Times New Roman" w:cs="Times New Roman"/>
          <w:kern w:val="0"/>
          <w:szCs w:val="30"/>
        </w:rPr>
      </w:pPr>
    </w:p>
    <w:p>
      <w:pPr>
        <w:spacing w:line="540" w:lineRule="exact"/>
        <w:jc w:val="both"/>
        <w:rPr>
          <w:rFonts w:hint="default" w:ascii="Times New Roman" w:hAnsi="Times New Roman" w:cs="Times New Roman"/>
          <w:kern w:val="0"/>
          <w:szCs w:val="30"/>
        </w:rPr>
      </w:pPr>
    </w:p>
    <w:p>
      <w:pPr>
        <w:spacing w:line="540" w:lineRule="exact"/>
        <w:rPr>
          <w:rFonts w:hint="default" w:ascii="Times New Roman" w:hAnsi="Times New Roman" w:cs="Times New Roman"/>
          <w:kern w:val="0"/>
          <w:szCs w:val="30"/>
        </w:rPr>
      </w:pPr>
    </w:p>
    <w:p>
      <w:pPr>
        <w:ind w:firstLine="642"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val="en-US" w:eastAsia="zh-CN"/>
        </w:rPr>
        <w:t>项目名称：</w:t>
      </w:r>
      <w:r>
        <w:rPr>
          <w:rFonts w:hint="default" w:ascii="Times New Roman" w:hAnsi="Times New Roman" w:eastAsia="仿宋_GB2312" w:cs="Times New Roman"/>
          <w:sz w:val="32"/>
          <w:szCs w:val="32"/>
        </w:rPr>
        <w:t>耕地建设与利用</w:t>
      </w:r>
      <w:r>
        <w:rPr>
          <w:rFonts w:hint="default" w:ascii="Times New Roman" w:hAnsi="Times New Roman" w:eastAsia="仿宋_GB2312" w:cs="Times New Roman"/>
          <w:sz w:val="32"/>
          <w:szCs w:val="32"/>
          <w:lang w:eastAsia="zh-CN"/>
        </w:rPr>
        <w:t>资金</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实施单位（公章）：</w:t>
      </w:r>
      <w:r>
        <w:rPr>
          <w:rFonts w:hint="default" w:ascii="Times New Roman" w:hAnsi="Times New Roman" w:eastAsia="仿宋_GB2312" w:cs="Times New Roman"/>
          <w:sz w:val="32"/>
          <w:szCs w:val="32"/>
        </w:rPr>
        <w:t>各地州市农业农村局</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主管部门（公章）：</w:t>
      </w:r>
      <w:r>
        <w:rPr>
          <w:rFonts w:hint="default" w:ascii="Times New Roman" w:hAnsi="Times New Roman" w:eastAsia="仿宋_GB2312" w:cs="Times New Roman"/>
          <w:sz w:val="32"/>
          <w:szCs w:val="32"/>
        </w:rPr>
        <w:t>自治区农业农村厅</w:t>
      </w:r>
    </w:p>
    <w:p>
      <w:pPr>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项目负责人（签章）：</w:t>
      </w:r>
      <w:r>
        <w:rPr>
          <w:rFonts w:hint="default" w:ascii="Times New Roman" w:hAnsi="Times New Roman" w:eastAsia="仿宋_GB2312" w:cs="Times New Roman"/>
          <w:sz w:val="32"/>
          <w:szCs w:val="32"/>
          <w:lang w:val="en-US" w:eastAsia="zh-CN"/>
        </w:rPr>
        <w:t>张明义、汤义武</w:t>
      </w:r>
    </w:p>
    <w:p>
      <w:pPr>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sz w:val="32"/>
          <w:szCs w:val="32"/>
          <w:lang w:val="en-US" w:eastAsia="zh-CN"/>
        </w:rPr>
        <w:t>填报时间：</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rPr>
          <w:rFonts w:hint="default" w:ascii="Times New Roman" w:hAnsi="Times New Roman" w:cs="Times New Roman"/>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6"/>
          <w:szCs w:val="36"/>
        </w:rPr>
      </w:pPr>
      <w:r>
        <w:rPr>
          <w:rFonts w:hint="default" w:ascii="Times New Roman" w:hAnsi="Times New Roman" w:eastAsia="方正小标宋简体" w:cs="Times New Roman"/>
          <w:b w:val="0"/>
          <w:bCs w:val="0"/>
          <w:sz w:val="36"/>
          <w:szCs w:val="36"/>
        </w:rPr>
        <w:t>新疆维吾尔自治区耕地建设与利用</w:t>
      </w:r>
      <w:r>
        <w:rPr>
          <w:rFonts w:hint="default" w:ascii="Times New Roman" w:hAnsi="Times New Roman" w:eastAsia="方正小标宋简体" w:cs="Times New Roman"/>
          <w:b w:val="0"/>
          <w:bCs w:val="0"/>
          <w:sz w:val="36"/>
          <w:szCs w:val="36"/>
          <w:lang w:eastAsia="zh-CN"/>
        </w:rPr>
        <w:t>资金</w:t>
      </w:r>
      <w:r>
        <w:rPr>
          <w:rFonts w:hint="default" w:ascii="Times New Roman" w:hAnsi="Times New Roman" w:eastAsia="方正小标宋简体" w:cs="Times New Roman"/>
          <w:b w:val="0"/>
          <w:bCs w:val="0"/>
          <w:sz w:val="36"/>
          <w:szCs w:val="36"/>
        </w:rPr>
        <w:t>转移支付2023年度绩效自评报告</w:t>
      </w:r>
    </w:p>
    <w:p>
      <w:pPr>
        <w:spacing w:line="480" w:lineRule="auto"/>
        <w:jc w:val="center"/>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cs="Times New Roman"/>
          <w:bCs/>
          <w:sz w:val="32"/>
          <w:szCs w:val="32"/>
        </w:rPr>
        <w:t>贯彻落实党中央全面实施预算绩效管理决策部署，根据《财政部关于开展2023年度中央对地方转移支付预算执行情况绩效自评工作的通知》（财监〔202</w:t>
      </w:r>
      <w:r>
        <w:rPr>
          <w:rFonts w:hint="default" w:ascii="Times New Roman" w:hAnsi="Times New Roman" w:cs="Times New Roman"/>
          <w:bCs/>
          <w:sz w:val="32"/>
          <w:szCs w:val="32"/>
          <w:lang w:val="en-US" w:eastAsia="zh-CN"/>
        </w:rPr>
        <w:t>4</w:t>
      </w:r>
      <w:r>
        <w:rPr>
          <w:rFonts w:hint="default" w:ascii="Times New Roman" w:hAnsi="Times New Roman" w:cs="Times New Roman"/>
          <w:bCs/>
          <w:sz w:val="32"/>
          <w:szCs w:val="32"/>
        </w:rPr>
        <w:t>〕</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号），自治区农业农村</w:t>
      </w:r>
      <w:r>
        <w:rPr>
          <w:rFonts w:hint="default" w:ascii="Times New Roman" w:hAnsi="Times New Roman" w:cs="Times New Roman"/>
          <w:bCs/>
          <w:sz w:val="32"/>
          <w:szCs w:val="32"/>
          <w:lang w:eastAsia="zh-CN"/>
        </w:rPr>
        <w:t>厅</w:t>
      </w:r>
      <w:r>
        <w:rPr>
          <w:rFonts w:hint="default" w:ascii="Times New Roman" w:hAnsi="Times New Roman" w:cs="Times New Roman"/>
          <w:bCs/>
          <w:sz w:val="32"/>
          <w:szCs w:val="32"/>
        </w:rPr>
        <w:t>高度重视，严格按规范要求组织开展了202</w:t>
      </w:r>
      <w:r>
        <w:rPr>
          <w:rFonts w:hint="default" w:ascii="Times New Roman" w:hAnsi="Times New Roman" w:cs="Times New Roman"/>
          <w:bCs/>
          <w:sz w:val="32"/>
          <w:szCs w:val="32"/>
          <w:lang w:val="en-US" w:eastAsia="zh-CN"/>
        </w:rPr>
        <w:t>3</w:t>
      </w:r>
      <w:r>
        <w:rPr>
          <w:rFonts w:hint="default" w:ascii="Times New Roman" w:hAnsi="Times New Roman" w:cs="Times New Roman"/>
          <w:bCs/>
          <w:sz w:val="32"/>
          <w:szCs w:val="32"/>
        </w:rPr>
        <w:t>年度新疆</w:t>
      </w:r>
      <w:r>
        <w:rPr>
          <w:rFonts w:hint="default" w:ascii="Times New Roman" w:hAnsi="Times New Roman" w:cs="Times New Roman"/>
          <w:bCs/>
          <w:sz w:val="32"/>
          <w:szCs w:val="32"/>
          <w:lang w:val="en-US" w:eastAsia="zh-CN"/>
        </w:rPr>
        <w:t>耕地建设与利用</w:t>
      </w:r>
      <w:r>
        <w:rPr>
          <w:rFonts w:hint="default" w:ascii="Times New Roman" w:hAnsi="Times New Roman" w:cs="Times New Roman"/>
          <w:bCs/>
          <w:sz w:val="32"/>
          <w:szCs w:val="32"/>
        </w:rPr>
        <w:t>中央补助资金绩效自评工作，现将自评情况报告如下：</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textAlignment w:val="auto"/>
        <w:outlineLvl w:val="0"/>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（一）中央下达</w:t>
      </w:r>
      <w:r>
        <w:rPr>
          <w:rFonts w:hint="default" w:ascii="Times New Roman" w:hAnsi="Times New Roman" w:eastAsia="楷体" w:cs="Times New Roman"/>
          <w:b/>
          <w:bCs/>
          <w:sz w:val="32"/>
          <w:szCs w:val="32"/>
          <w:lang w:val="en-US" w:eastAsia="zh-CN"/>
        </w:rPr>
        <w:t>耕地建设与利用</w:t>
      </w:r>
      <w:r>
        <w:rPr>
          <w:rFonts w:hint="default" w:ascii="Times New Roman" w:hAnsi="Times New Roman" w:eastAsia="楷体" w:cs="Times New Roman"/>
          <w:b/>
          <w:bCs/>
          <w:sz w:val="32"/>
          <w:szCs w:val="32"/>
        </w:rPr>
        <w:t>专项转移支付预算和绩效目标情况</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cs="Times New Roman"/>
          <w:b/>
          <w:bCs/>
          <w:sz w:val="32"/>
          <w:szCs w:val="32"/>
        </w:rPr>
        <w:t>1</w:t>
      </w:r>
      <w:r>
        <w:rPr>
          <w:rFonts w:hint="eastAsia" w:cs="Times New Roman"/>
          <w:b/>
          <w:bCs/>
          <w:sz w:val="32"/>
          <w:szCs w:val="32"/>
          <w:lang w:val="en-US" w:eastAsia="zh-CN"/>
        </w:rPr>
        <w:t>.</w:t>
      </w:r>
      <w:r>
        <w:rPr>
          <w:rFonts w:hint="default" w:ascii="Times New Roman" w:hAnsi="Times New Roman" w:cs="Times New Roman"/>
          <w:b/>
          <w:bCs/>
          <w:sz w:val="32"/>
          <w:szCs w:val="32"/>
        </w:rPr>
        <w:t>下达预算情况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rPr>
        <w:t>年度，财政部</w:t>
      </w:r>
      <w:r>
        <w:rPr>
          <w:rFonts w:hint="default" w:ascii="Times New Roman" w:hAnsi="Times New Roman" w:cs="Times New Roman"/>
          <w:color w:val="auto"/>
          <w:sz w:val="32"/>
          <w:szCs w:val="32"/>
          <w:lang w:val="en-US" w:eastAsia="zh-CN"/>
        </w:rPr>
        <w:t>下达我区耕地建设与利用资金810173万元</w:t>
      </w:r>
      <w:r>
        <w:rPr>
          <w:rFonts w:hint="default" w:ascii="Times New Roman" w:hAnsi="Times New Roman" w:cs="Times New Roman"/>
          <w:color w:val="auto"/>
          <w:sz w:val="32"/>
          <w:szCs w:val="32"/>
        </w:rPr>
        <w:t>，用于</w:t>
      </w:r>
      <w:r>
        <w:rPr>
          <w:rFonts w:hint="default" w:ascii="Times New Roman" w:hAnsi="Times New Roman" w:cs="Times New Roman"/>
          <w:color w:val="auto"/>
          <w:sz w:val="32"/>
          <w:szCs w:val="32"/>
          <w:lang w:val="en-US" w:eastAsia="zh-CN"/>
        </w:rPr>
        <w:t>耕地建设与利用，详细如下：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auto"/>
          <w:lang w:val="en-US" w:eastAsia="zh-CN"/>
        </w:rPr>
      </w:pPr>
      <w:r>
        <w:rPr>
          <w:rFonts w:hint="default" w:ascii="Times New Roman" w:hAnsi="Times New Roman" w:cs="Times New Roman"/>
          <w:color w:val="auto"/>
          <w:sz w:val="32"/>
          <w:szCs w:val="32"/>
          <w:lang w:val="en-US" w:eastAsia="zh-CN"/>
        </w:rPr>
        <w:t>2022年11月《财政部关于提前下达2023年农业相关转移支付资金预算的通知》（财农〔2022〕82号）下达292329万元。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2022年11月《财政部关于提前下达2023年农田建设补助资金预算的通知》（财农〔2022〕89号）下达178157万元。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color w:val="auto"/>
          <w:sz w:val="32"/>
          <w:szCs w:val="32"/>
          <w:lang w:val="en-US" w:eastAsia="zh-CN"/>
        </w:rPr>
        <w:t>2023年4月《财政部关于下达2023年耕地</w:t>
      </w:r>
      <w:r>
        <w:rPr>
          <w:rFonts w:hint="default" w:ascii="Times New Roman" w:hAnsi="Times New Roman" w:cs="Times New Roman"/>
          <w:sz w:val="32"/>
          <w:szCs w:val="32"/>
          <w:lang w:val="en-US" w:eastAsia="zh-CN"/>
        </w:rPr>
        <w:t>建设与利用资金预算的通知》（财农〔2023〕19号）下达339687万元。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2"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cs="Times New Roman"/>
          <w:b/>
          <w:bCs/>
          <w:sz w:val="32"/>
          <w:szCs w:val="32"/>
          <w:highlight w:val="none"/>
        </w:rPr>
        <w:t>2</w:t>
      </w:r>
      <w:r>
        <w:rPr>
          <w:rFonts w:hint="eastAsia" w:cs="Times New Roman"/>
          <w:b/>
          <w:bCs/>
          <w:sz w:val="32"/>
          <w:szCs w:val="32"/>
          <w:highlight w:val="none"/>
          <w:lang w:val="en-US" w:eastAsia="zh-CN"/>
        </w:rPr>
        <w:t>.</w:t>
      </w:r>
      <w:r>
        <w:rPr>
          <w:rFonts w:hint="default" w:ascii="Times New Roman" w:hAnsi="Times New Roman" w:cs="Times New Roman"/>
          <w:b/>
          <w:bCs/>
          <w:sz w:val="32"/>
          <w:szCs w:val="32"/>
          <w:highlight w:val="none"/>
        </w:rPr>
        <w:t>下达绩效目标情况</w:t>
      </w:r>
    </w:p>
    <w:p>
      <w:pPr>
        <w:pStyle w:val="11"/>
        <w:keepNext w:val="0"/>
        <w:keepLines w:val="0"/>
        <w:pageBreakBefore w:val="0"/>
        <w:widowControl w:val="0"/>
        <w:kinsoku/>
        <w:wordWrap/>
        <w:overflowPunct/>
        <w:topLinePunct w:val="0"/>
        <w:autoSpaceDE/>
        <w:autoSpaceDN/>
        <w:bidi w:val="0"/>
        <w:adjustRightInd/>
        <w:snapToGrid/>
        <w:spacing w:after="0" w:line="500" w:lineRule="exact"/>
        <w:ind w:left="0" w:leftChars="0" w:firstLine="640" w:firstLineChars="200"/>
        <w:textAlignment w:val="auto"/>
        <w:rPr>
          <w:rFonts w:hint="default" w:ascii="Times New Roman" w:hAnsi="Times New Roman" w:cs="Times New Roman"/>
          <w:color w:val="000000"/>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cs="Times New Roman"/>
          <w:sz w:val="32"/>
          <w:szCs w:val="32"/>
          <w:highlight w:val="none"/>
          <w:lang w:val="en-US" w:eastAsia="zh-CN"/>
        </w:rPr>
        <w:t>中央</w:t>
      </w:r>
      <w:r>
        <w:rPr>
          <w:rFonts w:hint="default" w:ascii="Times New Roman" w:hAnsi="Times New Roman" w:cs="Times New Roman"/>
          <w:sz w:val="32"/>
          <w:szCs w:val="32"/>
          <w:highlight w:val="none"/>
        </w:rPr>
        <w:t>随文下达新疆区域绩效目标，情况详见下表</w:t>
      </w:r>
      <w:r>
        <w:rPr>
          <w:rFonts w:hint="default" w:ascii="Times New Roman" w:hAnsi="Times New Roman" w:cs="Times New Roman"/>
          <w:color w:val="000000"/>
          <w:highlight w:val="none"/>
        </w:rPr>
        <w:t>：</w:t>
      </w:r>
    </w:p>
    <w:p>
      <w:pPr>
        <w:keepNext w:val="0"/>
        <w:keepLines w:val="0"/>
        <w:pageBreakBefore w:val="0"/>
        <w:widowControl w:val="0"/>
        <w:kinsoku/>
        <w:wordWrap/>
        <w:overflowPunct/>
        <w:topLinePunct w:val="0"/>
        <w:autoSpaceDE/>
        <w:autoSpaceDN/>
        <w:bidi w:val="0"/>
        <w:adjustRightInd/>
        <w:snapToGrid/>
        <w:spacing w:before="64" w:line="219" w:lineRule="auto"/>
        <w:ind w:left="0"/>
        <w:jc w:val="center"/>
        <w:textAlignment w:val="auto"/>
        <w:outlineLvl w:val="0"/>
        <w:rPr>
          <w:rFonts w:hint="default" w:ascii="Times New Roman" w:hAnsi="Times New Roman" w:eastAsia="宋体" w:cs="Times New Roman"/>
          <w:b/>
          <w:bCs/>
          <w:spacing w:val="-6"/>
          <w:sz w:val="24"/>
          <w:szCs w:val="24"/>
        </w:rPr>
      </w:pPr>
      <w:r>
        <w:rPr>
          <w:rFonts w:hint="default" w:ascii="Times New Roman" w:hAnsi="Times New Roman" w:eastAsia="宋体" w:cs="Times New Roman"/>
          <w:b/>
          <w:bCs/>
          <w:spacing w:val="-6"/>
          <w:sz w:val="24"/>
          <w:szCs w:val="24"/>
        </w:rPr>
        <w:t>耕地建设与利用资金区域绩效目标表</w:t>
      </w:r>
    </w:p>
    <w:tbl>
      <w:tblPr>
        <w:tblStyle w:val="14"/>
        <w:tblW w:w="535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3"/>
        <w:gridCol w:w="1096"/>
        <w:gridCol w:w="1492"/>
        <w:gridCol w:w="3195"/>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7" w:hRule="atLeast"/>
        </w:trPr>
        <w:tc>
          <w:tcPr>
            <w:tcW w:w="3623" w:type="pct"/>
            <w:gridSpan w:val="4"/>
            <w:vAlign w:val="center"/>
          </w:tcPr>
          <w:p>
            <w:pPr>
              <w:keepNext w:val="0"/>
              <w:keepLines w:val="0"/>
              <w:pageBreakBefore w:val="0"/>
              <w:widowControl w:val="0"/>
              <w:kinsoku/>
              <w:wordWrap/>
              <w:overflowPunct/>
              <w:topLinePunct w:val="0"/>
              <w:autoSpaceDE/>
              <w:autoSpaceDN/>
              <w:bidi w:val="0"/>
              <w:adjustRightInd/>
              <w:snapToGrid/>
              <w:spacing w:before="32" w:line="0" w:lineRule="atLeast"/>
              <w:ind w:left="3124"/>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资金名称</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0"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耕地建设与利用资金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623" w:type="pct"/>
            <w:gridSpan w:val="4"/>
            <w:vAlign w:val="center"/>
          </w:tcPr>
          <w:p>
            <w:pPr>
              <w:keepNext w:val="0"/>
              <w:keepLines w:val="0"/>
              <w:pageBreakBefore w:val="0"/>
              <w:widowControl w:val="0"/>
              <w:kinsoku/>
              <w:wordWrap/>
              <w:overflowPunct/>
              <w:topLinePunct w:val="0"/>
              <w:autoSpaceDE/>
              <w:autoSpaceDN/>
              <w:bidi w:val="0"/>
              <w:adjustRightInd/>
              <w:snapToGrid/>
              <w:spacing w:before="26" w:line="0" w:lineRule="atLeast"/>
              <w:ind w:left="2964"/>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中央主管部门</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26"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财政部、农业农村部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623" w:type="pct"/>
            <w:gridSpan w:val="4"/>
            <w:vAlign w:val="center"/>
          </w:tcPr>
          <w:p>
            <w:pPr>
              <w:keepNext w:val="0"/>
              <w:keepLines w:val="0"/>
              <w:pageBreakBefore w:val="0"/>
              <w:widowControl w:val="0"/>
              <w:kinsoku/>
              <w:wordWrap/>
              <w:overflowPunct/>
              <w:topLinePunct w:val="0"/>
              <w:autoSpaceDE/>
              <w:autoSpaceDN/>
              <w:bidi w:val="0"/>
              <w:adjustRightInd/>
              <w:snapToGrid/>
              <w:spacing w:before="36" w:line="0" w:lineRule="atLeast"/>
              <w:ind w:left="2964"/>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省级财政部门</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7"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新疆维吾尔自治区财政厅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623" w:type="pct"/>
            <w:gridSpan w:val="4"/>
            <w:vAlign w:val="center"/>
          </w:tcPr>
          <w:p>
            <w:pPr>
              <w:keepNext w:val="0"/>
              <w:keepLines w:val="0"/>
              <w:pageBreakBefore w:val="0"/>
              <w:widowControl w:val="0"/>
              <w:kinsoku/>
              <w:wordWrap/>
              <w:overflowPunct/>
              <w:topLinePunct w:val="0"/>
              <w:autoSpaceDE/>
              <w:autoSpaceDN/>
              <w:bidi w:val="0"/>
              <w:adjustRightInd/>
              <w:snapToGrid/>
              <w:spacing w:before="26" w:line="0" w:lineRule="atLeast"/>
              <w:ind w:left="2964"/>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省级主管部门</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25"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新疆维吾尔自治区农业农村厅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267"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资金情况</w:t>
            </w:r>
          </w:p>
        </w:tc>
        <w:tc>
          <w:tcPr>
            <w:tcW w:w="3245" w:type="pct"/>
            <w:gridSpan w:val="3"/>
            <w:vAlign w:val="center"/>
          </w:tcPr>
          <w:p>
            <w:pPr>
              <w:keepNext w:val="0"/>
              <w:keepLines w:val="0"/>
              <w:pageBreakBefore w:val="0"/>
              <w:widowControl w:val="0"/>
              <w:kinsoku/>
              <w:wordWrap/>
              <w:overflowPunct/>
              <w:topLinePunct w:val="0"/>
              <w:autoSpaceDE/>
              <w:autoSpaceDN/>
              <w:bidi w:val="0"/>
              <w:adjustRightInd/>
              <w:snapToGrid/>
              <w:spacing w:before="26" w:line="0" w:lineRule="atLeast"/>
              <w:ind w:left="2520"/>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4"/>
                <w:sz w:val="16"/>
                <w:szCs w:val="16"/>
              </w:rPr>
              <w:t>年度金额</w:t>
            </w:r>
            <w:r>
              <w:rPr>
                <w:rFonts w:hint="eastAsia" w:ascii="Times New Roman" w:hAnsi="Times New Roman" w:eastAsia="宋体" w:cs="Times New Roman"/>
                <w:spacing w:val="4"/>
                <w:sz w:val="16"/>
                <w:szCs w:val="16"/>
                <w:lang w:eastAsia="zh-CN"/>
              </w:rPr>
              <w:t>（</w:t>
            </w:r>
            <w:r>
              <w:rPr>
                <w:rFonts w:hint="default" w:ascii="Times New Roman" w:hAnsi="Times New Roman" w:eastAsia="宋体" w:cs="Times New Roman"/>
                <w:spacing w:val="4"/>
                <w:sz w:val="16"/>
                <w:szCs w:val="16"/>
              </w:rPr>
              <w:t>万元</w:t>
            </w:r>
            <w:r>
              <w:rPr>
                <w:rFonts w:hint="eastAsia" w:ascii="Times New Roman" w:hAnsi="Times New Roman" w:eastAsia="宋体" w:cs="Times New Roman"/>
                <w:spacing w:val="4"/>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67" w:line="0" w:lineRule="atLeast"/>
              <w:ind w:left="797"/>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810173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3245" w:type="pct"/>
            <w:gridSpan w:val="3"/>
            <w:vAlign w:val="center"/>
          </w:tcPr>
          <w:p>
            <w:pPr>
              <w:keepNext w:val="0"/>
              <w:keepLines w:val="0"/>
              <w:pageBreakBefore w:val="0"/>
              <w:widowControl w:val="0"/>
              <w:kinsoku/>
              <w:wordWrap/>
              <w:overflowPunct/>
              <w:topLinePunct w:val="0"/>
              <w:autoSpaceDE/>
              <w:autoSpaceDN/>
              <w:bidi w:val="0"/>
              <w:adjustRightInd/>
              <w:snapToGrid/>
              <w:spacing w:before="37" w:line="0" w:lineRule="atLeast"/>
              <w:ind w:left="2520"/>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其中：中央补助</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77" w:line="0" w:lineRule="atLeast"/>
              <w:ind w:left="797"/>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810173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3245" w:type="pct"/>
            <w:gridSpan w:val="3"/>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2760"/>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地方资金</w:t>
            </w:r>
          </w:p>
        </w:tc>
        <w:tc>
          <w:tcPr>
            <w:tcW w:w="1376" w:type="pct"/>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Align w:val="center"/>
          </w:tcPr>
          <w:p>
            <w:pPr>
              <w:keepNext w:val="0"/>
              <w:keepLines w:val="0"/>
              <w:pageBreakBefore w:val="0"/>
              <w:widowControl w:val="0"/>
              <w:kinsoku/>
              <w:wordWrap/>
              <w:overflowPunct/>
              <w:topLinePunct w:val="0"/>
              <w:autoSpaceDE/>
              <w:autoSpaceDN/>
              <w:bidi w:val="0"/>
              <w:adjustRightInd/>
              <w:snapToGrid/>
              <w:spacing w:before="26" w:line="0" w:lineRule="atLeast"/>
              <w:ind w:left="34"/>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年度目标</w:t>
            </w:r>
          </w:p>
        </w:tc>
        <w:tc>
          <w:tcPr>
            <w:tcW w:w="4621" w:type="pct"/>
            <w:gridSpan w:val="4"/>
            <w:vAlign w:val="center"/>
          </w:tcPr>
          <w:p>
            <w:pPr>
              <w:keepNext w:val="0"/>
              <w:keepLines w:val="0"/>
              <w:pageBreakBefore w:val="0"/>
              <w:widowControl w:val="0"/>
              <w:kinsoku/>
              <w:wordWrap/>
              <w:overflowPunct/>
              <w:topLinePunct w:val="0"/>
              <w:autoSpaceDE/>
              <w:autoSpaceDN/>
              <w:bidi w:val="0"/>
              <w:adjustRightInd/>
              <w:snapToGrid/>
              <w:spacing w:before="26" w:line="0" w:lineRule="atLeast"/>
              <w:ind w:left="2010"/>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按照相关规划或实施方案，结合地方实际开展耕地建设与利用。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52" w:line="0" w:lineRule="atLeast"/>
              <w:ind w:left="34"/>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绩效目标</w:t>
            </w:r>
          </w:p>
        </w:tc>
        <w:tc>
          <w:tcPr>
            <w:tcW w:w="615" w:type="pct"/>
            <w:vAlign w:val="center"/>
          </w:tcPr>
          <w:p>
            <w:pPr>
              <w:keepNext w:val="0"/>
              <w:keepLines w:val="0"/>
              <w:pageBreakBefore w:val="0"/>
              <w:widowControl w:val="0"/>
              <w:kinsoku/>
              <w:wordWrap/>
              <w:overflowPunct/>
              <w:topLinePunct w:val="0"/>
              <w:autoSpaceDE/>
              <w:autoSpaceDN/>
              <w:bidi w:val="0"/>
              <w:adjustRightInd/>
              <w:snapToGrid/>
              <w:spacing w:before="24" w:line="0" w:lineRule="atLeast"/>
              <w:jc w:val="center"/>
              <w:textAlignment w:val="auto"/>
              <w:rPr>
                <w:rFonts w:hint="default" w:ascii="Times New Roman" w:hAnsi="Times New Roman" w:eastAsia="宋体" w:cs="Times New Roman"/>
                <w:b/>
                <w:bCs/>
                <w:spacing w:val="-4"/>
                <w:sz w:val="16"/>
                <w:szCs w:val="16"/>
                <w:lang w:val="en-US" w:eastAsia="zh-CN"/>
              </w:rPr>
            </w:pPr>
            <w:r>
              <w:rPr>
                <w:rFonts w:hint="default" w:ascii="Times New Roman" w:hAnsi="Times New Roman" w:eastAsia="宋体" w:cs="Times New Roman"/>
                <w:b/>
                <w:bCs/>
                <w:spacing w:val="-4"/>
                <w:sz w:val="16"/>
                <w:szCs w:val="16"/>
                <w:lang w:val="en-US" w:eastAsia="zh-CN"/>
              </w:rPr>
              <w:t>一级指标</w:t>
            </w:r>
          </w:p>
        </w:tc>
        <w:tc>
          <w:tcPr>
            <w:tcW w:w="837" w:type="pct"/>
            <w:vAlign w:val="center"/>
          </w:tcPr>
          <w:p>
            <w:pPr>
              <w:keepNext w:val="0"/>
              <w:keepLines w:val="0"/>
              <w:pageBreakBefore w:val="0"/>
              <w:widowControl w:val="0"/>
              <w:kinsoku/>
              <w:wordWrap/>
              <w:overflowPunct/>
              <w:topLinePunct w:val="0"/>
              <w:autoSpaceDE/>
              <w:autoSpaceDN/>
              <w:bidi w:val="0"/>
              <w:adjustRightInd/>
              <w:snapToGrid/>
              <w:spacing w:before="24" w:line="0" w:lineRule="atLeast"/>
              <w:jc w:val="center"/>
              <w:textAlignment w:val="auto"/>
              <w:rPr>
                <w:rFonts w:hint="default" w:ascii="Times New Roman" w:hAnsi="Times New Roman" w:eastAsia="宋体" w:cs="Times New Roman"/>
                <w:b/>
                <w:bCs/>
                <w:spacing w:val="-4"/>
                <w:sz w:val="16"/>
                <w:szCs w:val="16"/>
              </w:rPr>
            </w:pPr>
            <w:r>
              <w:rPr>
                <w:rFonts w:hint="default" w:ascii="Times New Roman" w:hAnsi="Times New Roman" w:eastAsia="宋体" w:cs="Times New Roman"/>
                <w:b/>
                <w:bCs/>
                <w:spacing w:val="-4"/>
                <w:sz w:val="16"/>
                <w:szCs w:val="16"/>
              </w:rPr>
              <w:t>二级指标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4"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b/>
                <w:bCs/>
                <w:spacing w:val="-3"/>
                <w:sz w:val="16"/>
                <w:szCs w:val="16"/>
              </w:rPr>
              <w:t>三级指标</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24"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b/>
                <w:bCs/>
                <w:spacing w:val="-4"/>
                <w:sz w:val="16"/>
                <w:szCs w:val="1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52" w:line="0" w:lineRule="atLeast"/>
              <w:ind w:left="30"/>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产出指标</w:t>
            </w:r>
          </w:p>
        </w:tc>
        <w:tc>
          <w:tcPr>
            <w:tcW w:w="837"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5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数量指标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7"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东北黑土地保护利用面积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6"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酸化耕地治理面积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7"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补充耕地质量评定试点县数量</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7"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外业调查采样和内业测试化验点位数</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个</w:t>
            </w:r>
            <w:r>
              <w:rPr>
                <w:rFonts w:hint="eastAsia" w:ascii="Times New Roman" w:hAnsi="Times New Roman" w:eastAsia="宋体" w:cs="Times New Roman"/>
                <w:spacing w:val="1"/>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68"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18942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黑土地保护利用试点县数量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376" w:type="pct"/>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1"/>
              </w:rPr>
            </w:pPr>
            <w:r>
              <w:rPr>
                <w:rFonts w:hint="default" w:ascii="Times New Roman" w:hAnsi="Times New Roman" w:eastAsia="微软雅黑" w:cs="Times New Roman"/>
                <w:sz w:val="18"/>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测土配方施肥技术推广面积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万亩次</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79"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根瘤菌剂等微生物菌剂施用面积</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万亩</w:t>
            </w:r>
            <w:r>
              <w:rPr>
                <w:rFonts w:hint="eastAsia" w:ascii="Times New Roman" w:hAnsi="Times New Roman" w:eastAsia="宋体" w:cs="Times New Roman"/>
                <w:spacing w:val="1"/>
                <w:sz w:val="16"/>
                <w:szCs w:val="16"/>
                <w:lang w:eastAsia="zh-CN"/>
              </w:rPr>
              <w:t>）</w:t>
            </w:r>
          </w:p>
        </w:tc>
        <w:tc>
          <w:tcPr>
            <w:tcW w:w="1376" w:type="pct"/>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1"/>
              </w:rPr>
            </w:pPr>
            <w:r>
              <w:rPr>
                <w:rFonts w:hint="default" w:ascii="Times New Roman" w:hAnsi="Times New Roman" w:eastAsia="微软雅黑" w:cs="Times New Roman"/>
                <w:sz w:val="18"/>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化肥减量增效“三新”配套示范面积</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万亩</w:t>
            </w:r>
            <w:r>
              <w:rPr>
                <w:rFonts w:hint="eastAsia" w:ascii="Times New Roman" w:hAnsi="Times New Roman" w:eastAsia="宋体" w:cs="Times New Roman"/>
                <w:spacing w:val="1"/>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69"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耕地轮作试点面积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69"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7"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耕地休耕试点面积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69"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秸秆覆盖免</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少</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耕播种作业任务面积</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万亩</w:t>
            </w:r>
            <w:r>
              <w:rPr>
                <w:rFonts w:hint="eastAsia" w:ascii="Times New Roman" w:hAnsi="Times New Roman" w:eastAsia="宋体" w:cs="Times New Roman"/>
                <w:spacing w:val="1"/>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9"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深松</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翻</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作业面积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0"/>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8"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建设保护性耕作高标准应用基地数量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个</w:t>
            </w:r>
            <w:r>
              <w:rPr>
                <w:rFonts w:hint="eastAsia" w:ascii="Times New Roman" w:hAnsi="Times New Roman" w:eastAsia="宋体" w:cs="Times New Roman"/>
                <w:spacing w:val="1"/>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9"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生产障碍耕地治理面积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29"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新建高标准农田面积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71"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0"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改造提升高标准农田面积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73"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0"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新增高效节水灌溉面积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73"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0"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开展盐碱地综合利用试点</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26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质量指标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0"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秸秆覆盖免</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少</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耕播种作业信息化监测占比</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4"/>
              </w:rPr>
            </w:pPr>
            <w:r>
              <w:rPr>
                <w:rFonts w:hint="default" w:ascii="Times New Roman" w:hAnsi="Times New Roman" w:eastAsia="微软雅黑" w:cs="Times New Roman"/>
                <w:sz w:val="18"/>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1"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高标准农田建设项目验收合格率</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46"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耕地质量</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逐步提升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153"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3"/>
                <w:sz w:val="16"/>
                <w:szCs w:val="16"/>
              </w:rPr>
              <w:t>时效指标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耕地地力保护补贴发放时限</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2023年6月30日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高标准农田建设任务完成及时性</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1—2年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5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效益指标</w:t>
            </w:r>
          </w:p>
        </w:tc>
        <w:tc>
          <w:tcPr>
            <w:tcW w:w="837"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5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社会效益指标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粮食综合生产能力</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明显提升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2"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资金使用重大违规违纪问题</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3"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133" w:line="0" w:lineRule="atLeast"/>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田间道路通达度</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41"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平原区达到100%</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丘陵区≥</w:t>
            </w:r>
            <w:r>
              <w:rPr>
                <w:rFonts w:hint="default" w:ascii="Times New Roman" w:hAnsi="Times New Roman" w:eastAsia="宋体" w:cs="Times New Roman"/>
                <w:spacing w:val="-5"/>
                <w:position w:val="-2"/>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Align w:val="center"/>
          </w:tcPr>
          <w:p>
            <w:pPr>
              <w:keepNext w:val="0"/>
              <w:keepLines w:val="0"/>
              <w:pageBreakBefore w:val="0"/>
              <w:widowControl w:val="0"/>
              <w:kinsoku/>
              <w:wordWrap/>
              <w:overflowPunct/>
              <w:topLinePunct w:val="0"/>
              <w:autoSpaceDE/>
              <w:autoSpaceDN/>
              <w:bidi w:val="0"/>
              <w:adjustRightInd/>
              <w:snapToGrid/>
              <w:spacing w:before="34" w:line="0" w:lineRule="atLeast"/>
              <w:ind w:left="91"/>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生态效益指标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3"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项目区受污染耕地安全利用率</w:t>
            </w:r>
          </w:p>
        </w:tc>
        <w:tc>
          <w:tcPr>
            <w:tcW w:w="1376" w:type="pct"/>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18"/>
                <w:szCs w:val="21"/>
              </w:rPr>
            </w:pPr>
            <w:r>
              <w:rPr>
                <w:rFonts w:hint="default" w:ascii="Times New Roman" w:hAnsi="Times New Roman" w:eastAsia="微软雅黑" w:cs="Times New Roman"/>
                <w:sz w:val="18"/>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Align w:val="center"/>
          </w:tcPr>
          <w:p>
            <w:pPr>
              <w:keepNext w:val="0"/>
              <w:keepLines w:val="0"/>
              <w:pageBreakBefore w:val="0"/>
              <w:widowControl w:val="0"/>
              <w:kinsoku/>
              <w:wordWrap/>
              <w:overflowPunct/>
              <w:topLinePunct w:val="0"/>
              <w:autoSpaceDE/>
              <w:autoSpaceDN/>
              <w:bidi w:val="0"/>
              <w:adjustRightInd/>
              <w:snapToGrid/>
              <w:spacing w:before="35" w:line="0" w:lineRule="atLeast"/>
              <w:ind w:left="11"/>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可持续影响指标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5"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水资源利用率</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35"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逐步提升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bottom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55" w:line="0" w:lineRule="atLeast"/>
              <w:ind w:left="270" w:right="54" w:hanging="240"/>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满意度指</w:t>
            </w:r>
            <w:r>
              <w:rPr>
                <w:rFonts w:hint="default" w:ascii="Times New Roman" w:hAnsi="Times New Roman" w:eastAsia="宋体" w:cs="Times New Roman"/>
                <w:sz w:val="16"/>
                <w:szCs w:val="16"/>
              </w:rPr>
              <w:t>标</w:t>
            </w:r>
          </w:p>
        </w:tc>
        <w:tc>
          <w:tcPr>
            <w:tcW w:w="837" w:type="pct"/>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66" w:line="0" w:lineRule="atLeast"/>
              <w:ind w:left="411" w:right="23" w:hanging="400"/>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服务对象满意度</w:t>
            </w:r>
            <w:r>
              <w:rPr>
                <w:rFonts w:hint="default" w:ascii="Times New Roman" w:hAnsi="Times New Roman" w:eastAsia="宋体" w:cs="Times New Roman"/>
                <w:spacing w:val="-3"/>
                <w:sz w:val="16"/>
                <w:szCs w:val="16"/>
              </w:rPr>
              <w:t>指标</w:t>
            </w: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4"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1"/>
                <w:sz w:val="16"/>
                <w:szCs w:val="16"/>
              </w:rPr>
              <w:t>耕地地力保护补贴政策满意度</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51"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2" w:hRule="atLeast"/>
        </w:trPr>
        <w:tc>
          <w:tcPr>
            <w:tcW w:w="378"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615"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837" w:type="pct"/>
            <w:vMerge w:val="continue"/>
            <w:tcBorders>
              <w:top w:val="nil"/>
            </w:tcBorders>
            <w:vAlign w:val="center"/>
          </w:tcPr>
          <w:p>
            <w:pPr>
              <w:pStyle w:val="1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sz w:val="21"/>
                <w:szCs w:val="21"/>
              </w:rPr>
            </w:pPr>
          </w:p>
        </w:tc>
        <w:tc>
          <w:tcPr>
            <w:tcW w:w="1793" w:type="pct"/>
            <w:vAlign w:val="center"/>
          </w:tcPr>
          <w:p>
            <w:pPr>
              <w:keepNext w:val="0"/>
              <w:keepLines w:val="0"/>
              <w:pageBreakBefore w:val="0"/>
              <w:widowControl w:val="0"/>
              <w:kinsoku/>
              <w:wordWrap/>
              <w:overflowPunct/>
              <w:topLinePunct w:val="0"/>
              <w:autoSpaceDE/>
              <w:autoSpaceDN/>
              <w:bidi w:val="0"/>
              <w:adjustRightInd/>
              <w:snapToGrid/>
              <w:spacing w:before="35" w:line="0" w:lineRule="atLeast"/>
              <w:ind w:left="42"/>
              <w:jc w:val="both"/>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2"/>
                <w:sz w:val="16"/>
                <w:szCs w:val="16"/>
              </w:rPr>
              <w:t>受益群众满意率</w:t>
            </w:r>
          </w:p>
        </w:tc>
        <w:tc>
          <w:tcPr>
            <w:tcW w:w="1376" w:type="pct"/>
            <w:vAlign w:val="center"/>
          </w:tcPr>
          <w:p>
            <w:pPr>
              <w:keepNext w:val="0"/>
              <w:keepLines w:val="0"/>
              <w:pageBreakBefore w:val="0"/>
              <w:widowControl w:val="0"/>
              <w:kinsoku/>
              <w:wordWrap/>
              <w:overflowPunct/>
              <w:topLinePunct w:val="0"/>
              <w:autoSpaceDE/>
              <w:autoSpaceDN/>
              <w:bidi w:val="0"/>
              <w:adjustRightInd/>
              <w:snapToGrid/>
              <w:spacing w:before="51" w:line="0" w:lineRule="atLeast"/>
              <w:jc w:val="center"/>
              <w:textAlignment w:val="auto"/>
              <w:rPr>
                <w:rFonts w:hint="default" w:ascii="Times New Roman" w:hAnsi="Times New Roman" w:eastAsia="宋体" w:cs="Times New Roman"/>
                <w:sz w:val="16"/>
                <w:szCs w:val="16"/>
              </w:rPr>
            </w:pPr>
            <w:r>
              <w:rPr>
                <w:rFonts w:hint="default" w:ascii="Times New Roman" w:hAnsi="Times New Roman" w:eastAsia="宋体" w:cs="Times New Roman"/>
                <w:spacing w:val="-5"/>
                <w:sz w:val="16"/>
                <w:szCs w:val="16"/>
              </w:rPr>
              <w:t>≥90%</w:t>
            </w:r>
          </w:p>
        </w:tc>
      </w:tr>
    </w:tbl>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sz w:val="32"/>
          <w:szCs w:val="36"/>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6"/>
        </w:rPr>
        <w:t>（二）</w:t>
      </w:r>
      <w:r>
        <w:rPr>
          <w:rFonts w:hint="default" w:ascii="Times New Roman" w:hAnsi="Times New Roman" w:eastAsia="楷体" w:cs="Times New Roman"/>
          <w:b/>
          <w:bCs/>
          <w:sz w:val="32"/>
          <w:szCs w:val="32"/>
        </w:rPr>
        <w:t>自治区</w:t>
      </w:r>
      <w:r>
        <w:rPr>
          <w:rFonts w:hint="default" w:ascii="Times New Roman" w:hAnsi="Times New Roman" w:eastAsia="楷体" w:cs="Times New Roman"/>
          <w:b/>
          <w:bCs/>
          <w:sz w:val="32"/>
          <w:szCs w:val="36"/>
        </w:rPr>
        <w:t>分解下达预算和</w:t>
      </w:r>
      <w:r>
        <w:rPr>
          <w:rFonts w:hint="default" w:ascii="Times New Roman" w:hAnsi="Times New Roman" w:eastAsia="楷体" w:cs="Times New Roman"/>
          <w:b/>
          <w:bCs/>
          <w:sz w:val="32"/>
          <w:szCs w:val="32"/>
        </w:rPr>
        <w:t>绩效目标情况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1</w:t>
      </w: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rPr>
        <w:t>分解下达</w:t>
      </w:r>
      <w:r>
        <w:rPr>
          <w:rFonts w:hint="default" w:ascii="Times New Roman" w:hAnsi="Times New Roman" w:eastAsia="楷体" w:cs="Times New Roman"/>
          <w:b/>
          <w:bCs/>
          <w:sz w:val="32"/>
          <w:szCs w:val="32"/>
          <w:lang w:val="en-US" w:eastAsia="zh-CN"/>
        </w:rPr>
        <w:t>中央</w:t>
      </w:r>
      <w:r>
        <w:rPr>
          <w:rFonts w:hint="default" w:ascii="Times New Roman" w:hAnsi="Times New Roman" w:eastAsia="楷体" w:cs="Times New Roman"/>
          <w:b/>
          <w:bCs/>
          <w:sz w:val="32"/>
          <w:szCs w:val="32"/>
        </w:rPr>
        <w:t>预算情况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年度，</w:t>
      </w:r>
      <w:r>
        <w:rPr>
          <w:rFonts w:hint="eastAsia" w:ascii="Times New Roman" w:hAnsi="Times New Roman" w:eastAsia="仿宋_GB2312" w:cs="Times New Roman"/>
          <w:sz w:val="32"/>
          <w:szCs w:val="32"/>
          <w:highlight w:val="none"/>
          <w:lang w:eastAsia="zh-CN"/>
        </w:rPr>
        <w:t>自治区分解</w:t>
      </w:r>
      <w:r>
        <w:rPr>
          <w:rFonts w:hint="default" w:ascii="Times New Roman" w:hAnsi="Times New Roman" w:eastAsia="仿宋_GB2312" w:cs="Times New Roman"/>
          <w:sz w:val="32"/>
          <w:szCs w:val="32"/>
          <w:highlight w:val="none"/>
          <w:lang w:val="en-US" w:eastAsia="zh-CN"/>
        </w:rPr>
        <w:t>下达耕地建设与利用资金810173万元</w:t>
      </w:r>
      <w:r>
        <w:rPr>
          <w:rFonts w:hint="default" w:ascii="Times New Roman" w:hAnsi="Times New Roman" w:eastAsia="仿宋_GB2312" w:cs="Times New Roman"/>
          <w:sz w:val="32"/>
          <w:szCs w:val="32"/>
          <w:highlight w:val="none"/>
        </w:rPr>
        <w:t>，用于</w:t>
      </w:r>
      <w:r>
        <w:rPr>
          <w:rFonts w:hint="default" w:ascii="Times New Roman" w:hAnsi="Times New Roman" w:eastAsia="仿宋_GB2312" w:cs="Times New Roman"/>
          <w:sz w:val="32"/>
          <w:szCs w:val="32"/>
          <w:highlight w:val="none"/>
          <w:lang w:val="en-US" w:eastAsia="zh-CN"/>
        </w:rPr>
        <w:t>耕地建设与利用，详细如下</w:t>
      </w:r>
      <w:r>
        <w:rPr>
          <w:rFonts w:hint="eastAsia" w:ascii="Times New Roman" w:hAnsi="Times New Roman" w:cs="Times New Roman"/>
          <w:color w:val="auto"/>
          <w:sz w:val="32"/>
          <w:szCs w:val="32"/>
          <w:lang w:val="en-US" w:eastAsia="zh-CN"/>
        </w:rPr>
        <w:t>：</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2022年11月23日，</w:t>
      </w:r>
      <w:r>
        <w:rPr>
          <w:rFonts w:hint="default" w:ascii="Times New Roman" w:hAnsi="Times New Roman" w:eastAsia="仿宋_GB2312" w:cs="Times New Roman"/>
          <w:sz w:val="32"/>
          <w:szCs w:val="32"/>
          <w:highlight w:val="none"/>
        </w:rPr>
        <w:t>自治区财政厅下发《关于提前下达2023年中央农业生产发展资金（耕地地力保护补贴</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预算的</w:t>
      </w:r>
      <w:r>
        <w:rPr>
          <w:rFonts w:hint="default" w:ascii="Times New Roman" w:hAnsi="Times New Roman" w:eastAsia="仿宋_GB2312" w:cs="Times New Roman"/>
          <w:sz w:val="32"/>
          <w:szCs w:val="32"/>
          <w:highlight w:val="none"/>
          <w:lang w:val="en-US" w:eastAsia="zh-CN"/>
        </w:rPr>
        <w:t>23</w:t>
      </w:r>
      <w:r>
        <w:rPr>
          <w:rFonts w:hint="default" w:ascii="Times New Roman" w:hAnsi="Times New Roman" w:eastAsia="仿宋_GB2312" w:cs="Times New Roman"/>
          <w:sz w:val="32"/>
          <w:szCs w:val="32"/>
          <w:highlight w:val="none"/>
        </w:rPr>
        <w:t>通知》（新财农〔2022〕78号）</w:t>
      </w:r>
      <w:r>
        <w:rPr>
          <w:rFonts w:hint="default" w:ascii="Times New Roman" w:hAnsi="Times New Roman" w:eastAsia="仿宋_GB2312" w:cs="Times New Roman"/>
          <w:sz w:val="32"/>
          <w:szCs w:val="32"/>
          <w:highlight w:val="none"/>
          <w:lang w:val="en-US" w:eastAsia="zh-CN"/>
        </w:rPr>
        <w:t xml:space="preserve">下达资金246979万元。 </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2022年11月23日，</w:t>
      </w:r>
      <w:r>
        <w:rPr>
          <w:rFonts w:hint="default" w:ascii="Times New Roman" w:hAnsi="Times New Roman" w:eastAsia="仿宋_GB2312" w:cs="Times New Roman"/>
          <w:sz w:val="32"/>
          <w:szCs w:val="32"/>
          <w:highlight w:val="none"/>
        </w:rPr>
        <w:t>自治区财政厅下发</w:t>
      </w:r>
      <w:r>
        <w:rPr>
          <w:rFonts w:hint="default" w:ascii="Times New Roman" w:hAnsi="Times New Roman" w:eastAsia="仿宋_GB2312" w:cs="Times New Roman"/>
          <w:sz w:val="32"/>
          <w:szCs w:val="32"/>
          <w:highlight w:val="none"/>
          <w:lang w:val="en-US" w:eastAsia="zh-CN"/>
        </w:rPr>
        <w:t>《关于提前下达2023年中央农业资源及生态保护补助资金预算的通知》（新财农〔2022〕79号）下达资金45350万元。</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2022年11月23日，</w:t>
      </w:r>
      <w:r>
        <w:rPr>
          <w:rFonts w:hint="default" w:ascii="Times New Roman" w:hAnsi="Times New Roman" w:eastAsia="仿宋_GB2312" w:cs="Times New Roman"/>
          <w:sz w:val="32"/>
          <w:szCs w:val="32"/>
          <w:highlight w:val="none"/>
        </w:rPr>
        <w:t>自治区财政厅下发</w:t>
      </w:r>
      <w:r>
        <w:rPr>
          <w:rFonts w:hint="default" w:ascii="Times New Roman" w:hAnsi="Times New Roman" w:eastAsia="仿宋_GB2312" w:cs="Times New Roman"/>
          <w:b w:val="0"/>
          <w:bCs w:val="0"/>
          <w:sz w:val="32"/>
          <w:szCs w:val="32"/>
          <w:highlight w:val="none"/>
          <w:lang w:val="en-US" w:eastAsia="zh-CN"/>
        </w:rPr>
        <w:t>《关于提前下达2023年中央农田建设补助资金预算的通知》（新财农〔2022〕81号）</w:t>
      </w:r>
      <w:r>
        <w:rPr>
          <w:rFonts w:hint="default" w:ascii="Times New Roman" w:hAnsi="Times New Roman" w:eastAsia="仿宋_GB2312" w:cs="Times New Roman"/>
          <w:sz w:val="32"/>
          <w:szCs w:val="32"/>
          <w:highlight w:val="none"/>
          <w:lang w:val="en-US" w:eastAsia="zh-CN"/>
        </w:rPr>
        <w:t>下达资金178157万元。</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2023年5月25日，</w:t>
      </w:r>
      <w:r>
        <w:rPr>
          <w:rFonts w:hint="default" w:ascii="Times New Roman" w:hAnsi="Times New Roman" w:eastAsia="仿宋_GB2312" w:cs="Times New Roman"/>
          <w:sz w:val="32"/>
          <w:szCs w:val="32"/>
          <w:highlight w:val="none"/>
        </w:rPr>
        <w:t>自治区财政厅下发</w:t>
      </w:r>
      <w:r>
        <w:rPr>
          <w:rFonts w:hint="default" w:ascii="Times New Roman" w:hAnsi="Times New Roman" w:eastAsia="仿宋_GB2312" w:cs="Times New Roman"/>
          <w:b w:val="0"/>
          <w:bCs w:val="0"/>
          <w:sz w:val="32"/>
          <w:szCs w:val="32"/>
          <w:highlight w:val="none"/>
          <w:lang w:val="en-US" w:eastAsia="zh-CN"/>
        </w:rPr>
        <w:t>《关于下达2023年中央耕地建设与利用资金预算的通知》（新财农〔2023〕33号）</w:t>
      </w:r>
      <w:r>
        <w:rPr>
          <w:rFonts w:hint="default" w:ascii="Times New Roman" w:hAnsi="Times New Roman" w:eastAsia="仿宋_GB2312" w:cs="Times New Roman"/>
          <w:sz w:val="32"/>
          <w:szCs w:val="32"/>
          <w:highlight w:val="none"/>
          <w:lang w:val="en-US" w:eastAsia="zh-CN"/>
        </w:rPr>
        <w:t>下达资金339687万元。</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lang w:eastAsia="zh-CN"/>
        </w:rPr>
      </w:pPr>
      <w:r>
        <w:rPr>
          <w:rFonts w:hint="default" w:ascii="Times New Roman" w:hAnsi="Times New Roman" w:eastAsia="仿宋_GB2312" w:cs="Times New Roman"/>
          <w:sz w:val="32"/>
          <w:szCs w:val="32"/>
        </w:rPr>
        <w:t>资金分解情况详见下表</w:t>
      </w:r>
      <w:r>
        <w:rPr>
          <w:rFonts w:hint="default" w:ascii="Times New Roman" w:hAnsi="Times New Roman" w:cs="Times New Roman"/>
          <w:sz w:val="32"/>
          <w:szCs w:val="32"/>
          <w:lang w:eastAsia="zh-CN"/>
        </w:rPr>
        <w:t>：</w:t>
      </w:r>
    </w:p>
    <w:p>
      <w:pPr>
        <w:pStyle w:val="16"/>
        <w:jc w:val="center"/>
        <w:rPr>
          <w:rFonts w:hint="default" w:ascii="Times New Roman" w:hAnsi="Times New Roman" w:cs="Times New Roman"/>
          <w:b/>
          <w:bCs/>
          <w:sz w:val="24"/>
        </w:rPr>
      </w:pPr>
      <w:r>
        <w:rPr>
          <w:rFonts w:hint="default" w:ascii="Times New Roman" w:hAnsi="Times New Roman" w:cs="Times New Roman"/>
          <w:b/>
          <w:bCs/>
          <w:sz w:val="24"/>
        </w:rPr>
        <w:t>202</w:t>
      </w:r>
      <w:r>
        <w:rPr>
          <w:rFonts w:hint="default" w:ascii="Times New Roman" w:hAnsi="Times New Roman" w:cs="Times New Roman"/>
          <w:b/>
          <w:bCs/>
          <w:sz w:val="24"/>
          <w:lang w:val="en-US" w:eastAsia="zh-CN"/>
        </w:rPr>
        <w:t>3</w:t>
      </w:r>
      <w:r>
        <w:rPr>
          <w:rFonts w:hint="default" w:ascii="Times New Roman" w:hAnsi="Times New Roman" w:cs="Times New Roman"/>
          <w:b/>
          <w:bCs/>
          <w:sz w:val="24"/>
        </w:rPr>
        <w:t>年</w:t>
      </w:r>
      <w:r>
        <w:rPr>
          <w:rFonts w:hint="default" w:ascii="Times New Roman" w:hAnsi="Times New Roman" w:cs="Times New Roman"/>
          <w:b/>
          <w:bCs/>
          <w:sz w:val="24"/>
          <w:lang w:val="en-US" w:eastAsia="zh-CN"/>
        </w:rPr>
        <w:t>耕地建设与利用</w:t>
      </w:r>
      <w:r>
        <w:rPr>
          <w:rFonts w:hint="default" w:ascii="Times New Roman" w:hAnsi="Times New Roman" w:cs="Times New Roman"/>
          <w:b/>
          <w:bCs/>
          <w:sz w:val="24"/>
        </w:rPr>
        <w:t>资金分配表</w:t>
      </w:r>
    </w:p>
    <w:p>
      <w:pPr>
        <w:pStyle w:val="16"/>
        <w:ind w:firstLine="361" w:firstLineChars="20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单位：万元</w:t>
      </w:r>
    </w:p>
    <w:tbl>
      <w:tblPr>
        <w:tblStyle w:val="12"/>
        <w:tblpPr w:leftFromText="180" w:rightFromText="180" w:vertAnchor="text" w:horzAnchor="page" w:tblpXSpec="center" w:tblpY="16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1"/>
        <w:gridCol w:w="5815"/>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blHeader/>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0"/>
                <w:szCs w:val="20"/>
                <w:u w:val="none"/>
                <w:lang w:val="en-US" w:eastAsia="zh-CN" w:bidi="ar"/>
              </w:rPr>
            </w:pPr>
            <w:r>
              <w:rPr>
                <w:rFonts w:hint="default" w:ascii="Times New Roman" w:hAnsi="Times New Roman" w:cs="Times New Roman" w:eastAsiaTheme="minorEastAsia"/>
                <w:b/>
                <w:bCs/>
                <w:i w:val="0"/>
                <w:iCs w:val="0"/>
                <w:color w:val="000000"/>
                <w:kern w:val="0"/>
                <w:sz w:val="20"/>
                <w:szCs w:val="20"/>
                <w:u w:val="none"/>
                <w:lang w:val="en-US" w:eastAsia="zh-CN" w:bidi="ar"/>
              </w:rPr>
              <w:t>序号</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6667.8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伊犁州直</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178598.18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45979.29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53523.8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32088.14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83897.92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克拉玛依</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1650.5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8</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5066.36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9</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吐鲁番市</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10</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34760.23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11</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140718.28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12</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10988.5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13</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156054.4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14</w:t>
            </w:r>
          </w:p>
        </w:tc>
        <w:tc>
          <w:tcPr>
            <w:tcW w:w="3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53956.9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15</w:t>
            </w:r>
          </w:p>
        </w:tc>
        <w:tc>
          <w:tcPr>
            <w:tcW w:w="5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新疆农业大学</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16</w:t>
            </w:r>
          </w:p>
        </w:tc>
        <w:tc>
          <w:tcPr>
            <w:tcW w:w="5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新疆农业科学院</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17</w:t>
            </w:r>
          </w:p>
        </w:tc>
        <w:tc>
          <w:tcPr>
            <w:tcW w:w="5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农业农村厅</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eastAsia="宋体" w:cs="Times New Roman"/>
                <w:b w:val="0"/>
                <w:bCs w:val="0"/>
                <w:i w:val="0"/>
                <w:iCs w:val="0"/>
                <w:color w:val="000000"/>
                <w:kern w:val="0"/>
                <w:sz w:val="18"/>
                <w:szCs w:val="18"/>
                <w:u w:val="none"/>
                <w:lang w:val="en-US" w:eastAsia="zh-CN" w:bidi="ar"/>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sz w:val="18"/>
                <w:szCs w:val="18"/>
                <w:u w:val="none"/>
                <w:lang w:val="en-US" w:eastAsia="zh-CN"/>
              </w:rPr>
              <w:t>合计</w:t>
            </w:r>
          </w:p>
        </w:tc>
        <w:tc>
          <w:tcPr>
            <w:tcW w:w="10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810173</w:t>
            </w:r>
          </w:p>
        </w:tc>
      </w:tr>
    </w:tbl>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eastAsia"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lang w:val="en-US" w:eastAsia="zh-CN"/>
        </w:rPr>
        <w:t>2</w:t>
      </w:r>
      <w:r>
        <w:rPr>
          <w:rFonts w:hint="eastAsia" w:ascii="Times New Roman" w:hAnsi="Times New Roman" w:eastAsia="楷体" w:cs="Times New Roman"/>
          <w:b/>
          <w:bCs/>
          <w:sz w:val="32"/>
          <w:szCs w:val="32"/>
          <w:lang w:val="en-US" w:eastAsia="zh-CN"/>
        </w:rPr>
        <w:t>.</w:t>
      </w:r>
      <w:r>
        <w:rPr>
          <w:rFonts w:hint="default" w:ascii="Times New Roman" w:hAnsi="Times New Roman" w:eastAsia="楷体" w:cs="Times New Roman"/>
          <w:b/>
          <w:bCs/>
          <w:sz w:val="32"/>
          <w:szCs w:val="32"/>
        </w:rPr>
        <w:t>自治区分解下达绩效目标情况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sz w:val="32"/>
          <w:szCs w:val="32"/>
          <w:highlight w:val="none"/>
        </w:rPr>
        <w:t>根据自治区财政厅下达的资金文件确定的绩效目标，对县（市）资金的分配主要根据任务的特点进行合理的安排，根据</w:t>
      </w:r>
      <w:r>
        <w:rPr>
          <w:rFonts w:hint="default" w:ascii="Times New Roman" w:hAnsi="Times New Roman" w:eastAsia="仿宋_GB2312" w:cs="Times New Roman"/>
          <w:sz w:val="32"/>
          <w:szCs w:val="32"/>
          <w:highlight w:val="none"/>
          <w:lang w:val="en-US" w:eastAsia="zh-CN"/>
        </w:rPr>
        <w:t>《关于下达2023年中央耕地建设与利用资金预算的通知》（新财农〔2023〕33号）</w:t>
      </w:r>
      <w:r>
        <w:rPr>
          <w:rFonts w:hint="default" w:ascii="Times New Roman" w:hAnsi="Times New Roman" w:eastAsia="仿宋_GB2312" w:cs="Times New Roman"/>
          <w:sz w:val="32"/>
          <w:szCs w:val="32"/>
          <w:highlight w:val="none"/>
        </w:rPr>
        <w:t>绩效目标详见下表：</w:t>
      </w:r>
    </w:p>
    <w:p>
      <w:pPr>
        <w:pStyle w:val="16"/>
        <w:keepNext w:val="0"/>
        <w:keepLines w:val="0"/>
        <w:pageBreakBefore w:val="0"/>
        <w:widowControl w:val="0"/>
        <w:kinsoku/>
        <w:wordWrap/>
        <w:overflowPunct/>
        <w:topLinePunct w:val="0"/>
        <w:autoSpaceDE/>
        <w:autoSpaceDN/>
        <w:bidi w:val="0"/>
        <w:adjustRightInd/>
        <w:snapToGrid/>
        <w:spacing w:line="560" w:lineRule="exact"/>
        <w:ind w:firstLine="441" w:firstLineChars="200"/>
        <w:jc w:val="center"/>
        <w:textAlignment w:val="auto"/>
        <w:rPr>
          <w:rFonts w:hint="default" w:ascii="Times New Roman" w:hAnsi="Times New Roman" w:cs="Times New Roman"/>
        </w:rPr>
      </w:pPr>
      <w:r>
        <w:rPr>
          <w:rFonts w:hint="default" w:ascii="Times New Roman" w:hAnsi="Times New Roman" w:eastAsia="仿宋_GB2312" w:cs="Times New Roman"/>
          <w:b/>
          <w:bCs/>
          <w:sz w:val="22"/>
          <w:szCs w:val="22"/>
          <w:lang w:val="en-US" w:eastAsia="zh-CN"/>
        </w:rPr>
        <w:t>2023年中央耕地建设与利用资金区域绩效目标表</w:t>
      </w:r>
    </w:p>
    <w:tbl>
      <w:tblPr>
        <w:tblStyle w:val="1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426"/>
        <w:gridCol w:w="316"/>
        <w:gridCol w:w="758"/>
        <w:gridCol w:w="79"/>
        <w:gridCol w:w="536"/>
        <w:gridCol w:w="538"/>
        <w:gridCol w:w="598"/>
        <w:gridCol w:w="527"/>
        <w:gridCol w:w="707"/>
        <w:gridCol w:w="562"/>
        <w:gridCol w:w="522"/>
        <w:gridCol w:w="557"/>
        <w:gridCol w:w="587"/>
        <w:gridCol w:w="527"/>
        <w:gridCol w:w="512"/>
        <w:gridCol w:w="542"/>
        <w:gridCol w:w="558"/>
        <w:gridCol w:w="560"/>
        <w:gridCol w:w="620"/>
        <w:gridCol w:w="600"/>
        <w:gridCol w:w="551"/>
        <w:gridCol w:w="429"/>
        <w:gridCol w:w="451"/>
        <w:gridCol w:w="395"/>
        <w:gridCol w:w="420"/>
        <w:gridCol w:w="420"/>
        <w:gridCol w:w="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资金名称</w:t>
            </w:r>
          </w:p>
        </w:tc>
        <w:tc>
          <w:tcPr>
            <w:tcW w:w="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中央农业生产发展资金</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全区总绩效目标</w:t>
            </w:r>
          </w:p>
        </w:tc>
        <w:tc>
          <w:tcPr>
            <w:tcW w:w="21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5"/>
                <w:szCs w:val="15"/>
                <w:u w:val="none"/>
              </w:rPr>
            </w:pPr>
          </w:p>
        </w:tc>
        <w:tc>
          <w:tcPr>
            <w:tcW w:w="3708" w:type="pct"/>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分区域绩效目标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23" w:hRule="atLeast"/>
        </w:trPr>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中央主管部门</w:t>
            </w:r>
          </w:p>
        </w:tc>
        <w:tc>
          <w:tcPr>
            <w:tcW w:w="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财政部、农业农村部</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合计</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乌鲁木齐市</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伊犁州</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塔城地区</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阿勒泰地区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克拉玛依市</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博州</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昌吉州</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哈密市</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吐鲁番市</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巴州</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阿克苏地区</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克州</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喀什地区</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和田地区</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新疆农业大学</w:t>
            </w:r>
          </w:p>
        </w:tc>
        <w:tc>
          <w:tcPr>
            <w:tcW w:w="1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新疆农业科学院土壤肥料与农业节水研究所</w:t>
            </w:r>
          </w:p>
        </w:tc>
        <w:tc>
          <w:tcPr>
            <w:tcW w:w="1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新疆大学</w:t>
            </w: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新疆师范大学</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新疆维吾尔自治区产品质量监督检验研究院</w:t>
            </w:r>
          </w:p>
        </w:tc>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新疆维吾尔自治区环境监测总站</w:t>
            </w:r>
          </w:p>
        </w:tc>
        <w:tc>
          <w:tcPr>
            <w:tcW w:w="1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中国科学院新疆生态与地理研究所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省级财政部门</w:t>
            </w:r>
          </w:p>
        </w:tc>
        <w:tc>
          <w:tcPr>
            <w:tcW w:w="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新疆维吾尔自治区财政厅</w:t>
            </w:r>
          </w:p>
        </w:tc>
        <w:tc>
          <w:tcPr>
            <w:tcW w:w="3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807" w:type="pct"/>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各地州市财政局、农业农村局</w:t>
            </w: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91" w:hRule="atLeast"/>
        </w:trPr>
        <w:tc>
          <w:tcPr>
            <w:tcW w:w="2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省级主管部门</w:t>
            </w:r>
          </w:p>
        </w:tc>
        <w:tc>
          <w:tcPr>
            <w:tcW w:w="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新疆维吾尔自治区农业农村厅</w:t>
            </w:r>
          </w:p>
        </w:tc>
        <w:tc>
          <w:tcPr>
            <w:tcW w:w="3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807" w:type="pct"/>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72"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资金情况 （万元）</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年度金额：</w:t>
            </w:r>
          </w:p>
        </w:tc>
        <w:tc>
          <w:tcPr>
            <w:tcW w:w="40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810173</w:t>
            </w:r>
          </w:p>
        </w:tc>
        <w:tc>
          <w:tcPr>
            <w:tcW w:w="3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810173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6667.8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178598.18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45979.29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53523.8</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1650.5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32088.14</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83897.92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5066.36</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10.7</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34760.23</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140718.28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10988.5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156054.4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53956.9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1788.75</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1362</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52.05</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29.7</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1419</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1419</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16"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其中：中央补助</w:t>
            </w:r>
          </w:p>
        </w:tc>
        <w:tc>
          <w:tcPr>
            <w:tcW w:w="5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810173</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810173</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6667.8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178598.18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45979.29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53523.8</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1650.5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32088.14</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83897.92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5066.36</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10.7</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34760.23</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140718.28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10988.5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156054.4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53956.9</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1788.75</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1362</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52.05</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29.7</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1419</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1419</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地方资金</w:t>
            </w:r>
          </w:p>
        </w:tc>
        <w:tc>
          <w:tcPr>
            <w:tcW w:w="59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77"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年度目标</w:t>
            </w:r>
          </w:p>
        </w:tc>
        <w:tc>
          <w:tcPr>
            <w:tcW w:w="7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w:t>
            </w:r>
            <w:r>
              <w:rPr>
                <w:rStyle w:val="20"/>
                <w:rFonts w:hint="eastAsia" w:ascii="宋体" w:hAnsi="宋体" w:eastAsia="宋体" w:cs="宋体"/>
                <w:b w:val="0"/>
                <w:bCs w:val="0"/>
                <w:sz w:val="15"/>
                <w:szCs w:val="15"/>
                <w:lang w:val="en-US" w:eastAsia="zh-CN" w:bidi="ar"/>
              </w:rPr>
              <w:t>稳定实施直接补贴政策；</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nil"/>
              <w:bottom w:val="single" w:color="000000" w:sz="4"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7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2.有效改善农田基础设施条件</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2"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7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3.</w:t>
            </w:r>
            <w:r>
              <w:rPr>
                <w:rStyle w:val="20"/>
                <w:rFonts w:hint="eastAsia" w:ascii="宋体" w:hAnsi="宋体" w:eastAsia="宋体" w:cs="宋体"/>
                <w:b w:val="0"/>
                <w:bCs w:val="0"/>
                <w:sz w:val="15"/>
                <w:szCs w:val="15"/>
                <w:lang w:val="en-US" w:eastAsia="zh-CN" w:bidi="ar"/>
              </w:rPr>
              <w:t>支持耕地质量提升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7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4.涉农资金统筹整合用于脱贫县。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一级指标</w:t>
            </w:r>
          </w:p>
        </w:tc>
        <w:tc>
          <w:tcPr>
            <w:tcW w:w="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二级指标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指标值</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5"/>
                <w:szCs w:val="15"/>
                <w:u w:val="none"/>
              </w:rPr>
            </w:pPr>
          </w:p>
        </w:tc>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5</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w:t>
            </w:r>
          </w:p>
        </w:tc>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8</w:t>
            </w:r>
          </w:p>
        </w:tc>
        <w:tc>
          <w:tcPr>
            <w:tcW w:w="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9</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11</w:t>
            </w:r>
          </w:p>
        </w:tc>
        <w:tc>
          <w:tcPr>
            <w:tcW w:w="1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13</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14</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15</w:t>
            </w: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16</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17</w:t>
            </w: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18</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19</w:t>
            </w: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20</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绩效指标</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产出指标</w:t>
            </w: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宋体" w:hAnsi="宋体" w:eastAsia="宋体" w:cs="宋体"/>
                <w:b/>
                <w:bCs/>
                <w:i w:val="0"/>
                <w:iCs w:val="0"/>
                <w:color w:val="000000"/>
                <w:sz w:val="15"/>
                <w:szCs w:val="15"/>
                <w:u w:val="none"/>
                <w:lang w:val="en-US" w:eastAsia="zh-CN"/>
              </w:rPr>
            </w:pPr>
            <w:r>
              <w:rPr>
                <w:rFonts w:hint="eastAsia" w:ascii="宋体" w:hAnsi="宋体" w:eastAsia="宋体" w:cs="宋体"/>
                <w:b/>
                <w:bCs/>
                <w:i w:val="0"/>
                <w:iCs w:val="0"/>
                <w:color w:val="000000"/>
                <w:sz w:val="15"/>
                <w:szCs w:val="15"/>
                <w:u w:val="none"/>
                <w:lang w:val="en-US" w:eastAsia="zh-CN"/>
              </w:rPr>
              <w:t>数量指标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新建高标准农田面积（万亩）</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288</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288</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5.18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96.48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29.32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8.67</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16.25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0.4</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14.36</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49.84</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1.2</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44.7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4.5</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改造提升高标准农田面积（万亩）</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13.55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3.61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6.33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10.84</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5.42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1.27</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2.71</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14.46</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0.45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10.21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6.15</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新增高效节水滴灌面积（万亩）</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77</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外业调查采样点位数（个）</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18942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18942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10374</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7014</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362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207</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内业测试化验点位数（个）</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18942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18942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9471</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9471</w:t>
            </w: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第三次土壤普查培训人员数量（人）</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2700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2700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840</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770</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520</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330</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测土配方施肥技术推广面积（亩）</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7000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7000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748</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822</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479</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243</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569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75</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66</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568</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1366</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1503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373</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化肥减量增效“三新”配套示范面积（万亩）</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102</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102</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18</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27</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15</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用户施肥调查数量（个）</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8250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8250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881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968</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565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33</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286</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671</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89</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77</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670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1609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131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1772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440</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田间肥效试验数量（个）</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11</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149</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99</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改造国家级耕地质量监测点（个）</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19</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19</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完成县级耕地质量等级变更调查评价数量（个）</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87</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87</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87</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耕地轮作试点面积</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249</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≥249</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≥33</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≥7</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≥3</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≥21</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≥22</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≥23</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≥40</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耕地休耕试点面积</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≥16</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≥6.5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质量指标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高标准农田建设项目验收合格率（%）</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≥95%</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78"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kern w:val="0"/>
                <w:sz w:val="15"/>
                <w:szCs w:val="15"/>
                <w:u w:val="none"/>
                <w:lang w:val="en-US" w:eastAsia="zh-CN" w:bidi="ar"/>
              </w:rPr>
            </w:pPr>
            <w:r>
              <w:rPr>
                <w:rFonts w:hint="eastAsia" w:ascii="宋体" w:hAnsi="宋体" w:eastAsia="宋体" w:cs="宋体"/>
                <w:b w:val="0"/>
                <w:bCs w:val="0"/>
                <w:i w:val="0"/>
                <w:iCs w:val="0"/>
                <w:color w:val="000000"/>
                <w:kern w:val="0"/>
                <w:sz w:val="15"/>
                <w:szCs w:val="15"/>
                <w:u w:val="none"/>
                <w:lang w:val="en-US" w:eastAsia="zh-CN" w:bidi="ar"/>
              </w:rPr>
              <w:t>耕地</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质量</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逐步提升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保障粮食安全能力</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明显提升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耕地地力保护补贴资金兑付率（</w:t>
            </w:r>
            <w:r>
              <w:rPr>
                <w:rStyle w:val="19"/>
                <w:rFonts w:hint="eastAsia" w:ascii="宋体" w:hAnsi="宋体" w:eastAsia="宋体" w:cs="宋体"/>
                <w:b w:val="0"/>
                <w:bCs w:val="0"/>
                <w:sz w:val="15"/>
                <w:szCs w:val="15"/>
                <w:lang w:val="en-US" w:eastAsia="zh-CN" w:bidi="ar"/>
              </w:rPr>
              <w:t>%</w:t>
            </w:r>
            <w:r>
              <w:rPr>
                <w:rStyle w:val="20"/>
                <w:rFonts w:hint="eastAsia" w:ascii="宋体" w:hAnsi="宋体" w:eastAsia="宋体" w:cs="宋体"/>
                <w:b w:val="0"/>
                <w:bCs w:val="0"/>
                <w:sz w:val="15"/>
                <w:szCs w:val="15"/>
                <w:lang w:val="en-US" w:eastAsia="zh-CN" w:bidi="ar"/>
              </w:rPr>
              <w:t>）</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100%</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时效指标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耕地地力保护补贴发放时限</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7</w:t>
            </w:r>
            <w:r>
              <w:rPr>
                <w:rStyle w:val="20"/>
                <w:rFonts w:hint="eastAsia" w:ascii="宋体" w:hAnsi="宋体" w:eastAsia="宋体" w:cs="宋体"/>
                <w:b w:val="0"/>
                <w:bCs w:val="0"/>
                <w:sz w:val="15"/>
                <w:szCs w:val="15"/>
                <w:lang w:val="en-US" w:eastAsia="zh-CN" w:bidi="ar"/>
              </w:rPr>
              <w:t>月</w:t>
            </w:r>
            <w:r>
              <w:rPr>
                <w:rStyle w:val="19"/>
                <w:rFonts w:hint="eastAsia" w:ascii="宋体" w:hAnsi="宋体" w:eastAsia="宋体" w:cs="宋体"/>
                <w:b w:val="0"/>
                <w:bCs w:val="0"/>
                <w:sz w:val="15"/>
                <w:szCs w:val="15"/>
                <w:lang w:val="en-US" w:eastAsia="zh-CN" w:bidi="ar"/>
              </w:rPr>
              <w:t>30</w:t>
            </w:r>
            <w:r>
              <w:rPr>
                <w:rStyle w:val="20"/>
                <w:rFonts w:hint="eastAsia" w:ascii="宋体" w:hAnsi="宋体" w:eastAsia="宋体" w:cs="宋体"/>
                <w:b w:val="0"/>
                <w:bCs w:val="0"/>
                <w:sz w:val="15"/>
                <w:szCs w:val="15"/>
                <w:lang w:val="en-US" w:eastAsia="zh-CN" w:bidi="ar"/>
              </w:rPr>
              <w:t>日前</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高标准农田建设任务完成及时性</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19"/>
                <w:rFonts w:hint="eastAsia" w:ascii="宋体" w:hAnsi="宋体" w:eastAsia="宋体" w:cs="宋体"/>
                <w:b w:val="0"/>
                <w:bCs w:val="0"/>
                <w:sz w:val="15"/>
                <w:szCs w:val="15"/>
                <w:lang w:val="en-US" w:eastAsia="zh-CN" w:bidi="ar"/>
              </w:rPr>
              <w:t>1-2</w:t>
            </w:r>
            <w:r>
              <w:rPr>
                <w:rStyle w:val="20"/>
                <w:rFonts w:hint="eastAsia" w:ascii="宋体" w:hAnsi="宋体" w:eastAsia="宋体" w:cs="宋体"/>
                <w:b w:val="0"/>
                <w:bCs w:val="0"/>
                <w:sz w:val="15"/>
                <w:szCs w:val="15"/>
                <w:lang w:val="en-US" w:eastAsia="zh-CN" w:bidi="ar"/>
              </w:rPr>
              <w:t>年</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183"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lang w:val="en-US" w:eastAsia="zh-CN"/>
              </w:rPr>
            </w:pPr>
            <w:r>
              <w:rPr>
                <w:rFonts w:hint="eastAsia" w:ascii="宋体" w:hAnsi="宋体" w:eastAsia="宋体" w:cs="宋体"/>
                <w:b w:val="0"/>
                <w:bCs w:val="0"/>
                <w:i w:val="0"/>
                <w:iCs w:val="0"/>
                <w:color w:val="000000"/>
                <w:sz w:val="15"/>
                <w:szCs w:val="15"/>
                <w:u w:val="none"/>
                <w:lang w:val="en-US" w:eastAsia="zh-CN"/>
              </w:rPr>
              <w:t>效益指标</w:t>
            </w: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社会效益指标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粮食综合生产能力</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明显提升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明显提升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资金使用重大违规违纪问题（有</w:t>
            </w:r>
            <w:r>
              <w:rPr>
                <w:rStyle w:val="19"/>
                <w:rFonts w:hint="eastAsia" w:ascii="宋体" w:hAnsi="宋体" w:eastAsia="宋体" w:cs="宋体"/>
                <w:b w:val="0"/>
                <w:bCs w:val="0"/>
                <w:sz w:val="15"/>
                <w:szCs w:val="15"/>
                <w:lang w:val="en-US" w:eastAsia="zh-CN" w:bidi="ar"/>
              </w:rPr>
              <w:t>/</w:t>
            </w:r>
            <w:r>
              <w:rPr>
                <w:rStyle w:val="20"/>
                <w:rFonts w:hint="eastAsia" w:ascii="宋体" w:hAnsi="宋体" w:eastAsia="宋体" w:cs="宋体"/>
                <w:b w:val="0"/>
                <w:bCs w:val="0"/>
                <w:sz w:val="15"/>
                <w:szCs w:val="15"/>
                <w:lang w:val="en-US" w:eastAsia="zh-CN" w:bidi="ar"/>
              </w:rPr>
              <w:t>无）</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无</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田间道路通达度</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平原区达到100%，丘陵区≥90%</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可持续影响指标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水资源利用率</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逐步提升</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满意度指标</w:t>
            </w:r>
          </w:p>
        </w:tc>
        <w:tc>
          <w:tcPr>
            <w:tcW w:w="1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服务对象满意度指标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Style w:val="20"/>
                <w:rFonts w:hint="eastAsia" w:ascii="宋体" w:hAnsi="宋体" w:eastAsia="宋体" w:cs="宋体"/>
                <w:b w:val="0"/>
                <w:bCs w:val="0"/>
                <w:sz w:val="15"/>
                <w:szCs w:val="15"/>
                <w:lang w:val="en-US" w:eastAsia="zh-CN" w:bidi="ar"/>
              </w:rPr>
              <w:t>耕地地力保护补贴政策群众满意度（</w:t>
            </w:r>
            <w:r>
              <w:rPr>
                <w:rStyle w:val="19"/>
                <w:rFonts w:hint="eastAsia" w:ascii="宋体" w:hAnsi="宋体" w:eastAsia="宋体" w:cs="宋体"/>
                <w:b w:val="0"/>
                <w:bCs w:val="0"/>
                <w:sz w:val="15"/>
                <w:szCs w:val="15"/>
                <w:lang w:val="en-US" w:eastAsia="zh-CN" w:bidi="ar"/>
              </w:rPr>
              <w:t>%</w:t>
            </w:r>
            <w:r>
              <w:rPr>
                <w:rStyle w:val="20"/>
                <w:rFonts w:hint="eastAsia" w:ascii="宋体" w:hAnsi="宋体" w:eastAsia="宋体" w:cs="宋体"/>
                <w:b w:val="0"/>
                <w:bCs w:val="0"/>
                <w:sz w:val="15"/>
                <w:szCs w:val="15"/>
                <w:lang w:val="en-US" w:eastAsia="zh-CN" w:bidi="ar"/>
              </w:rPr>
              <w:t>）</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 w:hRule="atLeast"/>
        </w:trPr>
        <w:tc>
          <w:tcPr>
            <w:tcW w:w="1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1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000000"/>
                <w:sz w:val="15"/>
                <w:szCs w:val="15"/>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受益群众满意度</w:t>
            </w:r>
          </w:p>
        </w:tc>
        <w:tc>
          <w:tcPr>
            <w:tcW w:w="2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b w:val="0"/>
                <w:bCs w:val="0"/>
                <w:i w:val="0"/>
                <w:iCs w:val="0"/>
                <w:color w:val="000000"/>
                <w:sz w:val="15"/>
                <w:szCs w:val="15"/>
                <w:u w:val="none"/>
              </w:rPr>
            </w:pPr>
            <w:r>
              <w:rPr>
                <w:rFonts w:hint="eastAsia" w:ascii="宋体" w:hAnsi="宋体" w:eastAsia="宋体" w:cs="宋体"/>
                <w:b w:val="0"/>
                <w:bCs w:val="0"/>
                <w:i w:val="0"/>
                <w:iCs w:val="0"/>
                <w:color w:val="000000"/>
                <w:kern w:val="0"/>
                <w:sz w:val="15"/>
                <w:szCs w:val="15"/>
                <w:u w:val="none"/>
                <w:lang w:val="en-US" w:eastAsia="zh-CN" w:bidi="ar"/>
              </w:rPr>
              <w:t>≥90%</w:t>
            </w:r>
          </w:p>
        </w:tc>
        <w:tc>
          <w:tcPr>
            <w:tcW w:w="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0" w:lineRule="atLeast"/>
              <w:jc w:val="center"/>
              <w:rPr>
                <w:rFonts w:hint="eastAsia" w:ascii="宋体" w:hAnsi="宋体" w:eastAsia="宋体" w:cs="宋体"/>
                <w:b w:val="0"/>
                <w:bCs w:val="0"/>
                <w:i w:val="0"/>
                <w:iCs w:val="0"/>
                <w:color w:val="FF0000"/>
                <w:sz w:val="15"/>
                <w:szCs w:val="15"/>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c>
          <w:tcPr>
            <w:tcW w:w="1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0" w:lineRule="atLeast"/>
              <w:rPr>
                <w:rFonts w:hint="eastAsia" w:ascii="宋体" w:hAnsi="宋体" w:eastAsia="宋体" w:cs="宋体"/>
                <w:b w:val="0"/>
                <w:bCs w:val="0"/>
                <w:i w:val="0"/>
                <w:iCs w:val="0"/>
                <w:color w:val="FF0000"/>
                <w:sz w:val="15"/>
                <w:szCs w:val="15"/>
                <w:u w:val="none"/>
              </w:rPr>
            </w:pPr>
          </w:p>
        </w:tc>
      </w:tr>
    </w:tbl>
    <w:p>
      <w:pPr>
        <w:rPr>
          <w:rFonts w:hint="default" w:ascii="Times New Roman" w:hAnsi="Times New Roman" w:cs="Times New Roman"/>
        </w:rPr>
        <w:sectPr>
          <w:pgSz w:w="16838" w:h="11906" w:orient="landscape"/>
          <w:pgMar w:top="567" w:right="1417" w:bottom="567"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二、绩效目标完成情况分析</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（一）资金投入情况分析</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cs="Times New Roman"/>
          <w:b/>
          <w:bCs/>
          <w:sz w:val="32"/>
          <w:szCs w:val="32"/>
        </w:rPr>
        <w:t>1</w:t>
      </w:r>
      <w:r>
        <w:rPr>
          <w:rFonts w:hint="eastAsia" w:ascii="Times New Roman" w:hAnsi="Times New Roman" w:cs="Times New Roman"/>
          <w:b/>
          <w:bCs/>
          <w:sz w:val="32"/>
          <w:szCs w:val="32"/>
          <w:lang w:val="en-US" w:eastAsia="zh-CN"/>
        </w:rPr>
        <w:t>.</w:t>
      </w:r>
      <w:r>
        <w:rPr>
          <w:rFonts w:hint="default" w:ascii="Times New Roman" w:hAnsi="Times New Roman" w:cs="Times New Roman"/>
          <w:b/>
          <w:bCs/>
          <w:sz w:val="32"/>
          <w:szCs w:val="32"/>
        </w:rPr>
        <w:t>项目资金到位情况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eastAsia="仿宋_GB2312" w:cs="Times New Roman"/>
          <w:color w:val="auto"/>
          <w:sz w:val="32"/>
          <w:szCs w:val="32"/>
        </w:rPr>
        <w:t>中央</w:t>
      </w:r>
      <w:r>
        <w:rPr>
          <w:rFonts w:hint="default" w:ascii="Times New Roman" w:hAnsi="Times New Roman" w:cs="Times New Roman"/>
          <w:sz w:val="32"/>
          <w:szCs w:val="32"/>
          <w:lang w:val="en-US" w:eastAsia="zh-CN"/>
        </w:rPr>
        <w:t>下达我区耕地建设与利用资金810173万元</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资金到位率100%。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sz w:val="32"/>
          <w:szCs w:val="32"/>
          <w:lang w:val="en-US" w:eastAsia="zh-CN"/>
        </w:rPr>
        <w:t xml:space="preserve">其中：2022年11月《财政部关于提前下达2023年农业相关转移支付资金预算的通知》（财农〔2022〕82号）下达292329万元。2022年11月《财政部关于提前下达2023年农田建设补助资金预算的通知》（财农〔2022〕89号）下达178157万元。 </w:t>
      </w:r>
      <w:r>
        <w:rPr>
          <w:rFonts w:hint="default" w:ascii="Times New Roman" w:hAnsi="Times New Roman" w:cs="Times New Roman"/>
          <w:color w:val="auto"/>
          <w:sz w:val="32"/>
          <w:szCs w:val="32"/>
          <w:lang w:val="en-US" w:eastAsia="zh-CN"/>
        </w:rPr>
        <w:t>2023年4月《财政部关于下达2023年耕地</w:t>
      </w:r>
      <w:r>
        <w:rPr>
          <w:rFonts w:hint="default" w:ascii="Times New Roman" w:hAnsi="Times New Roman" w:cs="Times New Roman"/>
          <w:sz w:val="32"/>
          <w:szCs w:val="32"/>
          <w:lang w:val="en-US" w:eastAsia="zh-CN"/>
        </w:rPr>
        <w:t>建设与利用资金预算的通知》（财农〔2023〕19号）下达339687万元。</w:t>
      </w:r>
    </w:p>
    <w:p>
      <w:pPr>
        <w:pStyle w:val="11"/>
        <w:keepNext w:val="0"/>
        <w:keepLines w:val="0"/>
        <w:pageBreakBefore w:val="0"/>
        <w:widowControl w:val="0"/>
        <w:kinsoku/>
        <w:wordWrap/>
        <w:overflowPunct/>
        <w:topLinePunct w:val="0"/>
        <w:autoSpaceDE/>
        <w:autoSpaceDN/>
        <w:bidi w:val="0"/>
        <w:snapToGrid/>
        <w:spacing w:after="0" w:line="560" w:lineRule="exact"/>
        <w:ind w:left="0" w:leftChars="0" w:firstLine="642" w:firstLineChars="200"/>
        <w:textAlignment w:val="auto"/>
        <w:rPr>
          <w:rFonts w:hint="eastAsia" w:ascii="Times New Roman" w:hAnsi="Times New Roman" w:eastAsia="仿宋_GB2312" w:cs="Times New Roman"/>
          <w:b/>
          <w:bCs/>
          <w:sz w:val="32"/>
          <w:szCs w:val="32"/>
          <w:highlight w:val="none"/>
          <w:lang w:eastAsia="zh-CN"/>
        </w:rPr>
      </w:pPr>
      <w:r>
        <w:rPr>
          <w:rFonts w:hint="default" w:ascii="Times New Roman" w:hAnsi="Times New Roman" w:cs="Times New Roman"/>
          <w:b/>
          <w:bCs/>
          <w:sz w:val="32"/>
          <w:szCs w:val="32"/>
          <w:highlight w:val="none"/>
        </w:rPr>
        <w:t>2</w:t>
      </w:r>
      <w:r>
        <w:rPr>
          <w:rFonts w:hint="eastAsia" w:ascii="Times New Roman" w:hAnsi="Times New Roman" w:cs="Times New Roman"/>
          <w:b/>
          <w:bCs/>
          <w:sz w:val="32"/>
          <w:szCs w:val="32"/>
          <w:highlight w:val="none"/>
          <w:lang w:val="en-US" w:eastAsia="zh-CN"/>
        </w:rPr>
        <w:t>.</w:t>
      </w:r>
      <w:r>
        <w:rPr>
          <w:rFonts w:hint="default" w:ascii="Times New Roman" w:hAnsi="Times New Roman" w:cs="Times New Roman"/>
          <w:b/>
          <w:bCs/>
          <w:sz w:val="32"/>
          <w:szCs w:val="32"/>
          <w:highlight w:val="none"/>
        </w:rPr>
        <w:t>项目资金执行情况</w:t>
      </w:r>
    </w:p>
    <w:p>
      <w:pPr>
        <w:pStyle w:val="11"/>
        <w:keepNext w:val="0"/>
        <w:keepLines w:val="0"/>
        <w:pageBreakBefore w:val="0"/>
        <w:widowControl w:val="0"/>
        <w:kinsoku/>
        <w:wordWrap/>
        <w:overflowPunct/>
        <w:topLinePunct w:val="0"/>
        <w:autoSpaceDE/>
        <w:autoSpaceDN/>
        <w:bidi w:val="0"/>
        <w:adjustRightInd w:val="0"/>
        <w:snapToGrid/>
        <w:spacing w:after="0" w:line="560" w:lineRule="exact"/>
        <w:ind w:left="0" w:leftChars="0"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年度</w:t>
      </w:r>
      <w:r>
        <w:rPr>
          <w:rFonts w:hint="default" w:ascii="Times New Roman" w:hAnsi="Times New Roman" w:cs="Times New Roman"/>
          <w:sz w:val="32"/>
          <w:szCs w:val="32"/>
          <w:lang w:val="en-US" w:eastAsia="zh-CN"/>
        </w:rPr>
        <w:t>下达耕地建设与利用资金总计810173万元。截至2023年12月31日，共计执行708224.28万元，执行率87.42%</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各地州资金执行情况详见下表：</w:t>
      </w:r>
    </w:p>
    <w:p>
      <w:pPr>
        <w:pStyle w:val="16"/>
        <w:keepNext w:val="0"/>
        <w:keepLines w:val="0"/>
        <w:pageBreakBefore w:val="0"/>
        <w:widowControl w:val="0"/>
        <w:kinsoku/>
        <w:wordWrap/>
        <w:overflowPunct/>
        <w:topLinePunct w:val="0"/>
        <w:autoSpaceDE/>
        <w:autoSpaceDN/>
        <w:bidi w:val="0"/>
        <w:snapToGrid/>
        <w:spacing w:line="500" w:lineRule="exact"/>
        <w:ind w:firstLine="481" w:firstLineChars="200"/>
        <w:jc w:val="center"/>
        <w:textAlignment w:val="auto"/>
        <w:rPr>
          <w:rFonts w:hint="default" w:ascii="Times New Roman" w:hAnsi="Times New Roman" w:cs="Times New Roman"/>
          <w:b/>
          <w:bCs/>
          <w:sz w:val="24"/>
          <w:lang w:val="en-US"/>
        </w:rPr>
      </w:pPr>
      <w:r>
        <w:rPr>
          <w:rFonts w:hint="default" w:ascii="Times New Roman" w:hAnsi="Times New Roman" w:cs="Times New Roman"/>
          <w:b/>
          <w:bCs/>
          <w:sz w:val="24"/>
          <w:lang w:val="en-US" w:eastAsia="zh-CN"/>
        </w:rPr>
        <w:t>2</w:t>
      </w:r>
      <w:r>
        <w:rPr>
          <w:rFonts w:hint="default" w:ascii="Times New Roman" w:hAnsi="Times New Roman" w:cs="Times New Roman"/>
          <w:b/>
          <w:bCs/>
          <w:sz w:val="24"/>
        </w:rPr>
        <w:t>02</w:t>
      </w:r>
      <w:r>
        <w:rPr>
          <w:rFonts w:hint="default" w:ascii="Times New Roman" w:hAnsi="Times New Roman" w:cs="Times New Roman"/>
          <w:b/>
          <w:bCs/>
          <w:sz w:val="24"/>
          <w:lang w:val="en-US" w:eastAsia="zh-CN"/>
        </w:rPr>
        <w:t>3年耕地建设与利用各地州资金执行情况表</w:t>
      </w:r>
    </w:p>
    <w:p>
      <w:pPr>
        <w:pStyle w:val="10"/>
        <w:jc w:val="right"/>
        <w:rPr>
          <w:rFonts w:hint="default" w:ascii="Times New Roman" w:hAnsi="Times New Roman" w:cs="Times New Roman"/>
          <w:b/>
          <w:bCs/>
          <w:sz w:val="18"/>
          <w:szCs w:val="16"/>
          <w:lang w:val="en-US" w:eastAsia="zh-CN"/>
        </w:rPr>
      </w:pPr>
      <w:r>
        <w:rPr>
          <w:rFonts w:hint="default" w:ascii="Times New Roman" w:hAnsi="Times New Roman" w:cs="Times New Roman"/>
          <w:b/>
          <w:bCs/>
          <w:sz w:val="18"/>
          <w:szCs w:val="16"/>
          <w:lang w:val="en-US" w:eastAsia="zh-CN"/>
        </w:rPr>
        <w:t xml:space="preserve">  单位：万元</w:t>
      </w:r>
    </w:p>
    <w:tbl>
      <w:tblPr>
        <w:tblStyle w:val="12"/>
        <w:tblpPr w:leftFromText="180" w:rightFromText="180" w:vertAnchor="text" w:horzAnchor="page" w:tblpXSpec="center" w:tblpY="169"/>
        <w:tblOverlap w:val="never"/>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3992"/>
        <w:gridCol w:w="1287"/>
        <w:gridCol w:w="1289"/>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0"/>
                <w:szCs w:val="20"/>
                <w:u w:val="none"/>
                <w:lang w:val="en-US" w:eastAsia="zh-CN" w:bidi="ar"/>
              </w:rPr>
            </w:pPr>
            <w:r>
              <w:rPr>
                <w:rFonts w:hint="default" w:ascii="Times New Roman" w:hAnsi="Times New Roman" w:cs="Times New Roman" w:eastAsiaTheme="minorEastAsia"/>
                <w:b/>
                <w:bCs/>
                <w:i w:val="0"/>
                <w:iCs w:val="0"/>
                <w:color w:val="000000"/>
                <w:kern w:val="0"/>
                <w:sz w:val="20"/>
                <w:szCs w:val="20"/>
                <w:u w:val="none"/>
                <w:lang w:val="en-US" w:eastAsia="zh-CN" w:bidi="ar"/>
              </w:rPr>
              <w:t>序号</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2"/>
                <w:sz w:val="18"/>
                <w:szCs w:val="18"/>
                <w:u w:val="none"/>
                <w:lang w:val="en-US" w:eastAsia="zh-CN" w:bidi="ar-SA"/>
              </w:rPr>
            </w:pPr>
            <w:r>
              <w:rPr>
                <w:rFonts w:hint="default" w:ascii="Times New Roman" w:hAnsi="Times New Roman" w:cs="Times New Roman" w:eastAsiaTheme="minorEastAsia"/>
                <w:b/>
                <w:bCs/>
                <w:i w:val="0"/>
                <w:iCs w:val="0"/>
                <w:color w:val="000000"/>
                <w:kern w:val="0"/>
                <w:sz w:val="18"/>
                <w:szCs w:val="18"/>
                <w:u w:val="none"/>
                <w:lang w:val="en-US" w:eastAsia="zh-CN" w:bidi="ar"/>
              </w:rPr>
              <w:t>地州/单位</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分配金额</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执行金额</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18"/>
                <w:szCs w:val="18"/>
                <w:u w:val="none"/>
                <w:lang w:val="en-US" w:eastAsia="zh-CN"/>
              </w:rPr>
            </w:pPr>
            <w:r>
              <w:rPr>
                <w:rFonts w:hint="default" w:ascii="Times New Roman" w:hAnsi="Times New Roman" w:cs="Times New Roman" w:eastAsiaTheme="minorEastAsia"/>
                <w:b/>
                <w:bCs/>
                <w:i w:val="0"/>
                <w:iCs w:val="0"/>
                <w:color w:val="00000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乌鲁木齐市</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6667.80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4683.75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伊犁州直</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178598.18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152752.14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塔城地区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45979.29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42901.56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4</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阿勒泰地区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53523.8</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40669.77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博州</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32088.14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28202.31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6</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昌吉州</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83897.92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75471.6</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克拉玛依</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1650.5</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1489</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8</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哈密市</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5066.36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5022.18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9</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吐鲁番市</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10.7</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10</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巴州</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34760.23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26668.51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76.72%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11</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阿克苏地区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140718.28 </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123340.76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12</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克州</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10988.5</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10949.3</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13</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喀什地区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156054.4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137916.49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14</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和田地区</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53956.9</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53397.34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98.96%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15</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新疆农业大学</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298</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298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16</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新疆农业科学院</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354</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304.31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85.96%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sz w:val="18"/>
                <w:szCs w:val="18"/>
                <w:u w:val="none"/>
                <w:lang w:val="en-US" w:eastAsia="zh-CN"/>
              </w:rPr>
            </w:pPr>
            <w:r>
              <w:rPr>
                <w:rFonts w:hint="default" w:ascii="Times New Roman" w:hAnsi="Times New Roman" w:cs="Times New Roman" w:eastAsiaTheme="minorEastAsia"/>
                <w:b w:val="0"/>
                <w:bCs w:val="0"/>
                <w:i w:val="0"/>
                <w:iCs w:val="0"/>
                <w:color w:val="000000"/>
                <w:sz w:val="18"/>
                <w:szCs w:val="18"/>
                <w:u w:val="none"/>
                <w:lang w:val="en-US" w:eastAsia="zh-CN"/>
              </w:rPr>
              <w:t>17</w:t>
            </w:r>
          </w:p>
        </w:tc>
        <w:tc>
          <w:tcPr>
            <w:tcW w:w="2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农业农村厅</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5560</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 xml:space="preserve">4146.56 </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i w:val="0"/>
                <w:iCs w:val="0"/>
                <w:color w:val="000000"/>
                <w:kern w:val="0"/>
                <w:sz w:val="18"/>
                <w:szCs w:val="18"/>
                <w:u w:val="none"/>
                <w:lang w:val="en-US" w:eastAsia="zh-CN" w:bidi="ar"/>
              </w:rPr>
            </w:pPr>
            <w:r>
              <w:rPr>
                <w:rFonts w:hint="default" w:ascii="Times New Roman" w:hAnsi="Times New Roman" w:cs="Times New Roman" w:eastAsiaTheme="minorEastAsia"/>
                <w:b w:val="0"/>
                <w:bCs w:val="0"/>
                <w:i w:val="0"/>
                <w:iCs w:val="0"/>
                <w:color w:val="000000"/>
                <w:kern w:val="0"/>
                <w:sz w:val="18"/>
                <w:szCs w:val="18"/>
                <w:u w:val="none"/>
                <w:lang w:val="en-US" w:eastAsia="zh-CN" w:bidi="ar"/>
              </w:rPr>
              <w:t>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合计</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810173</w:t>
            </w:r>
          </w:p>
        </w:tc>
        <w:tc>
          <w:tcPr>
            <w:tcW w:w="7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708224.28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18"/>
                <w:szCs w:val="18"/>
                <w:u w:val="none"/>
                <w:lang w:val="en-US" w:eastAsia="zh-CN" w:bidi="ar"/>
              </w:rPr>
            </w:pPr>
            <w:r>
              <w:rPr>
                <w:rFonts w:hint="default" w:ascii="Times New Roman" w:hAnsi="Times New Roman" w:cs="Times New Roman" w:eastAsiaTheme="minorEastAsia"/>
                <w:b/>
                <w:bCs/>
                <w:i w:val="0"/>
                <w:iCs w:val="0"/>
                <w:color w:val="000000"/>
                <w:kern w:val="0"/>
                <w:sz w:val="18"/>
                <w:szCs w:val="18"/>
                <w:u w:val="none"/>
                <w:lang w:val="en-US" w:eastAsia="zh-CN" w:bidi="ar"/>
              </w:rPr>
              <w:t>87.42%</w:t>
            </w:r>
          </w:p>
        </w:tc>
      </w:tr>
    </w:tbl>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lang w:val="en-US" w:eastAsia="zh-CN"/>
        </w:rPr>
        <w:t>二</w:t>
      </w:r>
      <w:r>
        <w:rPr>
          <w:rFonts w:hint="default" w:ascii="Times New Roman" w:hAnsi="Times New Roman" w:cs="Times New Roman"/>
          <w:b/>
          <w:bCs/>
          <w:sz w:val="32"/>
          <w:szCs w:val="32"/>
          <w:lang w:eastAsia="zh-CN"/>
        </w:rPr>
        <w:t>）</w:t>
      </w:r>
      <w:r>
        <w:rPr>
          <w:rFonts w:hint="default" w:ascii="Times New Roman" w:hAnsi="Times New Roman" w:cs="Times New Roman"/>
          <w:b/>
          <w:bCs/>
          <w:sz w:val="32"/>
          <w:szCs w:val="32"/>
        </w:rPr>
        <w:t>项目资金管理情况分析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sz w:val="32"/>
          <w:szCs w:val="32"/>
          <w:lang w:val="en-US" w:eastAsia="zh-CN"/>
        </w:rPr>
        <w:t>1</w:t>
      </w:r>
      <w:r>
        <w:rPr>
          <w:rFonts w:hint="eastAsia" w:cs="Times New Roman"/>
          <w:b/>
          <w:bCs/>
          <w:sz w:val="32"/>
          <w:szCs w:val="32"/>
          <w:lang w:val="en-US" w:eastAsia="zh-CN"/>
        </w:rPr>
        <w:t>.</w:t>
      </w:r>
      <w:r>
        <w:rPr>
          <w:rFonts w:hint="default" w:ascii="Times New Roman" w:hAnsi="Times New Roman" w:eastAsia="仿宋_GB2312" w:cs="Times New Roman"/>
          <w:b/>
          <w:bCs/>
          <w:sz w:val="32"/>
          <w:szCs w:val="32"/>
          <w:lang w:val="en-US" w:eastAsia="zh-CN"/>
        </w:rPr>
        <w:t>资金分配科学性</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一</w:t>
      </w:r>
      <w:r>
        <w:rPr>
          <w:rFonts w:hint="default" w:ascii="Times New Roman" w:hAnsi="Times New Roman" w:cs="Times New Roman"/>
          <w:color w:val="auto"/>
          <w:sz w:val="32"/>
          <w:szCs w:val="32"/>
          <w:highlight w:val="none"/>
          <w:shd w:val="clear" w:color="auto" w:fill="FFFFFF"/>
          <w:lang w:val="en-US" w:eastAsia="zh-CN"/>
        </w:rPr>
        <w:t>是</w:t>
      </w:r>
      <w:r>
        <w:rPr>
          <w:rFonts w:hint="default" w:ascii="Times New Roman" w:hAnsi="Times New Roman" w:eastAsia="仿宋_GB2312" w:cs="Times New Roman"/>
          <w:color w:val="auto"/>
          <w:sz w:val="32"/>
          <w:szCs w:val="32"/>
          <w:highlight w:val="none"/>
          <w:shd w:val="clear" w:color="auto" w:fill="FFFFFF"/>
          <w:lang w:val="en-US" w:eastAsia="zh-CN"/>
        </w:rPr>
        <w:t>突出重点。聚焦党中央、国务院关于农业农村高质量发展的重大决策部署</w:t>
      </w:r>
      <w:r>
        <w:rPr>
          <w:rFonts w:hint="eastAsia" w:cs="Times New Roman"/>
          <w:color w:val="auto"/>
          <w:sz w:val="32"/>
          <w:szCs w:val="32"/>
          <w:highlight w:val="none"/>
          <w:shd w:val="clear" w:color="auto" w:fill="FFFFFF"/>
          <w:lang w:val="en-US" w:eastAsia="zh-CN"/>
        </w:rPr>
        <w:t>。按照</w:t>
      </w:r>
      <w:r>
        <w:rPr>
          <w:rFonts w:hint="default" w:ascii="Times New Roman" w:hAnsi="Times New Roman" w:eastAsia="仿宋_GB2312" w:cs="Times New Roman"/>
          <w:color w:val="auto"/>
          <w:sz w:val="32"/>
          <w:szCs w:val="32"/>
          <w:highlight w:val="none"/>
          <w:shd w:val="clear" w:color="auto" w:fill="FFFFFF"/>
          <w:lang w:val="en-US" w:eastAsia="zh-CN"/>
        </w:rPr>
        <w:t>自治区党委、政府以及农业农村部</w:t>
      </w:r>
      <w:r>
        <w:rPr>
          <w:rFonts w:hint="eastAsia" w:cs="Times New Roman"/>
          <w:color w:val="auto"/>
          <w:sz w:val="32"/>
          <w:szCs w:val="32"/>
          <w:highlight w:val="none"/>
          <w:shd w:val="clear" w:color="auto" w:fill="FFFFFF"/>
          <w:lang w:val="en-US" w:eastAsia="zh-CN"/>
        </w:rPr>
        <w:t>部署安排</w:t>
      </w:r>
      <w:r>
        <w:rPr>
          <w:rFonts w:hint="default" w:ascii="Times New Roman" w:hAnsi="Times New Roman" w:eastAsia="仿宋_GB2312" w:cs="Times New Roman"/>
          <w:color w:val="auto"/>
          <w:sz w:val="32"/>
          <w:szCs w:val="32"/>
          <w:highlight w:val="none"/>
          <w:shd w:val="clear" w:color="auto" w:fill="FFFFFF"/>
          <w:lang w:val="en-US" w:eastAsia="zh-CN"/>
        </w:rPr>
        <w:t>，围绕农业农村领域重点目标任务提供资金保障和有力支撑。二</w:t>
      </w:r>
      <w:r>
        <w:rPr>
          <w:rFonts w:hint="default" w:ascii="Times New Roman" w:hAnsi="Times New Roman" w:cs="Times New Roman"/>
          <w:color w:val="auto"/>
          <w:sz w:val="32"/>
          <w:szCs w:val="32"/>
          <w:highlight w:val="none"/>
          <w:shd w:val="clear" w:color="auto" w:fill="FFFFFF"/>
          <w:lang w:val="en-US" w:eastAsia="zh-CN"/>
        </w:rPr>
        <w:t>是</w:t>
      </w:r>
      <w:r>
        <w:rPr>
          <w:rFonts w:hint="default" w:ascii="Times New Roman" w:hAnsi="Times New Roman" w:eastAsia="仿宋_GB2312" w:cs="Times New Roman"/>
          <w:color w:val="auto"/>
          <w:sz w:val="32"/>
          <w:szCs w:val="32"/>
          <w:highlight w:val="none"/>
          <w:shd w:val="clear" w:color="auto" w:fill="FFFFFF"/>
          <w:lang w:val="en-US" w:eastAsia="zh-CN"/>
        </w:rPr>
        <w:t>强化对比分析。</w:t>
      </w:r>
      <w:r>
        <w:rPr>
          <w:rFonts w:hint="default" w:ascii="Times New Roman" w:hAnsi="Times New Roman" w:cs="Times New Roman"/>
          <w:color w:val="auto"/>
          <w:sz w:val="32"/>
          <w:szCs w:val="32"/>
          <w:highlight w:val="none"/>
          <w:shd w:val="clear" w:color="auto" w:fill="FFFFFF"/>
          <w:lang w:val="en-US" w:eastAsia="zh-CN"/>
        </w:rPr>
        <w:t>根据</w:t>
      </w:r>
      <w:r>
        <w:rPr>
          <w:rFonts w:hint="default" w:ascii="Times New Roman" w:hAnsi="Times New Roman" w:eastAsia="仿宋_GB2312" w:cs="Times New Roman"/>
          <w:color w:val="auto"/>
          <w:sz w:val="32"/>
          <w:szCs w:val="32"/>
          <w:highlight w:val="none"/>
          <w:shd w:val="clear" w:color="auto" w:fill="FFFFFF"/>
          <w:lang w:val="en-US" w:eastAsia="zh-CN"/>
        </w:rPr>
        <w:t>分配资金的性质、来源、额度、投资方向、实施期限等基本情况，与上年进行比较分析，研究变化趋势，形成资金分配方案，体现</w:t>
      </w:r>
      <w:r>
        <w:rPr>
          <w:rFonts w:hint="default" w:ascii="Times New Roman" w:hAnsi="Times New Roman" w:cs="Times New Roman"/>
          <w:color w:val="auto"/>
          <w:sz w:val="32"/>
          <w:szCs w:val="32"/>
          <w:highlight w:val="none"/>
          <w:shd w:val="clear" w:color="auto" w:fill="FFFFFF"/>
          <w:lang w:val="en-US" w:eastAsia="zh-CN"/>
        </w:rPr>
        <w:t>资金</w:t>
      </w:r>
      <w:r>
        <w:rPr>
          <w:rFonts w:hint="default" w:ascii="Times New Roman" w:hAnsi="Times New Roman" w:eastAsia="仿宋_GB2312" w:cs="Times New Roman"/>
          <w:color w:val="auto"/>
          <w:sz w:val="32"/>
          <w:szCs w:val="32"/>
          <w:highlight w:val="none"/>
          <w:shd w:val="clear" w:color="auto" w:fill="FFFFFF"/>
          <w:lang w:val="en-US" w:eastAsia="zh-CN"/>
        </w:rPr>
        <w:t>支持的必要性和突出效果。三是提出约束性要求。对照资金分配使用需要达到的目标、任务、效果等，明确实施主体必须完成</w:t>
      </w:r>
      <w:r>
        <w:rPr>
          <w:rFonts w:hint="eastAsia" w:ascii="Times New Roman" w:hAnsi="Times New Roman" w:cs="Times New Roman"/>
          <w:color w:val="auto"/>
          <w:sz w:val="32"/>
          <w:szCs w:val="32"/>
          <w:highlight w:val="none"/>
          <w:shd w:val="clear" w:color="auto" w:fill="FFFFFF"/>
          <w:lang w:val="en-US" w:eastAsia="zh-CN"/>
        </w:rPr>
        <w:t>的</w:t>
      </w:r>
      <w:r>
        <w:rPr>
          <w:rFonts w:hint="default" w:ascii="Times New Roman" w:hAnsi="Times New Roman" w:eastAsia="仿宋_GB2312" w:cs="Times New Roman"/>
          <w:color w:val="auto"/>
          <w:sz w:val="32"/>
          <w:szCs w:val="32"/>
          <w:highlight w:val="none"/>
          <w:shd w:val="clear" w:color="auto" w:fill="FFFFFF"/>
          <w:lang w:val="en-US" w:eastAsia="zh-CN"/>
        </w:rPr>
        <w:t>绩效指标、约束指标、硬性指标。新疆</w:t>
      </w:r>
      <w:r>
        <w:rPr>
          <w:rFonts w:hint="eastAsia" w:ascii="Times New Roman" w:hAnsi="Times New Roman" w:cs="Times New Roman"/>
          <w:color w:val="auto"/>
          <w:sz w:val="32"/>
          <w:szCs w:val="32"/>
          <w:highlight w:val="none"/>
          <w:shd w:val="clear" w:color="auto" w:fill="FFFFFF"/>
          <w:lang w:val="en-US" w:eastAsia="zh-CN"/>
        </w:rPr>
        <w:t>耕地建设与利用资</w:t>
      </w:r>
      <w:r>
        <w:rPr>
          <w:rFonts w:hint="default" w:ascii="Times New Roman" w:hAnsi="Times New Roman" w:eastAsia="仿宋_GB2312" w:cs="Times New Roman"/>
          <w:color w:val="auto"/>
          <w:sz w:val="32"/>
          <w:szCs w:val="32"/>
          <w:highlight w:val="none"/>
          <w:shd w:val="clear" w:color="auto" w:fill="FFFFFF"/>
          <w:lang w:val="en-US" w:eastAsia="zh-CN"/>
        </w:rPr>
        <w:t>金分配额度合理，资金分配依据充分。</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b/>
          <w:bCs/>
          <w:color w:val="auto"/>
          <w:sz w:val="32"/>
          <w:szCs w:val="32"/>
          <w:highlight w:val="none"/>
          <w:shd w:val="clear" w:color="auto" w:fill="FFFFFF"/>
          <w:lang w:val="en-US" w:eastAsia="zh-CN"/>
        </w:rPr>
        <w:t>2</w:t>
      </w:r>
      <w:r>
        <w:rPr>
          <w:rFonts w:hint="eastAsia" w:cs="Times New Roman"/>
          <w:b/>
          <w:bCs/>
          <w:color w:val="auto"/>
          <w:sz w:val="32"/>
          <w:szCs w:val="32"/>
          <w:highlight w:val="none"/>
          <w:shd w:val="clear" w:color="auto" w:fill="FFFFFF"/>
          <w:lang w:val="en-US" w:eastAsia="zh-CN"/>
        </w:rPr>
        <w:t>.</w:t>
      </w:r>
      <w:r>
        <w:rPr>
          <w:rFonts w:hint="default" w:ascii="Times New Roman" w:hAnsi="Times New Roman" w:eastAsia="仿宋_GB2312" w:cs="Times New Roman"/>
          <w:b/>
          <w:bCs/>
          <w:color w:val="auto"/>
          <w:sz w:val="32"/>
          <w:szCs w:val="32"/>
          <w:highlight w:val="none"/>
          <w:shd w:val="clear" w:color="auto" w:fill="FFFFFF"/>
          <w:lang w:val="en-US" w:eastAsia="zh-CN"/>
        </w:rPr>
        <w:t>资金下达及时性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cs="Times New Roman"/>
          <w:color w:val="auto"/>
          <w:sz w:val="32"/>
          <w:szCs w:val="32"/>
          <w:highlight w:val="none"/>
          <w:shd w:val="clear" w:color="auto" w:fill="FFFFFF"/>
          <w:lang w:val="en-US" w:eastAsia="zh-CN"/>
        </w:rPr>
      </w:pPr>
      <w:r>
        <w:rPr>
          <w:rFonts w:hint="default" w:ascii="Times New Roman" w:hAnsi="Times New Roman" w:cs="Times New Roman"/>
          <w:sz w:val="32"/>
          <w:szCs w:val="32"/>
          <w:lang w:val="en-US" w:eastAsia="zh-CN"/>
        </w:rPr>
        <w:t>2023年度，财政部分两批下达我区耕地建设与利用资金，第一批</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第二批资金于2022年11月</w:t>
      </w:r>
      <w:r>
        <w:rPr>
          <w:rFonts w:hint="eastAsia" w:ascii="Times New Roman" w:hAnsi="Times New Roman" w:cs="Times New Roman"/>
          <w:sz w:val="32"/>
          <w:szCs w:val="32"/>
          <w:lang w:val="en-US" w:eastAsia="zh-CN"/>
        </w:rPr>
        <w:t>提前下达，第三批资金于</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4</w:t>
      </w:r>
      <w:r>
        <w:rPr>
          <w:rFonts w:hint="default" w:ascii="Times New Roman" w:hAnsi="Times New Roman" w:cs="Times New Roman"/>
          <w:sz w:val="32"/>
          <w:szCs w:val="32"/>
          <w:lang w:val="en-US" w:eastAsia="zh-CN"/>
        </w:rPr>
        <w:t>月</w:t>
      </w:r>
      <w:r>
        <w:rPr>
          <w:rFonts w:hint="eastAsia" w:ascii="Times New Roman" w:hAnsi="Times New Roman" w:cs="Times New Roman"/>
          <w:sz w:val="32"/>
          <w:szCs w:val="32"/>
          <w:lang w:val="en-US" w:eastAsia="zh-CN"/>
        </w:rPr>
        <w:t>下达</w:t>
      </w:r>
      <w:r>
        <w:rPr>
          <w:rFonts w:hint="default" w:ascii="Times New Roman" w:hAnsi="Times New Roman" w:cs="Times New Roman"/>
          <w:sz w:val="32"/>
          <w:szCs w:val="32"/>
          <w:lang w:val="en-US" w:eastAsia="zh-CN"/>
        </w:rPr>
        <w:t>。根据财政部、农业</w:t>
      </w:r>
      <w:r>
        <w:rPr>
          <w:rFonts w:hint="eastAsia" w:cs="Times New Roman"/>
          <w:sz w:val="32"/>
          <w:szCs w:val="32"/>
          <w:lang w:val="en-US" w:eastAsia="zh-CN"/>
        </w:rPr>
        <w:t>农村</w:t>
      </w:r>
      <w:r>
        <w:rPr>
          <w:rFonts w:hint="default" w:ascii="Times New Roman" w:hAnsi="Times New Roman" w:cs="Times New Roman"/>
          <w:sz w:val="32"/>
          <w:szCs w:val="32"/>
          <w:lang w:val="en-US" w:eastAsia="zh-CN"/>
        </w:rPr>
        <w:t>部有关要求，农业农村厅收到资金文件后，在规定时限内，按管理办法规定提出具体资金分配方案，经厅党组审议同意后，正式行文报财政厅申请下达资金</w:t>
      </w:r>
      <w:r>
        <w:rPr>
          <w:rFonts w:hint="eastAsia" w:cs="Times New Roman"/>
          <w:sz w:val="32"/>
          <w:szCs w:val="32"/>
          <w:lang w:val="en-US" w:eastAsia="zh-CN"/>
        </w:rPr>
        <w:t>。</w:t>
      </w:r>
      <w:r>
        <w:rPr>
          <w:rFonts w:hint="default" w:ascii="Times New Roman" w:hAnsi="Times New Roman" w:cs="Times New Roman"/>
          <w:sz w:val="32"/>
          <w:szCs w:val="32"/>
          <w:lang w:val="en-US" w:eastAsia="zh-CN"/>
        </w:rPr>
        <w:t>专项资金及时拨付至各地县市，</w:t>
      </w:r>
      <w:r>
        <w:rPr>
          <w:rFonts w:hint="default" w:ascii="Times New Roman" w:hAnsi="Times New Roman" w:eastAsia="仿宋_GB2312" w:cs="Times New Roman"/>
          <w:b w:val="0"/>
          <w:bCs w:val="0"/>
          <w:i w:val="0"/>
          <w:iCs w:val="0"/>
          <w:color w:val="auto"/>
          <w:kern w:val="0"/>
          <w:sz w:val="32"/>
          <w:szCs w:val="32"/>
          <w:highlight w:val="none"/>
          <w:u w:val="none"/>
          <w:lang w:val="en-US" w:eastAsia="zh-CN" w:bidi="ar"/>
        </w:rPr>
        <w:t>资金分解下达及时。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default" w:ascii="Times New Roman" w:hAnsi="Times New Roman" w:eastAsia="仿宋_GB2312" w:cs="Times New Roman"/>
          <w:b/>
          <w:bCs/>
          <w:i w:val="0"/>
          <w:iCs w:val="0"/>
          <w:color w:val="auto"/>
          <w:kern w:val="0"/>
          <w:sz w:val="32"/>
          <w:szCs w:val="32"/>
          <w:highlight w:val="none"/>
          <w:u w:val="none"/>
          <w:lang w:val="en-US" w:eastAsia="zh-CN" w:bidi="ar"/>
        </w:rPr>
      </w:pPr>
      <w:r>
        <w:rPr>
          <w:rFonts w:hint="default" w:ascii="Times New Roman" w:hAnsi="Times New Roman" w:eastAsia="仿宋_GB2312" w:cs="Times New Roman"/>
          <w:b/>
          <w:bCs/>
          <w:i w:val="0"/>
          <w:iCs w:val="0"/>
          <w:color w:val="auto"/>
          <w:kern w:val="0"/>
          <w:sz w:val="32"/>
          <w:szCs w:val="32"/>
          <w:highlight w:val="none"/>
          <w:u w:val="none"/>
          <w:lang w:val="en-US" w:eastAsia="zh-CN" w:bidi="ar"/>
        </w:rPr>
        <w:t>3</w:t>
      </w:r>
      <w:r>
        <w:rPr>
          <w:rFonts w:hint="eastAsia" w:cs="Times New Roman"/>
          <w:b/>
          <w:bCs/>
          <w:i w:val="0"/>
          <w:iCs w:val="0"/>
          <w:color w:val="auto"/>
          <w:kern w:val="0"/>
          <w:sz w:val="32"/>
          <w:szCs w:val="32"/>
          <w:highlight w:val="none"/>
          <w:u w:val="none"/>
          <w:lang w:val="en-US" w:eastAsia="zh-CN" w:bidi="ar"/>
        </w:rPr>
        <w:t>.</w:t>
      </w:r>
      <w:r>
        <w:rPr>
          <w:rFonts w:hint="default" w:ascii="Times New Roman" w:hAnsi="Times New Roman" w:eastAsia="仿宋_GB2312" w:cs="Times New Roman"/>
          <w:b/>
          <w:bCs/>
          <w:i w:val="0"/>
          <w:iCs w:val="0"/>
          <w:color w:val="auto"/>
          <w:kern w:val="0"/>
          <w:sz w:val="32"/>
          <w:szCs w:val="32"/>
          <w:highlight w:val="none"/>
          <w:u w:val="none"/>
          <w:lang w:val="en-US" w:eastAsia="zh-CN" w:bidi="ar"/>
        </w:rPr>
        <w:t>资金拨付合规性</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32"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pacing w:val="-2"/>
          <w:sz w:val="32"/>
          <w:szCs w:val="32"/>
          <w:lang w:val="en-US" w:eastAsia="zh-CN"/>
        </w:rPr>
        <w:t>按照《财政部 农业农村部关于修订农业相关转移支付资金管理办法的通知》</w:t>
      </w:r>
      <w:r>
        <w:rPr>
          <w:rFonts w:hint="eastAsia" w:ascii="Times New Roman" w:hAnsi="Times New Roman" w:cs="Times New Roman"/>
          <w:b w:val="0"/>
          <w:bCs w:val="0"/>
          <w:color w:val="auto"/>
          <w:spacing w:val="-2"/>
          <w:sz w:val="32"/>
          <w:szCs w:val="32"/>
          <w:lang w:val="en-US" w:eastAsia="zh-CN"/>
        </w:rPr>
        <w:t>（</w:t>
      </w:r>
      <w:r>
        <w:rPr>
          <w:rFonts w:hint="default" w:ascii="Times New Roman" w:hAnsi="Times New Roman" w:eastAsia="仿宋_GB2312" w:cs="Times New Roman"/>
          <w:b w:val="0"/>
          <w:bCs w:val="0"/>
          <w:color w:val="auto"/>
          <w:spacing w:val="-2"/>
          <w:sz w:val="32"/>
          <w:szCs w:val="32"/>
          <w:lang w:val="en-US" w:eastAsia="zh-CN"/>
        </w:rPr>
        <w:t>财农〔2022〕25号）文件的“第三章 资金分配和预算下达”要求，严格按照国库集中支付制度有关规定支付资金，未出现违规将资金从国库转入财政专户或支付到预算单位实有资金账户等问题</w:t>
      </w:r>
      <w:r>
        <w:rPr>
          <w:rFonts w:hint="default" w:ascii="Times New Roman" w:hAnsi="Times New Roman" w:eastAsia="仿宋_GB2312" w:cs="Times New Roman"/>
          <w:color w:val="auto"/>
          <w:sz w:val="32"/>
          <w:szCs w:val="32"/>
          <w:highlight w:val="none"/>
          <w:shd w:val="clear" w:color="auto" w:fill="FFFFFF"/>
          <w:lang w:val="en-US" w:eastAsia="zh-CN"/>
        </w:rPr>
        <w:t>，资金拨付合规。</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w:t>
      </w:r>
      <w:r>
        <w:rPr>
          <w:rFonts w:hint="eastAsia" w:cs="Times New Roman"/>
          <w:b/>
          <w:bCs/>
          <w:sz w:val="32"/>
          <w:szCs w:val="32"/>
          <w:lang w:val="en-US" w:eastAsia="zh-CN"/>
        </w:rPr>
        <w:t>.</w:t>
      </w:r>
      <w:r>
        <w:rPr>
          <w:rFonts w:hint="default" w:ascii="Times New Roman" w:hAnsi="Times New Roman" w:eastAsia="仿宋_GB2312" w:cs="Times New Roman"/>
          <w:b/>
          <w:bCs/>
          <w:sz w:val="32"/>
          <w:szCs w:val="32"/>
          <w:lang w:val="en-US" w:eastAsia="zh-CN"/>
        </w:rPr>
        <w:t>资金使用规范性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b w:val="0"/>
          <w:bCs w:val="0"/>
          <w:sz w:val="32"/>
          <w:szCs w:val="32"/>
          <w:lang w:val="en-US" w:eastAsia="zh-CN"/>
        </w:rPr>
        <w:t>严格按照</w:t>
      </w:r>
      <w:r>
        <w:rPr>
          <w:rFonts w:hint="default" w:ascii="Times New Roman" w:hAnsi="Times New Roman" w:eastAsia="仿宋_GB2312" w:cs="Times New Roman"/>
          <w:b w:val="0"/>
          <w:bCs w:val="0"/>
          <w:sz w:val="32"/>
          <w:szCs w:val="32"/>
          <w:lang w:val="en-US" w:eastAsia="zh-CN"/>
        </w:rPr>
        <w:t>财政部</w:t>
      </w:r>
      <w:r>
        <w:rPr>
          <w:rFonts w:hint="default" w:ascii="Times New Roman" w:hAnsi="Times New Roman"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农业农村部《</w:t>
      </w:r>
      <w:r>
        <w:rPr>
          <w:rFonts w:hint="default" w:ascii="Times New Roman" w:hAnsi="Times New Roman" w:cs="Times New Roman"/>
          <w:b w:val="0"/>
          <w:bCs w:val="0"/>
          <w:sz w:val="32"/>
          <w:szCs w:val="32"/>
          <w:lang w:val="en-US" w:eastAsia="zh-CN"/>
        </w:rPr>
        <w:t>耕地建设与利用资金管理办法</w:t>
      </w:r>
      <w:r>
        <w:rPr>
          <w:rFonts w:hint="default" w:ascii="Times New Roman" w:hAnsi="Times New Roman" w:eastAsia="仿宋_GB2312" w:cs="Times New Roman"/>
          <w:b w:val="0"/>
          <w:bCs w:val="0"/>
          <w:sz w:val="32"/>
          <w:szCs w:val="32"/>
          <w:lang w:val="en-US" w:eastAsia="zh-CN"/>
        </w:rPr>
        <w:t>》（财农〔202</w:t>
      </w:r>
      <w:r>
        <w:rPr>
          <w:rFonts w:hint="default" w:ascii="Times New Roman" w:hAnsi="Times New Roman"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cs="Times New Roman"/>
          <w:b w:val="0"/>
          <w:bCs w:val="0"/>
          <w:sz w:val="32"/>
          <w:szCs w:val="32"/>
          <w:lang w:val="en-US" w:eastAsia="zh-CN"/>
        </w:rPr>
        <w:t>12</w:t>
      </w:r>
      <w:r>
        <w:rPr>
          <w:rFonts w:hint="default" w:ascii="Times New Roman" w:hAnsi="Times New Roman" w:eastAsia="仿宋_GB2312" w:cs="Times New Roman"/>
          <w:b w:val="0"/>
          <w:bCs w:val="0"/>
          <w:sz w:val="32"/>
          <w:szCs w:val="32"/>
          <w:lang w:val="en-US" w:eastAsia="zh-CN"/>
        </w:rPr>
        <w:t>号）规定</w:t>
      </w:r>
      <w:r>
        <w:rPr>
          <w:rFonts w:hint="default" w:ascii="Times New Roman" w:hAnsi="Times New Roman" w:eastAsia="仿宋_GB2312" w:cs="Times New Roman"/>
          <w:color w:val="auto"/>
          <w:sz w:val="32"/>
          <w:szCs w:val="32"/>
          <w:highlight w:val="none"/>
          <w:lang w:val="en-US" w:eastAsia="zh-CN"/>
        </w:rPr>
        <w:t>，建立资金使用台账，加强资金监管，实行统筹管理、专项核算、专职会计。坚持实事求是的原则，严格执行财务制度，做到原始凭证齐全，财务手续健全，账目核算规范。做</w:t>
      </w:r>
      <w:r>
        <w:rPr>
          <w:rFonts w:hint="eastAsia" w:cs="Times New Roman"/>
          <w:color w:val="auto"/>
          <w:sz w:val="32"/>
          <w:szCs w:val="32"/>
          <w:highlight w:val="none"/>
          <w:lang w:val="en-US" w:eastAsia="zh-CN"/>
        </w:rPr>
        <w:t>到</w:t>
      </w:r>
      <w:r>
        <w:rPr>
          <w:rFonts w:hint="default" w:ascii="Times New Roman" w:hAnsi="Times New Roman" w:eastAsia="仿宋_GB2312" w:cs="Times New Roman"/>
          <w:color w:val="auto"/>
          <w:sz w:val="32"/>
          <w:szCs w:val="32"/>
          <w:highlight w:val="none"/>
          <w:lang w:val="en-US" w:eastAsia="zh-CN"/>
        </w:rPr>
        <w:t>项目资金专款专储专用，</w:t>
      </w:r>
      <w:r>
        <w:rPr>
          <w:rFonts w:hint="eastAsia" w:cs="Times New Roman"/>
          <w:color w:val="auto"/>
          <w:sz w:val="32"/>
          <w:szCs w:val="32"/>
          <w:highlight w:val="none"/>
          <w:lang w:val="en-US" w:eastAsia="zh-CN"/>
        </w:rPr>
        <w:t>不存在</w:t>
      </w:r>
      <w:r>
        <w:rPr>
          <w:rFonts w:hint="default" w:ascii="Times New Roman" w:hAnsi="Times New Roman" w:eastAsia="仿宋_GB2312" w:cs="Times New Roman"/>
          <w:color w:val="auto"/>
          <w:sz w:val="32"/>
          <w:szCs w:val="32"/>
          <w:highlight w:val="none"/>
          <w:lang w:val="en-US" w:eastAsia="zh-CN"/>
        </w:rPr>
        <w:t>资金占用</w:t>
      </w:r>
      <w:r>
        <w:rPr>
          <w:rFonts w:hint="eastAsia" w:cs="Times New Roman"/>
          <w:color w:val="auto"/>
          <w:sz w:val="32"/>
          <w:szCs w:val="32"/>
          <w:highlight w:val="none"/>
          <w:lang w:val="en-US" w:eastAsia="zh-CN"/>
        </w:rPr>
        <w:t>情况</w:t>
      </w:r>
      <w:r>
        <w:rPr>
          <w:rFonts w:hint="default" w:ascii="Times New Roman" w:hAnsi="Times New Roman" w:eastAsia="仿宋_GB2312" w:cs="Times New Roman"/>
          <w:color w:val="auto"/>
          <w:sz w:val="32"/>
          <w:szCs w:val="32"/>
          <w:highlight w:val="none"/>
          <w:lang w:val="en-US" w:eastAsia="zh-CN"/>
        </w:rPr>
        <w:t>。资金使用符合</w:t>
      </w:r>
      <w:r>
        <w:rPr>
          <w:rFonts w:hint="default" w:ascii="Times New Roman" w:hAnsi="Times New Roman" w:eastAsia="仿宋_GB2312" w:cs="Times New Roman"/>
          <w:color w:val="auto"/>
          <w:sz w:val="32"/>
          <w:szCs w:val="32"/>
          <w:highlight w:val="none"/>
        </w:rPr>
        <w:t>中央</w:t>
      </w:r>
      <w:r>
        <w:rPr>
          <w:rFonts w:hint="default" w:ascii="Times New Roman" w:hAnsi="Times New Roman" w:cs="Times New Roman"/>
          <w:b w:val="0"/>
          <w:bCs w:val="0"/>
          <w:sz w:val="32"/>
          <w:szCs w:val="32"/>
          <w:lang w:val="en-US" w:eastAsia="zh-CN"/>
        </w:rPr>
        <w:t>耕地建设与利用</w:t>
      </w:r>
      <w:r>
        <w:rPr>
          <w:rFonts w:hint="default" w:ascii="Times New Roman" w:hAnsi="Times New Roman" w:eastAsia="仿宋_GB2312" w:cs="Times New Roman"/>
          <w:color w:val="auto"/>
          <w:sz w:val="32"/>
          <w:szCs w:val="32"/>
          <w:highlight w:val="none"/>
        </w:rPr>
        <w:t>资金使用范围</w:t>
      </w:r>
      <w:r>
        <w:rPr>
          <w:rFonts w:hint="default" w:ascii="Times New Roman" w:hAnsi="Times New Roman" w:eastAsia="仿宋_GB2312" w:cs="Times New Roman"/>
          <w:color w:val="auto"/>
          <w:sz w:val="32"/>
          <w:szCs w:val="32"/>
          <w:highlight w:val="none"/>
          <w:lang w:val="en-US" w:eastAsia="zh-CN"/>
        </w:rPr>
        <w:t>要求，在中央巡视、各级审计和财政监督中未发现问题。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5</w:t>
      </w:r>
      <w:r>
        <w:rPr>
          <w:rFonts w:hint="eastAsia"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资金执行准确性</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lang w:val="en" w:eastAsia="zh-CN"/>
        </w:rPr>
        <w:t>农业农村厅印发《关于全力以赴抓好2023年涉农项目资金监管工作的通知》</w:t>
      </w:r>
      <w:r>
        <w:rPr>
          <w:rFonts w:hint="default" w:ascii="Times New Roman" w:hAnsi="Times New Roman"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 w:eastAsia="zh-CN"/>
        </w:rPr>
        <w:t>《关于印发</w:t>
      </w:r>
      <w:r>
        <w:rPr>
          <w:rFonts w:hint="default" w:ascii="Times New Roman" w:hAnsi="Times New Roman" w:eastAsia="仿宋_GB2312" w:cs="Times New Roman"/>
          <w:color w:val="auto"/>
          <w:sz w:val="32"/>
          <w:szCs w:val="32"/>
          <w:highlight w:val="none"/>
          <w:lang w:val="en-US" w:eastAsia="zh-CN"/>
        </w:rPr>
        <w:t>&lt;</w:t>
      </w:r>
      <w:r>
        <w:rPr>
          <w:rFonts w:hint="default" w:ascii="Times New Roman" w:hAnsi="Times New Roman" w:eastAsia="仿宋_GB2312" w:cs="Times New Roman"/>
          <w:color w:val="auto"/>
          <w:sz w:val="32"/>
          <w:szCs w:val="32"/>
          <w:highlight w:val="none"/>
          <w:lang w:val="en" w:eastAsia="zh-CN"/>
        </w:rPr>
        <w:t>关于加强农业农村厅涉农资金规范管理的办法（试行）</w:t>
      </w:r>
      <w:r>
        <w:rPr>
          <w:rFonts w:hint="default" w:ascii="Times New Roman" w:hAnsi="Times New Roman" w:eastAsia="仿宋_GB2312" w:cs="Times New Roman"/>
          <w:color w:val="auto"/>
          <w:sz w:val="32"/>
          <w:szCs w:val="32"/>
          <w:highlight w:val="none"/>
          <w:lang w:val="en-US" w:eastAsia="zh-CN"/>
        </w:rPr>
        <w:t>&gt;</w:t>
      </w:r>
      <w:r>
        <w:rPr>
          <w:rFonts w:hint="default" w:ascii="Times New Roman" w:hAnsi="Times New Roman" w:eastAsia="仿宋_GB2312" w:cs="Times New Roman"/>
          <w:color w:val="auto"/>
          <w:sz w:val="32"/>
          <w:szCs w:val="32"/>
          <w:highlight w:val="none"/>
          <w:lang w:val="en" w:eastAsia="zh-CN"/>
        </w:rPr>
        <w:t>的通知》等，委托第三方</w:t>
      </w:r>
      <w:r>
        <w:rPr>
          <w:rFonts w:hint="default" w:ascii="Times New Roman" w:hAnsi="Times New Roman" w:eastAsia="仿宋_GB2312" w:cs="Times New Roman"/>
          <w:color w:val="auto"/>
          <w:sz w:val="32"/>
          <w:szCs w:val="32"/>
          <w:highlight w:val="none"/>
          <w:lang w:val="en-US" w:eastAsia="zh-CN"/>
        </w:rPr>
        <w:t>专业机构</w:t>
      </w:r>
      <w:r>
        <w:rPr>
          <w:rFonts w:hint="default" w:ascii="Times New Roman" w:hAnsi="Times New Roman" w:eastAsia="仿宋_GB2312" w:cs="Times New Roman"/>
          <w:color w:val="auto"/>
          <w:sz w:val="32"/>
          <w:szCs w:val="32"/>
          <w:highlight w:val="none"/>
          <w:lang w:val="en" w:eastAsia="zh-CN"/>
        </w:rPr>
        <w:t>对项目开展实地绩效评价，</w:t>
      </w:r>
      <w:r>
        <w:rPr>
          <w:rFonts w:hint="default" w:ascii="Times New Roman" w:hAnsi="Times New Roman" w:eastAsia="仿宋_GB2312" w:cs="Times New Roman"/>
          <w:color w:val="auto"/>
          <w:sz w:val="32"/>
          <w:szCs w:val="32"/>
          <w:highlight w:val="none"/>
          <w:lang w:val="en-US" w:eastAsia="zh-CN"/>
        </w:rPr>
        <w:t>对发现问题通过发提醒函或约谈等形式及时协调推动解决，</w:t>
      </w:r>
      <w:r>
        <w:rPr>
          <w:rFonts w:hint="default" w:ascii="Times New Roman" w:hAnsi="Times New Roman" w:eastAsia="仿宋_GB2312" w:cs="Times New Roman"/>
          <w:color w:val="auto"/>
          <w:sz w:val="32"/>
          <w:szCs w:val="32"/>
          <w:highlight w:val="none"/>
          <w:lang w:val="en" w:eastAsia="zh-CN"/>
        </w:rPr>
        <w:t>督促做好涉农项目资金管理工作。</w:t>
      </w:r>
      <w:r>
        <w:rPr>
          <w:rFonts w:hint="default" w:ascii="Times New Roman" w:hAnsi="Times New Roman" w:eastAsia="仿宋_GB2312" w:cs="Times New Roman"/>
          <w:b w:val="0"/>
          <w:bCs w:val="0"/>
          <w:color w:val="auto"/>
          <w:sz w:val="32"/>
          <w:szCs w:val="32"/>
          <w:highlight w:val="none"/>
          <w:lang w:val="en-US" w:eastAsia="zh-CN"/>
        </w:rPr>
        <w:t>自治区党委政府将</w:t>
      </w:r>
      <w:r>
        <w:rPr>
          <w:rFonts w:hint="default" w:ascii="Times New Roman" w:hAnsi="Times New Roman" w:eastAsia="仿宋_GB2312" w:cs="Times New Roman"/>
          <w:color w:val="auto"/>
          <w:sz w:val="32"/>
          <w:szCs w:val="32"/>
          <w:highlight w:val="none"/>
          <w:lang w:val="en-US" w:eastAsia="zh-CN"/>
        </w:rPr>
        <w:t>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抓好资金监管</w:t>
      </w:r>
      <w:r>
        <w:rPr>
          <w:rFonts w:hint="default" w:ascii="Times New Roman" w:hAnsi="Times New Roman" w:cs="Times New Roman"/>
          <w:color w:val="auto"/>
          <w:sz w:val="32"/>
          <w:szCs w:val="32"/>
          <w:highlight w:val="none"/>
          <w:lang w:val="en-US" w:eastAsia="zh-CN"/>
        </w:rPr>
        <w:t>，资金执行准确。</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6</w:t>
      </w:r>
      <w:r>
        <w:rPr>
          <w:rFonts w:hint="eastAsia"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预算绩效管理情况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按照《中共中央国务院关于全面实施预算绩效管理的意见》、《关于印发&lt;自治区本级部门预算绩效目标管理办法&gt;的通知》（新财预〔2017〕21号</w:t>
      </w:r>
      <w:r>
        <w:rPr>
          <w:rFonts w:hint="eastAsia" w:ascii="Times New Roman" w:hAnsi="Times New Roman" w:cs="Times New Roman"/>
          <w:color w:val="auto"/>
          <w:sz w:val="32"/>
          <w:szCs w:val="32"/>
          <w:highlight w:val="none"/>
          <w:shd w:val="clear" w:color="auto" w:fill="FFFFFF"/>
          <w:lang w:val="en-US" w:eastAsia="zh-CN"/>
        </w:rPr>
        <w:t>）</w:t>
      </w:r>
      <w:r>
        <w:rPr>
          <w:rFonts w:hint="default" w:ascii="Times New Roman" w:hAnsi="Times New Roman" w:eastAsia="仿宋_GB2312" w:cs="Times New Roman"/>
          <w:color w:val="auto"/>
          <w:sz w:val="32"/>
          <w:szCs w:val="32"/>
          <w:highlight w:val="none"/>
          <w:shd w:val="clear" w:color="auto" w:fill="FFFFFF"/>
          <w:lang w:val="en-US" w:eastAsia="zh-CN"/>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资金安全规范使用，年度绩效目标如期实现。</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w:t>
      </w:r>
      <w:r>
        <w:rPr>
          <w:rFonts w:hint="eastAsia" w:ascii="Times New Roman" w:hAnsi="Times New Roman" w:cs="Times New Roman"/>
          <w:b/>
          <w:bCs/>
          <w:sz w:val="32"/>
          <w:szCs w:val="32"/>
          <w:lang w:val="en-US" w:eastAsia="zh-CN"/>
        </w:rPr>
        <w:t>.</w:t>
      </w:r>
      <w:r>
        <w:rPr>
          <w:rFonts w:hint="default" w:ascii="Times New Roman" w:hAnsi="Times New Roman" w:eastAsia="仿宋_GB2312" w:cs="Times New Roman"/>
          <w:b/>
          <w:bCs/>
          <w:sz w:val="32"/>
          <w:szCs w:val="32"/>
          <w:lang w:val="en-US" w:eastAsia="zh-CN"/>
        </w:rPr>
        <w:t>支出责任履行情况</w:t>
      </w:r>
      <w:r>
        <w:rPr>
          <w:rFonts w:hint="eastAsia" w:ascii="Times New Roman" w:hAnsi="Times New Roman" w:cs="Times New Roman"/>
          <w:b/>
          <w:bCs/>
          <w:sz w:val="32"/>
          <w:szCs w:val="32"/>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对共同财政事权转移支付，按照财政事权和支出责任划分有关规定，足额安排资金履行本级支出责任，支出责任履行情况良好。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Hans"/>
        </w:rPr>
      </w:pPr>
      <w:r>
        <w:rPr>
          <w:rFonts w:hint="default" w:ascii="Times New Roman" w:hAnsi="Times New Roman" w:eastAsia="仿宋_GB2312" w:cs="Times New Roman"/>
          <w:sz w:val="32"/>
          <w:szCs w:val="32"/>
          <w:highlight w:val="none"/>
          <w:lang w:val="en-US" w:eastAsia="zh-Hans"/>
        </w:rPr>
        <w:t>项目实施乡镇人民政府为直接责任人，地县农业农村局为项目主管部门对项目资金使用、监督和验收负主体责任；单位主要领导为项目监督和实施第一责任人</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Hans"/>
        </w:rPr>
        <w:t>主动与财政部门做好项目资金对接落实工作，资金及时到位，安全使用；</w:t>
      </w:r>
      <w:r>
        <w:rPr>
          <w:rFonts w:hint="default" w:ascii="Times New Roman" w:hAnsi="Times New Roman" w:eastAsia="仿宋_GB2312" w:cs="Times New Roman"/>
          <w:sz w:val="32"/>
          <w:szCs w:val="32"/>
          <w:highlight w:val="none"/>
          <w:lang w:val="en-US" w:eastAsia="zh-CN"/>
        </w:rPr>
        <w:t>自治区农业农村厅</w:t>
      </w:r>
      <w:r>
        <w:rPr>
          <w:rFonts w:hint="default" w:ascii="Times New Roman" w:hAnsi="Times New Roman" w:eastAsia="仿宋_GB2312" w:cs="Times New Roman"/>
          <w:sz w:val="32"/>
          <w:szCs w:val="32"/>
          <w:highlight w:val="none"/>
          <w:lang w:val="en-US" w:eastAsia="zh-Hans"/>
        </w:rPr>
        <w:t>建立项目执行定期调度督导机制，掌握项目执行和资金使用情况，</w:t>
      </w:r>
      <w:r>
        <w:rPr>
          <w:rFonts w:hint="default" w:ascii="Times New Roman" w:hAnsi="Times New Roman" w:eastAsia="仿宋_GB2312" w:cs="Times New Roman"/>
          <w:sz w:val="32"/>
          <w:szCs w:val="32"/>
          <w:highlight w:val="none"/>
          <w:lang w:val="en-US" w:eastAsia="zh-CN"/>
        </w:rPr>
        <w:t>不断总结经验和问题，</w:t>
      </w:r>
      <w:r>
        <w:rPr>
          <w:rFonts w:hint="default" w:ascii="Times New Roman" w:hAnsi="Times New Roman" w:eastAsia="仿宋_GB2312" w:cs="Times New Roman"/>
          <w:sz w:val="32"/>
          <w:szCs w:val="32"/>
          <w:highlight w:val="none"/>
          <w:lang w:val="en-US" w:eastAsia="zh-Hans"/>
        </w:rPr>
        <w:t>项目执行到位、资金使用规范。</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（三）总体绩效目标完成情况分析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2023年完成</w:t>
      </w:r>
      <w:r>
        <w:rPr>
          <w:rFonts w:hint="default" w:ascii="Times New Roman" w:hAnsi="Times New Roman" w:eastAsia="仿宋_GB2312" w:cs="Times New Roman"/>
          <w:sz w:val="32"/>
          <w:szCs w:val="32"/>
          <w:highlight w:val="none"/>
          <w:lang w:val="en-US" w:eastAsia="zh-Hans"/>
        </w:rPr>
        <w:t>测土配方施肥技术推广面积</w:t>
      </w:r>
      <w:r>
        <w:rPr>
          <w:rFonts w:hint="default" w:ascii="Times New Roman" w:hAnsi="Times New Roman" w:eastAsia="仿宋_GB2312" w:cs="Times New Roman"/>
          <w:sz w:val="32"/>
          <w:szCs w:val="32"/>
          <w:highlight w:val="none"/>
          <w:lang w:val="en-US" w:eastAsia="zh-CN"/>
        </w:rPr>
        <w:t>7228.11万亩，</w:t>
      </w:r>
      <w:r>
        <w:rPr>
          <w:rFonts w:hint="default" w:ascii="Times New Roman" w:hAnsi="Times New Roman" w:eastAsia="仿宋_GB2312" w:cs="Times New Roman"/>
          <w:sz w:val="32"/>
          <w:szCs w:val="32"/>
          <w:highlight w:val="none"/>
          <w:lang w:val="en-US" w:eastAsia="zh-Hans"/>
        </w:rPr>
        <w:t>化肥减量增效“三新”配套示范面积</w:t>
      </w:r>
      <w:r>
        <w:rPr>
          <w:rFonts w:hint="default" w:ascii="Times New Roman" w:hAnsi="Times New Roman" w:eastAsia="仿宋_GB2312" w:cs="Times New Roman"/>
          <w:sz w:val="32"/>
          <w:szCs w:val="32"/>
          <w:highlight w:val="none"/>
          <w:lang w:val="en-US" w:eastAsia="zh-CN"/>
        </w:rPr>
        <w:t>122.55万亩，</w:t>
      </w:r>
      <w:r>
        <w:rPr>
          <w:rFonts w:hint="default" w:ascii="Times New Roman" w:hAnsi="Times New Roman" w:eastAsia="仿宋_GB2312" w:cs="Times New Roman"/>
          <w:sz w:val="32"/>
          <w:szCs w:val="32"/>
          <w:highlight w:val="none"/>
          <w:lang w:val="en-US" w:eastAsia="zh-Hans"/>
        </w:rPr>
        <w:t>耕地轮作试点面积</w:t>
      </w:r>
      <w:r>
        <w:rPr>
          <w:rFonts w:hint="default" w:ascii="Times New Roman" w:hAnsi="Times New Roman" w:eastAsia="仿宋_GB2312" w:cs="Times New Roman"/>
          <w:sz w:val="32"/>
          <w:szCs w:val="32"/>
          <w:highlight w:val="none"/>
          <w:lang w:val="en-US" w:eastAsia="zh-CN"/>
        </w:rPr>
        <w:t>258.1万亩，</w:t>
      </w:r>
      <w:r>
        <w:rPr>
          <w:rFonts w:hint="default" w:ascii="Times New Roman" w:hAnsi="Times New Roman" w:eastAsia="仿宋_GB2312" w:cs="Times New Roman"/>
          <w:sz w:val="32"/>
          <w:szCs w:val="32"/>
          <w:highlight w:val="none"/>
          <w:lang w:val="en-US" w:eastAsia="zh-Hans"/>
        </w:rPr>
        <w:t>耕地休耕试点面积</w:t>
      </w:r>
      <w:r>
        <w:rPr>
          <w:rFonts w:hint="default" w:ascii="Times New Roman" w:hAnsi="Times New Roman" w:eastAsia="仿宋_GB2312" w:cs="Times New Roman"/>
          <w:sz w:val="32"/>
          <w:szCs w:val="32"/>
          <w:highlight w:val="none"/>
          <w:lang w:val="en-US" w:eastAsia="zh-CN"/>
        </w:rPr>
        <w:t>16万亩，</w:t>
      </w:r>
      <w:r>
        <w:rPr>
          <w:rFonts w:hint="default" w:ascii="Times New Roman" w:hAnsi="Times New Roman" w:eastAsia="仿宋_GB2312" w:cs="Times New Roman"/>
          <w:sz w:val="32"/>
          <w:szCs w:val="32"/>
          <w:highlight w:val="none"/>
          <w:lang w:val="en-US" w:eastAsia="zh-Hans"/>
        </w:rPr>
        <w:t>新建高标准农田面积</w:t>
      </w:r>
      <w:r>
        <w:rPr>
          <w:rFonts w:hint="default" w:ascii="Times New Roman" w:hAnsi="Times New Roman" w:eastAsia="仿宋_GB2312" w:cs="Times New Roman"/>
          <w:sz w:val="32"/>
          <w:szCs w:val="32"/>
          <w:highlight w:val="none"/>
          <w:lang w:val="en-US" w:eastAsia="zh-CN"/>
        </w:rPr>
        <w:t>288万亩，</w:t>
      </w:r>
      <w:r>
        <w:rPr>
          <w:rFonts w:hint="default" w:ascii="Times New Roman" w:hAnsi="Times New Roman" w:eastAsia="仿宋_GB2312" w:cs="Times New Roman"/>
          <w:sz w:val="32"/>
          <w:szCs w:val="32"/>
          <w:highlight w:val="none"/>
          <w:lang w:val="en-US" w:eastAsia="zh-Hans"/>
        </w:rPr>
        <w:t>改造提升高标准农田面积</w:t>
      </w:r>
      <w:r>
        <w:rPr>
          <w:rFonts w:hint="default" w:ascii="Times New Roman" w:hAnsi="Times New Roman" w:eastAsia="仿宋_GB2312" w:cs="Times New Roman"/>
          <w:sz w:val="32"/>
          <w:szCs w:val="32"/>
          <w:highlight w:val="none"/>
          <w:lang w:val="en-US" w:eastAsia="zh-CN"/>
        </w:rPr>
        <w:t>75万亩，</w:t>
      </w:r>
      <w:r>
        <w:rPr>
          <w:rFonts w:hint="default" w:ascii="Times New Roman" w:hAnsi="Times New Roman" w:eastAsia="仿宋_GB2312" w:cs="Times New Roman"/>
          <w:sz w:val="32"/>
          <w:szCs w:val="32"/>
          <w:highlight w:val="none"/>
          <w:lang w:val="en-US" w:eastAsia="zh-Hans"/>
        </w:rPr>
        <w:t>新增高效节水灌溉面积</w:t>
      </w:r>
      <w:r>
        <w:rPr>
          <w:rFonts w:hint="default" w:ascii="Times New Roman" w:hAnsi="Times New Roman" w:eastAsia="仿宋_GB2312" w:cs="Times New Roman"/>
          <w:sz w:val="32"/>
          <w:szCs w:val="32"/>
          <w:highlight w:val="none"/>
          <w:lang w:val="en-US" w:eastAsia="zh-CN"/>
        </w:rPr>
        <w:t>77万亩，有效改善</w:t>
      </w:r>
      <w:r>
        <w:rPr>
          <w:rFonts w:hint="default" w:ascii="Times New Roman" w:hAnsi="Times New Roman" w:cs="Times New Roman"/>
          <w:sz w:val="32"/>
          <w:szCs w:val="32"/>
          <w:highlight w:val="none"/>
          <w:lang w:val="en-US" w:eastAsia="zh-CN"/>
        </w:rPr>
        <w:t>了</w:t>
      </w:r>
      <w:r>
        <w:rPr>
          <w:rFonts w:hint="default" w:ascii="Times New Roman" w:hAnsi="Times New Roman" w:eastAsia="仿宋_GB2312" w:cs="Times New Roman"/>
          <w:sz w:val="32"/>
          <w:szCs w:val="32"/>
          <w:highlight w:val="none"/>
          <w:lang w:val="en-US" w:eastAsia="zh-CN"/>
        </w:rPr>
        <w:t>项目区农田基础设施条件，</w:t>
      </w:r>
      <w:r>
        <w:rPr>
          <w:rFonts w:hint="default" w:ascii="Times New Roman" w:hAnsi="Times New Roman" w:cs="Times New Roman"/>
          <w:sz w:val="32"/>
          <w:szCs w:val="32"/>
          <w:highlight w:val="none"/>
          <w:lang w:val="en-US" w:eastAsia="zh-CN"/>
        </w:rPr>
        <w:t>不断</w:t>
      </w:r>
      <w:r>
        <w:rPr>
          <w:rFonts w:hint="default" w:ascii="Times New Roman" w:hAnsi="Times New Roman" w:eastAsia="仿宋_GB2312" w:cs="Times New Roman"/>
          <w:sz w:val="32"/>
          <w:szCs w:val="32"/>
          <w:highlight w:val="none"/>
          <w:lang w:val="en-US" w:eastAsia="zh-CN"/>
        </w:rPr>
        <w:t>提升耕地质量，提高粮食综合生产能力</w:t>
      </w:r>
      <w:r>
        <w:rPr>
          <w:rFonts w:hint="default" w:ascii="Times New Roman" w:hAnsi="Times New Roman"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提升农田灌溉排水和节水能力</w:t>
      </w:r>
      <w:r>
        <w:rPr>
          <w:rFonts w:hint="default" w:ascii="Times New Roman" w:hAnsi="Times New Roman" w:cs="Times New Roman"/>
          <w:sz w:val="32"/>
          <w:szCs w:val="32"/>
          <w:highlight w:val="none"/>
          <w:lang w:val="en-US" w:eastAsia="zh-CN"/>
        </w:rPr>
        <w:t>。</w:t>
      </w:r>
      <w:r>
        <w:rPr>
          <w:rFonts w:hint="default" w:ascii="Times New Roman" w:hAnsi="Times New Roman" w:cs="Times New Roman"/>
          <w:sz w:val="32"/>
          <w:szCs w:val="32"/>
          <w:highlight w:val="none"/>
          <w:lang w:val="en-US" w:eastAsia="zh-CN"/>
        </w:rPr>
        <w:tab/>
      </w:r>
      <w:r>
        <w:rPr>
          <w:rFonts w:hint="default" w:ascii="Times New Roman" w:hAnsi="Times New Roman" w:cs="Times New Roman"/>
          <w:sz w:val="32"/>
          <w:szCs w:val="32"/>
          <w:highlight w:val="none"/>
          <w:lang w:val="en-US" w:eastAsia="zh-CN"/>
        </w:rPr>
        <w:tab/>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sz w:val="32"/>
          <w:szCs w:val="36"/>
          <w:lang w:val="en-US" w:eastAsia="zh-CN"/>
        </w:rPr>
      </w:pPr>
      <w:r>
        <w:rPr>
          <w:rFonts w:hint="default" w:ascii="Times New Roman" w:hAnsi="Times New Roman" w:eastAsia="楷体" w:cs="Times New Roman"/>
          <w:b/>
          <w:bCs/>
          <w:sz w:val="32"/>
          <w:szCs w:val="36"/>
          <w:lang w:val="en-US" w:eastAsia="zh-CN"/>
        </w:rPr>
        <w:t>（四）绩效指标完成情况分析</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sz w:val="32"/>
          <w:szCs w:val="36"/>
          <w:lang w:val="en-US" w:eastAsia="zh-CN"/>
        </w:rPr>
      </w:pPr>
      <w:r>
        <w:rPr>
          <w:rFonts w:hint="default" w:ascii="Times New Roman" w:hAnsi="Times New Roman" w:eastAsia="楷体" w:cs="Times New Roman"/>
          <w:b/>
          <w:bCs/>
          <w:sz w:val="32"/>
          <w:szCs w:val="36"/>
          <w:lang w:val="en-US" w:eastAsia="zh-CN"/>
        </w:rPr>
        <w:t>1</w:t>
      </w:r>
      <w:r>
        <w:rPr>
          <w:rFonts w:hint="eastAsia" w:ascii="Times New Roman" w:hAnsi="Times New Roman" w:eastAsia="楷体" w:cs="Times New Roman"/>
          <w:b/>
          <w:bCs/>
          <w:sz w:val="32"/>
          <w:szCs w:val="36"/>
          <w:lang w:val="en-US" w:eastAsia="zh-CN"/>
        </w:rPr>
        <w:t>.</w:t>
      </w:r>
      <w:r>
        <w:rPr>
          <w:rFonts w:hint="default" w:ascii="Times New Roman" w:hAnsi="Times New Roman" w:eastAsia="楷体" w:cs="Times New Roman"/>
          <w:b/>
          <w:bCs/>
          <w:sz w:val="32"/>
          <w:szCs w:val="36"/>
          <w:lang w:val="en-US" w:eastAsia="zh-CN"/>
        </w:rPr>
        <w:t>产出指标完成情况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（1）数量指标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a.财政部随文下达外业调查采样和内业测试化验点位数指标，指标值为18942个，我区实际完成18942个，完成率100%，偏差率0%。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b</w:t>
      </w:r>
      <w:r>
        <w:rPr>
          <w:rFonts w:hint="default" w:ascii="Times New Roman" w:hAnsi="Times New Roman" w:eastAsia="仿宋_GB2312" w:cs="Times New Roman"/>
          <w:b w:val="0"/>
          <w:bCs w:val="0"/>
          <w:sz w:val="32"/>
          <w:szCs w:val="36"/>
          <w:highlight w:val="none"/>
          <w:lang w:val="en-US" w:eastAsia="zh-CN"/>
        </w:rPr>
        <w:tab/>
      </w:r>
      <w:r>
        <w:rPr>
          <w:rFonts w:hint="default" w:ascii="Times New Roman" w:hAnsi="Times New Roman" w:eastAsia="仿宋_GB2312" w:cs="Times New Roman"/>
          <w:b w:val="0"/>
          <w:bCs w:val="0"/>
          <w:sz w:val="32"/>
          <w:szCs w:val="36"/>
          <w:highlight w:val="none"/>
          <w:lang w:val="en-US" w:eastAsia="zh-CN"/>
        </w:rPr>
        <w:t>.财政部随文下达测土配方施肥技术推广面积指标，指标值为7000万亩，我区实际完成7228.11万亩，完成率103.26%，偏差率3.26%。</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c</w:t>
      </w:r>
      <w:r>
        <w:rPr>
          <w:rFonts w:hint="default" w:ascii="Times New Roman" w:hAnsi="Times New Roman" w:eastAsia="仿宋_GB2312" w:cs="Times New Roman"/>
          <w:b w:val="0"/>
          <w:bCs w:val="0"/>
          <w:sz w:val="32"/>
          <w:szCs w:val="36"/>
          <w:highlight w:val="none"/>
          <w:lang w:val="en-US" w:eastAsia="zh-CN"/>
        </w:rPr>
        <w:tab/>
      </w:r>
      <w:r>
        <w:rPr>
          <w:rFonts w:hint="default" w:ascii="Times New Roman" w:hAnsi="Times New Roman" w:eastAsia="仿宋_GB2312" w:cs="Times New Roman"/>
          <w:b w:val="0"/>
          <w:bCs w:val="0"/>
          <w:sz w:val="32"/>
          <w:szCs w:val="36"/>
          <w:highlight w:val="none"/>
          <w:lang w:val="en-US" w:eastAsia="zh-CN"/>
        </w:rPr>
        <w:t>.财政部随文下达化肥减量增效“三新”配套示范面积指标，指标值为102万亩，我区实际完成122.55万亩，完成率120.15%，偏差率20.15%。</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d</w:t>
      </w:r>
      <w:r>
        <w:rPr>
          <w:rFonts w:hint="default" w:ascii="Times New Roman" w:hAnsi="Times New Roman" w:eastAsia="仿宋_GB2312" w:cs="Times New Roman"/>
          <w:b w:val="0"/>
          <w:bCs w:val="0"/>
          <w:sz w:val="32"/>
          <w:szCs w:val="36"/>
          <w:highlight w:val="none"/>
          <w:lang w:val="en-US" w:eastAsia="zh-CN"/>
        </w:rPr>
        <w:tab/>
      </w:r>
      <w:r>
        <w:rPr>
          <w:rFonts w:hint="default" w:ascii="Times New Roman" w:hAnsi="Times New Roman" w:eastAsia="仿宋_GB2312" w:cs="Times New Roman"/>
          <w:b w:val="0"/>
          <w:bCs w:val="0"/>
          <w:sz w:val="32"/>
          <w:szCs w:val="36"/>
          <w:highlight w:val="none"/>
          <w:lang w:val="en-US" w:eastAsia="zh-CN"/>
        </w:rPr>
        <w:t>.财政部随文下达耕地轮作试点面积指标，指标值为249万亩，我区实际完成258.1万亩，完成率103.65%，偏差率3.65%。</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e</w:t>
      </w:r>
      <w:r>
        <w:rPr>
          <w:rFonts w:hint="default" w:ascii="Times New Roman" w:hAnsi="Times New Roman" w:eastAsia="仿宋_GB2312" w:cs="Times New Roman"/>
          <w:b w:val="0"/>
          <w:bCs w:val="0"/>
          <w:sz w:val="32"/>
          <w:szCs w:val="36"/>
          <w:highlight w:val="none"/>
          <w:lang w:val="en-US" w:eastAsia="zh-CN"/>
        </w:rPr>
        <w:tab/>
      </w:r>
      <w:r>
        <w:rPr>
          <w:rFonts w:hint="default" w:ascii="Times New Roman" w:hAnsi="Times New Roman" w:eastAsia="仿宋_GB2312" w:cs="Times New Roman"/>
          <w:b w:val="0"/>
          <w:bCs w:val="0"/>
          <w:sz w:val="32"/>
          <w:szCs w:val="36"/>
          <w:highlight w:val="none"/>
          <w:lang w:val="en-US" w:eastAsia="zh-CN"/>
        </w:rPr>
        <w:t>.财政部随文下达耕地休耕试点面积指标，指标值为16万亩，我区实际完成16万亩，完成率100%，偏差率0%。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f</w:t>
      </w:r>
      <w:r>
        <w:rPr>
          <w:rFonts w:hint="default" w:ascii="Times New Roman" w:hAnsi="Times New Roman" w:eastAsia="仿宋_GB2312" w:cs="Times New Roman"/>
          <w:b w:val="0"/>
          <w:bCs w:val="0"/>
          <w:sz w:val="32"/>
          <w:szCs w:val="36"/>
          <w:highlight w:val="none"/>
          <w:lang w:val="en-US" w:eastAsia="zh-CN"/>
        </w:rPr>
        <w:tab/>
      </w:r>
      <w:r>
        <w:rPr>
          <w:rFonts w:hint="default" w:ascii="Times New Roman" w:hAnsi="Times New Roman" w:eastAsia="仿宋_GB2312" w:cs="Times New Roman"/>
          <w:b w:val="0"/>
          <w:bCs w:val="0"/>
          <w:sz w:val="32"/>
          <w:szCs w:val="36"/>
          <w:highlight w:val="none"/>
          <w:lang w:val="en-US" w:eastAsia="zh-CN"/>
        </w:rPr>
        <w:t>.财政部随文下达新建高标准农田面积指标，指标值为288万亩，我区实际完成288万亩，完成率100%，偏差率0%。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eastAsia" w:ascii="Times New Roman" w:hAnsi="Times New Roman" w:eastAsia="仿宋_GB2312" w:cs="Times New Roman"/>
          <w:b w:val="0"/>
          <w:bCs w:val="0"/>
          <w:sz w:val="32"/>
          <w:szCs w:val="36"/>
          <w:highlight w:val="none"/>
          <w:lang w:val="en-US" w:eastAsia="zh-CN"/>
        </w:rPr>
        <w:t>g</w:t>
      </w:r>
      <w:r>
        <w:rPr>
          <w:rFonts w:hint="default" w:ascii="Times New Roman" w:hAnsi="Times New Roman" w:eastAsia="仿宋_GB2312" w:cs="Times New Roman"/>
          <w:b w:val="0"/>
          <w:bCs w:val="0"/>
          <w:sz w:val="32"/>
          <w:szCs w:val="36"/>
          <w:highlight w:val="none"/>
          <w:lang w:val="en-US" w:eastAsia="zh-CN"/>
        </w:rPr>
        <w:t>.财政部随文下达改造提升高标准农田面积指标，指标值为75万亩，我区实际完成75万亩，完成率100%，偏差率0%。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eastAsia" w:ascii="Times New Roman" w:hAnsi="Times New Roman" w:eastAsia="仿宋_GB2312" w:cs="Times New Roman"/>
          <w:b w:val="0"/>
          <w:bCs w:val="0"/>
          <w:sz w:val="32"/>
          <w:szCs w:val="36"/>
          <w:highlight w:val="none"/>
          <w:lang w:val="en-US" w:eastAsia="zh-CN"/>
        </w:rPr>
        <w:t>h</w:t>
      </w:r>
      <w:r>
        <w:rPr>
          <w:rFonts w:hint="default" w:ascii="Times New Roman" w:hAnsi="Times New Roman" w:eastAsia="仿宋_GB2312" w:cs="Times New Roman"/>
          <w:b w:val="0"/>
          <w:bCs w:val="0"/>
          <w:sz w:val="32"/>
          <w:szCs w:val="36"/>
          <w:highlight w:val="none"/>
          <w:lang w:val="en-US" w:eastAsia="zh-CN"/>
        </w:rPr>
        <w:t>.财政部随文下达新增高效节水灌溉面积指标，指标值为77万亩，我区实际完成77万亩，完成率100%，偏差率0%。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（2）质量指标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a.财政部随文下达高标准农田建设项目验收合格率指标，指标值为≥95%，我区实际完成0%，完成率0%，偏差率100%。未完成原因是根据《农田建设项目管理办法》（部令〔2019〕4号），高标准农田项目建设期为1-2年。</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b.财政部随文下达耕地质量指标，指标值为逐步提升，我区实际完成100%，完成率100%，偏差率0%。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（3）时效指标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a.</w:t>
      </w:r>
      <w:r>
        <w:rPr>
          <w:rFonts w:hint="default" w:ascii="Times New Roman" w:hAnsi="Times New Roman" w:eastAsia="仿宋_GB2312" w:cs="Times New Roman"/>
          <w:b w:val="0"/>
          <w:bCs w:val="0"/>
          <w:sz w:val="32"/>
          <w:szCs w:val="36"/>
          <w:highlight w:val="none"/>
          <w:lang w:val="en-US" w:eastAsia="zh-CN"/>
        </w:rPr>
        <w:t>财政部</w:t>
      </w:r>
      <w:r>
        <w:rPr>
          <w:rFonts w:hint="default" w:ascii="Times New Roman" w:hAnsi="Times New Roman" w:eastAsia="仿宋_GB2312" w:cs="Times New Roman"/>
          <w:b w:val="0"/>
          <w:bCs w:val="0"/>
          <w:sz w:val="32"/>
          <w:szCs w:val="36"/>
          <w:lang w:val="en-US" w:eastAsia="zh-CN"/>
        </w:rPr>
        <w:t>随文下达耕地地力保护补贴发放时限</w:t>
      </w:r>
      <w:r>
        <w:rPr>
          <w:rFonts w:hint="default" w:ascii="Times New Roman" w:hAnsi="Times New Roman" w:eastAsia="仿宋_GB2312" w:cs="Times New Roman"/>
          <w:b w:val="0"/>
          <w:bCs w:val="0"/>
          <w:sz w:val="32"/>
          <w:szCs w:val="36"/>
          <w:highlight w:val="none"/>
          <w:lang w:val="en-US" w:eastAsia="zh-CN"/>
        </w:rPr>
        <w:t>指标，指标值为</w:t>
      </w:r>
      <w:r>
        <w:rPr>
          <w:rFonts w:hint="default" w:ascii="Times New Roman" w:hAnsi="Times New Roman" w:eastAsia="仿宋_GB2312" w:cs="Times New Roman"/>
          <w:b w:val="0"/>
          <w:bCs w:val="0"/>
          <w:sz w:val="32"/>
          <w:szCs w:val="36"/>
          <w:lang w:val="en-US" w:eastAsia="zh-CN"/>
        </w:rPr>
        <w:t>2023年6月30日，</w:t>
      </w:r>
      <w:r>
        <w:rPr>
          <w:rFonts w:hint="default" w:ascii="Times New Roman" w:hAnsi="Times New Roman" w:eastAsia="仿宋_GB2312" w:cs="Times New Roman"/>
          <w:b w:val="0"/>
          <w:bCs w:val="0"/>
          <w:sz w:val="32"/>
          <w:szCs w:val="36"/>
          <w:highlight w:val="none"/>
          <w:lang w:val="en-US" w:eastAsia="zh-CN"/>
        </w:rPr>
        <w:t>我区</w:t>
      </w:r>
      <w:r>
        <w:rPr>
          <w:rFonts w:hint="default" w:ascii="Times New Roman" w:hAnsi="Times New Roman" w:eastAsia="仿宋_GB2312" w:cs="Times New Roman"/>
          <w:b w:val="0"/>
          <w:bCs w:val="0"/>
          <w:sz w:val="32"/>
          <w:szCs w:val="36"/>
          <w:lang w:val="en-US" w:eastAsia="zh-CN"/>
        </w:rPr>
        <w:t>实际完成2023年10月30日，完成率60%，偏差率40%。未完成原因是新疆部分地区小麦收获时间较晚，故时间延后。</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b.财政部随文下达高标准农田建设任务完成及时性指标，指标值为1-2年，我区实际完成100%，完成率100%，偏差率0%。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（4）成本指标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sz w:val="32"/>
          <w:szCs w:val="32"/>
          <w:highlight w:val="none"/>
        </w:rPr>
        <w:t>财政部随文下达的</w:t>
      </w:r>
      <w:r>
        <w:rPr>
          <w:rFonts w:hint="default" w:ascii="Times New Roman" w:hAnsi="Times New Roman" w:eastAsia="仿宋_GB2312" w:cs="Times New Roman"/>
          <w:color w:val="000000"/>
          <w:sz w:val="32"/>
          <w:szCs w:val="32"/>
          <w:highlight w:val="none"/>
        </w:rPr>
        <w:t>绩效目标未设定</w:t>
      </w:r>
      <w:r>
        <w:rPr>
          <w:rFonts w:hint="default" w:ascii="Times New Roman" w:hAnsi="Times New Roman" w:cs="Times New Roman"/>
          <w:color w:val="000000"/>
          <w:sz w:val="32"/>
          <w:szCs w:val="32"/>
          <w:highlight w:val="none"/>
          <w:lang w:eastAsia="zh-CN"/>
        </w:rPr>
        <w:t>成本</w:t>
      </w:r>
      <w:r>
        <w:rPr>
          <w:rFonts w:hint="default" w:ascii="Times New Roman" w:hAnsi="Times New Roman" w:eastAsia="仿宋_GB2312" w:cs="Times New Roman"/>
          <w:color w:val="000000"/>
          <w:sz w:val="32"/>
          <w:szCs w:val="32"/>
          <w:highlight w:val="none"/>
        </w:rPr>
        <w:t>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sz w:val="32"/>
          <w:szCs w:val="36"/>
          <w:lang w:val="en-US" w:eastAsia="zh-CN"/>
        </w:rPr>
      </w:pPr>
      <w:r>
        <w:rPr>
          <w:rFonts w:hint="default" w:ascii="Times New Roman" w:hAnsi="Times New Roman" w:eastAsia="楷体" w:cs="Times New Roman"/>
          <w:b/>
          <w:bCs/>
          <w:sz w:val="32"/>
          <w:szCs w:val="36"/>
          <w:lang w:val="en-US" w:eastAsia="zh-CN"/>
        </w:rPr>
        <w:t>2</w:t>
      </w:r>
      <w:r>
        <w:rPr>
          <w:rFonts w:hint="eastAsia" w:ascii="Times New Roman" w:hAnsi="Times New Roman" w:eastAsia="楷体" w:cs="Times New Roman"/>
          <w:b/>
          <w:bCs/>
          <w:sz w:val="32"/>
          <w:szCs w:val="36"/>
          <w:lang w:val="en-US" w:eastAsia="zh-CN"/>
        </w:rPr>
        <w:t>.</w:t>
      </w:r>
      <w:r>
        <w:rPr>
          <w:rFonts w:hint="default" w:ascii="Times New Roman" w:hAnsi="Times New Roman" w:eastAsia="楷体" w:cs="Times New Roman"/>
          <w:b/>
          <w:bCs/>
          <w:sz w:val="32"/>
          <w:szCs w:val="36"/>
          <w:lang w:val="en-US" w:eastAsia="zh-CN"/>
        </w:rPr>
        <w:t>效益指标完成情况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（1）经济效益指标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sz w:val="32"/>
          <w:szCs w:val="32"/>
          <w:highlight w:val="none"/>
        </w:rPr>
        <w:t>财政部随文下达的</w:t>
      </w:r>
      <w:r>
        <w:rPr>
          <w:rFonts w:hint="default" w:ascii="Times New Roman" w:hAnsi="Times New Roman" w:eastAsia="仿宋_GB2312" w:cs="Times New Roman"/>
          <w:color w:val="000000"/>
          <w:sz w:val="32"/>
          <w:szCs w:val="32"/>
          <w:highlight w:val="none"/>
        </w:rPr>
        <w:t>绩效目标未设定经济效益指标。</w:t>
      </w:r>
    </w:p>
    <w:p>
      <w:pPr>
        <w:pStyle w:val="10"/>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b w:val="0"/>
          <w:bCs w:val="0"/>
          <w:sz w:val="32"/>
          <w:szCs w:val="36"/>
          <w:lang w:val="en-US" w:eastAsia="zh-CN"/>
        </w:rPr>
        <w:t>生态效益指标</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lang w:val="en-US" w:eastAsia="zh-CN"/>
        </w:rPr>
      </w:pPr>
      <w:r>
        <w:rPr>
          <w:rFonts w:hint="default" w:ascii="Times New Roman" w:hAnsi="Times New Roman" w:eastAsia="仿宋_GB2312" w:cs="Times New Roman"/>
          <w:sz w:val="32"/>
          <w:szCs w:val="32"/>
          <w:highlight w:val="none"/>
        </w:rPr>
        <w:t>财政部随文下达的</w:t>
      </w:r>
      <w:r>
        <w:rPr>
          <w:rFonts w:hint="default" w:ascii="Times New Roman" w:hAnsi="Times New Roman" w:eastAsia="仿宋_GB2312" w:cs="Times New Roman"/>
          <w:color w:val="000000"/>
          <w:sz w:val="32"/>
          <w:szCs w:val="32"/>
          <w:highlight w:val="none"/>
        </w:rPr>
        <w:t>绩效目标未设定</w:t>
      </w:r>
      <w:r>
        <w:rPr>
          <w:rFonts w:hint="default" w:ascii="Times New Roman" w:hAnsi="Times New Roman" w:eastAsia="仿宋_GB2312" w:cs="Times New Roman"/>
          <w:color w:val="000000"/>
          <w:sz w:val="32"/>
          <w:szCs w:val="32"/>
          <w:highlight w:val="none"/>
          <w:lang w:eastAsia="zh-CN"/>
        </w:rPr>
        <w:t>生态</w:t>
      </w:r>
      <w:r>
        <w:rPr>
          <w:rFonts w:hint="default" w:ascii="Times New Roman" w:hAnsi="Times New Roman" w:eastAsia="仿宋_GB2312" w:cs="Times New Roman"/>
          <w:color w:val="000000"/>
          <w:sz w:val="32"/>
          <w:szCs w:val="32"/>
          <w:highlight w:val="none"/>
        </w:rPr>
        <w:t>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lang w:val="en-US" w:eastAsia="zh-CN"/>
        </w:rPr>
        <w:t>（3）社会效益指标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a.财政部随文下达粮食综合生产能力指标，指标值为明显提升，我区实际完成100%，完成率100%，偏差率0%。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b.财政部随文下达资金使用无重大违规违纪问题，我区实际完成100%，完成率100%，偏差率0%。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c.财政部随文下达田间道路通达度指标，指标值为平原区达到100%</w:t>
      </w:r>
      <w:r>
        <w:rPr>
          <w:rFonts w:hint="eastAsia" w:ascii="Times New Roman" w:hAnsi="Times New Roman" w:eastAsia="仿宋_GB2312"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丘陵区≥90%，我区实际完成100%，完成率100%，偏差率0%。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lang w:val="en-US" w:eastAsia="zh-CN"/>
        </w:rPr>
        <w:t>（4）可持续影响指标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财政部随文下达水资源利用率指标，指标值为逐步提升，我区实际完成100%，完成率100%，偏差率0%。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 w:cs="Times New Roman"/>
          <w:b/>
          <w:bCs/>
          <w:sz w:val="32"/>
          <w:szCs w:val="36"/>
          <w:lang w:val="en-US" w:eastAsia="zh-CN"/>
        </w:rPr>
      </w:pPr>
      <w:r>
        <w:rPr>
          <w:rFonts w:hint="default" w:ascii="Times New Roman" w:hAnsi="Times New Roman" w:eastAsia="楷体" w:cs="Times New Roman"/>
          <w:b/>
          <w:bCs/>
          <w:sz w:val="32"/>
          <w:szCs w:val="36"/>
          <w:lang w:val="en-US" w:eastAsia="zh-CN"/>
        </w:rPr>
        <w:t>3</w:t>
      </w:r>
      <w:r>
        <w:rPr>
          <w:rFonts w:hint="eastAsia" w:ascii="Times New Roman" w:hAnsi="Times New Roman" w:eastAsia="楷体" w:cs="Times New Roman"/>
          <w:b/>
          <w:bCs/>
          <w:sz w:val="32"/>
          <w:szCs w:val="36"/>
          <w:lang w:val="en-US" w:eastAsia="zh-CN"/>
        </w:rPr>
        <w:t>.</w:t>
      </w:r>
      <w:r>
        <w:rPr>
          <w:rFonts w:hint="default" w:ascii="Times New Roman" w:hAnsi="Times New Roman" w:eastAsia="楷体" w:cs="Times New Roman"/>
          <w:b/>
          <w:bCs/>
          <w:sz w:val="32"/>
          <w:szCs w:val="36"/>
          <w:lang w:val="en-US" w:eastAsia="zh-CN"/>
        </w:rPr>
        <w:t>满意度指标完成情况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a.财政部随文下达耕地地力保护补贴政策满意度指标，指标值为≥90%，我区实际完成90%，完成率100%，偏差率0%。</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b.财政部随文下达受益群众满意率指标，指标值为≥90%，我区实际完成91%，完成率101.11%，偏差率1.11%。</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color w:val="auto"/>
          <w:sz w:val="32"/>
          <w:szCs w:val="32"/>
        </w:rPr>
      </w:pPr>
      <w:r>
        <w:rPr>
          <w:rFonts w:hint="eastAsia" w:eastAsia="黑体" w:cs="Times New Roman"/>
          <w:bCs/>
          <w:sz w:val="32"/>
          <w:szCs w:val="32"/>
          <w:lang w:eastAsia="zh-CN"/>
        </w:rPr>
        <w:t>三、</w:t>
      </w:r>
      <w:r>
        <w:rPr>
          <w:rFonts w:hint="default" w:ascii="Times New Roman" w:hAnsi="Times New Roman" w:eastAsia="黑体" w:cs="Times New Roman"/>
          <w:bCs/>
          <w:sz w:val="32"/>
          <w:szCs w:val="32"/>
        </w:rPr>
        <w:t>偏离绩效目标的原因和下一步改进措施</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cs="Times New Roman"/>
          <w:b/>
          <w:bCs/>
          <w:lang w:val="en-US" w:eastAsia="zh-CN"/>
        </w:rPr>
      </w:pPr>
      <w:r>
        <w:rPr>
          <w:rFonts w:hint="default" w:ascii="Times New Roman" w:hAnsi="Times New Roman" w:eastAsia="楷体" w:cs="Times New Roman"/>
          <w:b/>
          <w:bCs/>
          <w:color w:val="auto"/>
          <w:sz w:val="32"/>
          <w:szCs w:val="32"/>
        </w:rPr>
        <w:t>（一）偏离的绩效目标</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cs="Times New Roman"/>
          <w:b/>
          <w:bCs/>
          <w:color w:val="auto"/>
          <w:sz w:val="32"/>
          <w:szCs w:val="32"/>
          <w:highlight w:val="none"/>
          <w:lang w:val="en-US" w:eastAsia="zh-CN"/>
        </w:rPr>
        <w:t>1</w:t>
      </w:r>
      <w:r>
        <w:rPr>
          <w:rFonts w:hint="eastAsia" w:ascii="Times New Roman" w:hAnsi="Times New Roman"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未完成的</w:t>
      </w:r>
      <w:r>
        <w:rPr>
          <w:rFonts w:hint="default" w:ascii="Times New Roman" w:hAnsi="Times New Roman" w:cs="Times New Roman"/>
          <w:b/>
          <w:bCs/>
          <w:color w:val="auto"/>
          <w:sz w:val="32"/>
          <w:szCs w:val="32"/>
          <w:highlight w:val="none"/>
          <w:lang w:val="en-US" w:eastAsia="zh-CN"/>
        </w:rPr>
        <w:t>质量</w:t>
      </w:r>
      <w:r>
        <w:rPr>
          <w:rFonts w:hint="default" w:ascii="Times New Roman" w:hAnsi="Times New Roman" w:eastAsia="仿宋_GB2312" w:cs="Times New Roman"/>
          <w:b/>
          <w:bCs/>
          <w:color w:val="auto"/>
          <w:sz w:val="32"/>
          <w:szCs w:val="32"/>
          <w:highlight w:val="none"/>
          <w:lang w:val="en-US" w:eastAsia="zh-CN"/>
        </w:rPr>
        <w:t>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highlight w:val="none"/>
          <w:lang w:val="en-US" w:eastAsia="zh-CN"/>
        </w:rPr>
        <w:t>高标准农田建设项目验收合格率≥95%，我区实际完成0%，完成率0%，偏差率100%。未完成原因是根据《农田建设项目管理办法》（部令〔2019〕4号），高标准农田项目建设期为1-2年。</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cs="Times New Roman"/>
          <w:b/>
          <w:bCs/>
          <w:color w:val="auto"/>
          <w:sz w:val="32"/>
          <w:szCs w:val="32"/>
          <w:highlight w:val="none"/>
          <w:lang w:val="en-US" w:eastAsia="zh-CN"/>
        </w:rPr>
        <w:t>2</w:t>
      </w:r>
      <w:r>
        <w:rPr>
          <w:rFonts w:hint="eastAsia" w:ascii="Times New Roman" w:hAnsi="Times New Roman"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未完成的</w:t>
      </w:r>
      <w:r>
        <w:rPr>
          <w:rFonts w:hint="default" w:ascii="Times New Roman" w:hAnsi="Times New Roman" w:cs="Times New Roman"/>
          <w:b/>
          <w:bCs/>
          <w:color w:val="auto"/>
          <w:sz w:val="32"/>
          <w:szCs w:val="32"/>
          <w:highlight w:val="none"/>
          <w:lang w:val="en-US" w:eastAsia="zh-CN"/>
        </w:rPr>
        <w:t>时效</w:t>
      </w:r>
      <w:r>
        <w:rPr>
          <w:rFonts w:hint="default" w:ascii="Times New Roman" w:hAnsi="Times New Roman" w:eastAsia="仿宋_GB2312" w:cs="Times New Roman"/>
          <w:b/>
          <w:bCs/>
          <w:color w:val="auto"/>
          <w:sz w:val="32"/>
          <w:szCs w:val="32"/>
          <w:highlight w:val="none"/>
          <w:lang w:val="en-US" w:eastAsia="zh-CN"/>
        </w:rPr>
        <w:t>指标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lang w:val="en-US" w:eastAsia="zh-CN"/>
        </w:rPr>
        <w:t>耕地地力保护补贴发放时限2023年6月30日，</w:t>
      </w:r>
      <w:r>
        <w:rPr>
          <w:rFonts w:hint="default" w:ascii="Times New Roman" w:hAnsi="Times New Roman" w:eastAsia="仿宋_GB2312" w:cs="Times New Roman"/>
          <w:b w:val="0"/>
          <w:bCs w:val="0"/>
          <w:sz w:val="32"/>
          <w:szCs w:val="36"/>
          <w:highlight w:val="none"/>
          <w:lang w:val="en-US" w:eastAsia="zh-CN"/>
        </w:rPr>
        <w:t>我区</w:t>
      </w:r>
      <w:r>
        <w:rPr>
          <w:rFonts w:hint="default" w:ascii="Times New Roman" w:hAnsi="Times New Roman" w:eastAsia="仿宋_GB2312" w:cs="Times New Roman"/>
          <w:b w:val="0"/>
          <w:bCs w:val="0"/>
          <w:sz w:val="32"/>
          <w:szCs w:val="36"/>
          <w:lang w:val="en-US" w:eastAsia="zh-CN"/>
        </w:rPr>
        <w:t>实际完成2023年10月30日，完成率60%，偏差率40%。未完成原因是新疆部分地区小麦收获时间较晚，故时间延后。</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val="0"/>
        <w:topLinePunct w:val="0"/>
        <w:autoSpaceDE/>
        <w:autoSpaceDN/>
        <w:bidi w:val="0"/>
        <w:adjustRightInd/>
        <w:snapToGrid/>
        <w:spacing w:line="560" w:lineRule="exact"/>
        <w:ind w:leftChars="200"/>
        <w:textAlignment w:val="auto"/>
        <w:rPr>
          <w:rFonts w:hint="default" w:ascii="Times New Roman" w:hAnsi="Times New Roman" w:eastAsia="楷体" w:cs="Times New Roman"/>
          <w:b/>
          <w:bCs/>
          <w:highlight w:val="none"/>
          <w:lang w:val="en-US" w:eastAsia="zh-CN"/>
        </w:rPr>
      </w:pP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二</w:t>
      </w:r>
      <w:r>
        <w:rPr>
          <w:rFonts w:hint="default" w:ascii="Times New Roman" w:hAnsi="Times New Roman" w:eastAsia="楷体" w:cs="Times New Roman"/>
          <w:b/>
          <w:bCs/>
          <w:color w:val="auto"/>
          <w:sz w:val="32"/>
          <w:szCs w:val="32"/>
          <w:highlight w:val="none"/>
        </w:rPr>
        <w:t>）</w:t>
      </w:r>
      <w:r>
        <w:rPr>
          <w:rFonts w:hint="default" w:ascii="Times New Roman" w:hAnsi="Times New Roman" w:eastAsia="楷体" w:cs="Times New Roman"/>
          <w:b/>
          <w:bCs/>
          <w:color w:val="auto"/>
          <w:sz w:val="32"/>
          <w:szCs w:val="32"/>
          <w:highlight w:val="none"/>
          <w:lang w:val="en-US" w:eastAsia="zh-CN"/>
        </w:rPr>
        <w:t>下一步改进措施</w:t>
      </w:r>
    </w:p>
    <w:p>
      <w:pPr>
        <w:pStyle w:val="10"/>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
          <w:bCs/>
          <w:sz w:val="32"/>
          <w:szCs w:val="36"/>
          <w:highlight w:val="none"/>
          <w:lang w:val="en-US" w:eastAsia="zh-CN"/>
        </w:rPr>
      </w:pPr>
      <w:r>
        <w:rPr>
          <w:rFonts w:hint="default" w:ascii="Times New Roman" w:hAnsi="Times New Roman" w:eastAsia="仿宋_GB2312" w:cs="Times New Roman"/>
          <w:b/>
          <w:bCs/>
          <w:sz w:val="32"/>
          <w:szCs w:val="36"/>
          <w:highlight w:val="none"/>
          <w:lang w:val="en-US" w:eastAsia="zh-CN"/>
        </w:rPr>
        <w:t>1</w:t>
      </w:r>
      <w:r>
        <w:rPr>
          <w:rFonts w:hint="eastAsia" w:ascii="Times New Roman" w:hAnsi="Times New Roman" w:eastAsia="仿宋_GB2312" w:cs="Times New Roman"/>
          <w:b/>
          <w:bCs/>
          <w:sz w:val="32"/>
          <w:szCs w:val="36"/>
          <w:highlight w:val="none"/>
          <w:lang w:val="en-US" w:eastAsia="zh-CN"/>
        </w:rPr>
        <w:t>.</w:t>
      </w:r>
      <w:r>
        <w:rPr>
          <w:rFonts w:hint="default" w:ascii="Times New Roman" w:hAnsi="Times New Roman" w:eastAsia="仿宋_GB2312" w:cs="Times New Roman"/>
          <w:b/>
          <w:bCs/>
          <w:sz w:val="32"/>
          <w:szCs w:val="36"/>
          <w:highlight w:val="none"/>
          <w:lang w:val="en-US" w:eastAsia="zh-CN"/>
        </w:rPr>
        <w:t>项目实施过程中存在不足</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eastAsia" w:ascii="Times New Roman" w:hAnsi="Times New Roman" w:eastAsia="仿宋_GB2312" w:cs="Times New Roman"/>
          <w:b w:val="0"/>
          <w:bCs w:val="0"/>
          <w:sz w:val="32"/>
          <w:szCs w:val="36"/>
          <w:highlight w:val="none"/>
          <w:lang w:val="en-US" w:eastAsia="zh-CN"/>
        </w:rPr>
        <w:t>高标准农田项目资金执行率低，是因</w:t>
      </w:r>
      <w:r>
        <w:rPr>
          <w:rFonts w:hint="default" w:ascii="Times New Roman" w:hAnsi="Times New Roman" w:eastAsia="仿宋_GB2312" w:cs="Times New Roman"/>
          <w:b w:val="0"/>
          <w:bCs w:val="0"/>
          <w:sz w:val="32"/>
          <w:szCs w:val="36"/>
          <w:highlight w:val="none"/>
          <w:lang w:val="en-US" w:eastAsia="zh-CN"/>
        </w:rPr>
        <w:t>《农田建设项目管理办法》有关“高标准农田建设工期为1-2年，项目完工后半年内组织完成竣工验收工作”等规定，我区2023年度高标准农田建设项目应在2025年6月前完成竣工验收工作。目前，各地高标准农田建设项目正在组织建设中，按照国家“高标准农田建设项目实行合同管理制”的要求，高标准农田建设项目结算款项一般有四项</w:t>
      </w:r>
      <w:r>
        <w:rPr>
          <w:rFonts w:hint="eastAsia" w:ascii="Times New Roman" w:hAnsi="Times New Roman" w:eastAsia="仿宋_GB2312"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预付工程款、进度款、竣工结算款、质保金款，2023年中央财政转移支付资金未支付部分基本集中在后两个款项，竣工结算款需等竣工决算完成并经过审计后才能进行支付，质保金款需在质保时间结束后支付</w:t>
      </w:r>
      <w:r>
        <w:rPr>
          <w:rFonts w:hint="eastAsia" w:ascii="Times New Roman" w:hAnsi="Times New Roman" w:eastAsia="仿宋_GB2312" w:cs="Times New Roman"/>
          <w:b w:val="0"/>
          <w:bCs w:val="0"/>
          <w:sz w:val="32"/>
          <w:szCs w:val="36"/>
          <w:highlight w:val="none"/>
          <w:lang w:val="en-US" w:eastAsia="zh-CN"/>
        </w:rPr>
        <w:t>。</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Times New Roman" w:hAnsi="Times New Roman" w:eastAsia="仿宋_GB2312" w:cs="Times New Roman"/>
          <w:b/>
          <w:bCs/>
          <w:sz w:val="32"/>
          <w:szCs w:val="36"/>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w:t>
      </w:r>
      <w:r>
        <w:rPr>
          <w:rFonts w:hint="eastAsia" w:ascii="Times New Roman" w:hAnsi="Times New Roman" w:cs="Times New Roman"/>
          <w:b/>
          <w:bCs/>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下一步工作实施改进措施</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自治区农业农村厅将</w:t>
      </w:r>
      <w:r>
        <w:rPr>
          <w:rFonts w:hint="default" w:ascii="Times New Roman" w:hAnsi="Times New Roman" w:eastAsia="仿宋_GB2312" w:cs="Times New Roman"/>
          <w:b w:val="0"/>
          <w:bCs w:val="0"/>
          <w:sz w:val="32"/>
          <w:szCs w:val="36"/>
          <w:highlight w:val="none"/>
          <w:lang w:val="en-US" w:eastAsia="zh-CN"/>
        </w:rPr>
        <w:t>及时完善相关政策、加强资金使用的督导、推动专项任务按时完成、强化绩效目标管理、提升沟通协调能力</w:t>
      </w:r>
      <w:r>
        <w:rPr>
          <w:rFonts w:hint="eastAsia" w:ascii="Times New Roman" w:hAnsi="Times New Roman" w:eastAsia="仿宋_GB2312"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根据实际情况，确保专项资金按要求执行，进一步提高中央财政相关农业转移支付资金的使用效益</w:t>
      </w:r>
      <w:r>
        <w:rPr>
          <w:rFonts w:hint="default" w:ascii="Times New Roman" w:hAnsi="Times New Roman" w:cs="Times New Roman"/>
          <w:b w:val="0"/>
          <w:bCs w:val="0"/>
          <w:sz w:val="32"/>
          <w:szCs w:val="36"/>
          <w:highlight w:val="none"/>
          <w:lang w:val="en-US" w:eastAsia="zh-CN"/>
        </w:rPr>
        <w:t>，</w:t>
      </w:r>
      <w:r>
        <w:rPr>
          <w:rFonts w:hint="default" w:ascii="Times New Roman" w:hAnsi="Times New Roman" w:eastAsia="仿宋_GB2312" w:cs="Times New Roman"/>
          <w:b w:val="0"/>
          <w:bCs w:val="0"/>
          <w:sz w:val="32"/>
          <w:szCs w:val="36"/>
          <w:highlight w:val="none"/>
          <w:lang w:val="en-US" w:eastAsia="zh-CN"/>
        </w:rPr>
        <w:t>加强资金执行过程管理和制度落实落地。及时调度各类项目开复工及项目实施进度情况，梳理总结项目执行存在的问题，压实各环节责任，进一步加快项目实施进度和资金支出率。</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6"/>
          <w:lang w:val="en-US" w:eastAsia="zh-CN"/>
        </w:rPr>
      </w:pPr>
      <w:r>
        <w:rPr>
          <w:rFonts w:hint="eastAsia" w:ascii="黑体" w:hAnsi="黑体" w:eastAsia="黑体" w:cs="黑体"/>
          <w:b w:val="0"/>
          <w:bCs w:val="0"/>
          <w:sz w:val="32"/>
          <w:szCs w:val="36"/>
          <w:lang w:val="en-US" w:eastAsia="zh-CN"/>
        </w:rPr>
        <w:t>四、绩效自评结果拟应用和公开情况</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6"/>
          <w:highlight w:val="none"/>
          <w:lang w:val="en-US" w:eastAsia="zh-CN"/>
        </w:rPr>
      </w:pPr>
      <w:r>
        <w:rPr>
          <w:rFonts w:hint="default" w:ascii="Times New Roman" w:hAnsi="Times New Roman" w:eastAsia="仿宋_GB2312" w:cs="Times New Roman"/>
          <w:b w:val="0"/>
          <w:bCs w:val="0"/>
          <w:sz w:val="32"/>
          <w:szCs w:val="36"/>
          <w:lang w:val="en-US" w:eastAsia="zh-CN"/>
        </w:rPr>
        <w:t>1</w:t>
      </w:r>
      <w:r>
        <w:rPr>
          <w:rFonts w:hint="eastAsia" w:ascii="Times New Roman" w:hAnsi="Times New Roman" w:eastAsia="仿宋_GB2312" w:cs="Times New Roman"/>
          <w:b w:val="0"/>
          <w:bCs w:val="0"/>
          <w:sz w:val="32"/>
          <w:szCs w:val="36"/>
          <w:lang w:val="en-US" w:eastAsia="zh-CN"/>
        </w:rPr>
        <w:t>.</w:t>
      </w:r>
      <w:r>
        <w:rPr>
          <w:rFonts w:hint="default" w:ascii="Times New Roman" w:hAnsi="Times New Roman" w:eastAsia="仿宋_GB2312" w:cs="Times New Roman"/>
          <w:b w:val="0"/>
          <w:bCs w:val="0"/>
          <w:sz w:val="32"/>
          <w:szCs w:val="36"/>
          <w:lang w:val="en-US" w:eastAsia="zh-CN"/>
        </w:rPr>
        <w:t>按照财政部《项目支出绩效评价管理办法》（财预〔2020〕1</w:t>
      </w:r>
      <w:r>
        <w:rPr>
          <w:rFonts w:hint="default" w:ascii="Times New Roman" w:hAnsi="Times New Roman" w:eastAsia="仿宋_GB2312" w:cs="Times New Roman"/>
          <w:b w:val="0"/>
          <w:bCs w:val="0"/>
          <w:sz w:val="32"/>
          <w:szCs w:val="36"/>
          <w:highlight w:val="none"/>
          <w:lang w:val="en-US" w:eastAsia="zh-CN"/>
        </w:rPr>
        <w:t>0号）规定，单位自评标准是：预算执行10分，产出指标50分，效益指标30分，服务对象满意度指标10分。经自评，2023年度中央耕地建设与利用项目综合评价自评得分为93.14分，其中：预算执行8.74分、产出指标44.4分、效益指标30分、服务对象满意度指标10分，自评结果为“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sz w:val="32"/>
          <w:szCs w:val="36"/>
          <w:highlight w:val="none"/>
          <w:lang w:val="en-US" w:eastAsia="zh-CN"/>
        </w:rPr>
        <w:t>2</w:t>
      </w:r>
      <w:r>
        <w:rPr>
          <w:rFonts w:hint="eastAsia" w:cs="Times New Roman"/>
          <w:b w:val="0"/>
          <w:bCs w:val="0"/>
          <w:sz w:val="32"/>
          <w:szCs w:val="36"/>
          <w:highlight w:val="none"/>
          <w:lang w:val="en-US" w:eastAsia="zh-CN"/>
        </w:rPr>
        <w:t>.</w:t>
      </w:r>
      <w:r>
        <w:rPr>
          <w:rFonts w:hint="default" w:ascii="Times New Roman" w:hAnsi="Times New Roman" w:cs="Times New Roman"/>
          <w:sz w:val="32"/>
          <w:szCs w:val="32"/>
          <w:lang w:val="en-US" w:eastAsia="zh-CN"/>
        </w:rPr>
        <w:t>自治区农业农村厅</w:t>
      </w:r>
      <w:r>
        <w:rPr>
          <w:rFonts w:hint="default" w:ascii="Times New Roman" w:hAnsi="Times New Roman" w:cs="Times New Roman"/>
          <w:sz w:val="32"/>
          <w:szCs w:val="32"/>
        </w:rPr>
        <w:t>高度重视绩效评价结果的应用工作，积极探索建立与预算管理相结合的有效机制，着力提高绩效意识和财政资金使用效益</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耕地建设与利用资金</w:t>
      </w:r>
      <w:r>
        <w:rPr>
          <w:rFonts w:hint="default" w:ascii="Times New Roman" w:hAnsi="Times New Roman" w:cs="Times New Roman"/>
          <w:sz w:val="32"/>
          <w:szCs w:val="32"/>
          <w:lang w:eastAsia="zh-CN"/>
        </w:rPr>
        <w:t>的</w:t>
      </w:r>
      <w:r>
        <w:rPr>
          <w:rFonts w:hint="default" w:ascii="Times New Roman" w:hAnsi="Times New Roman" w:cs="Times New Roman"/>
          <w:sz w:val="32"/>
          <w:szCs w:val="32"/>
        </w:rPr>
        <w:t>绩效自评价结果、执行情况等将作为下一</w:t>
      </w:r>
      <w:r>
        <w:rPr>
          <w:rFonts w:hint="default" w:ascii="Times New Roman" w:hAnsi="Times New Roman" w:cs="Times New Roman"/>
          <w:sz w:val="32"/>
          <w:szCs w:val="32"/>
          <w:lang w:eastAsia="zh-CN"/>
        </w:rPr>
        <w:t>年度</w:t>
      </w:r>
      <w:r>
        <w:rPr>
          <w:rFonts w:hint="default" w:ascii="Times New Roman" w:hAnsi="Times New Roman" w:cs="Times New Roman"/>
          <w:sz w:val="32"/>
          <w:szCs w:val="32"/>
        </w:rPr>
        <w:t>安排项目资金的依据，对于绩效自评差的、执行进度慢的地州，</w:t>
      </w:r>
      <w:r>
        <w:rPr>
          <w:rFonts w:hint="default" w:ascii="Times New Roman" w:hAnsi="Times New Roman" w:cs="Times New Roman"/>
          <w:sz w:val="32"/>
          <w:szCs w:val="32"/>
          <w:lang w:val="en-US" w:eastAsia="zh-CN"/>
        </w:rPr>
        <w:t>将</w:t>
      </w:r>
      <w:r>
        <w:rPr>
          <w:rFonts w:hint="default" w:ascii="Times New Roman" w:hAnsi="Times New Roman" w:cs="Times New Roman"/>
          <w:sz w:val="32"/>
          <w:szCs w:val="32"/>
        </w:rPr>
        <w:t>在分配下一年度资金时</w:t>
      </w:r>
      <w:r>
        <w:rPr>
          <w:rFonts w:hint="default" w:ascii="Times New Roman" w:hAnsi="Times New Roman" w:cs="Times New Roman"/>
          <w:sz w:val="32"/>
          <w:szCs w:val="32"/>
          <w:lang w:val="en-US" w:eastAsia="zh-CN"/>
        </w:rPr>
        <w:t>酌情</w:t>
      </w:r>
      <w:r>
        <w:rPr>
          <w:rFonts w:hint="default" w:ascii="Times New Roman" w:hAnsi="Times New Roman" w:cs="Times New Roman"/>
          <w:sz w:val="32"/>
          <w:szCs w:val="32"/>
        </w:rPr>
        <w:t>扣减。同时将不断提升预算管理水平，进一步夯实业务基础，提高我单位绩效人员水平。专门设定对绩效工作人员定职、定岗、定责等相关制度措施，进一步提升我单位绩效管理工作业务水平，扎实做好绩效管理工作。</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3</w:t>
      </w:r>
      <w:r>
        <w:rPr>
          <w:rFonts w:hint="eastAsia" w:cs="Times New Roman"/>
          <w:sz w:val="32"/>
          <w:szCs w:val="32"/>
          <w:lang w:val="en-US" w:eastAsia="zh-CN"/>
        </w:rPr>
        <w:t>.</w:t>
      </w:r>
      <w:r>
        <w:rPr>
          <w:rFonts w:hint="default" w:ascii="Times New Roman" w:hAnsi="Times New Roman" w:cs="Times New Roman"/>
          <w:sz w:val="32"/>
          <w:szCs w:val="32"/>
          <w:lang w:val="en-US" w:eastAsia="zh-CN"/>
        </w:rPr>
        <w:t>评价结果将在自治区农业农村厅、自治区财政厅门户网站进行公示公开，广泛接受社会监督。</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五、其他需要说明的问题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lang w:val="en-US" w:eastAsia="zh-CN"/>
        </w:rPr>
      </w:pPr>
      <w:r>
        <w:rPr>
          <w:rFonts w:hint="eastAsia" w:cs="Times New Roman"/>
          <w:sz w:val="32"/>
          <w:szCs w:val="32"/>
          <w:lang w:val="en-US" w:eastAsia="zh-CN"/>
        </w:rPr>
        <w:t>在</w:t>
      </w:r>
      <w:r>
        <w:rPr>
          <w:rFonts w:hint="default" w:ascii="Times New Roman" w:hAnsi="Times New Roman" w:cs="Times New Roman"/>
          <w:sz w:val="32"/>
          <w:szCs w:val="32"/>
          <w:lang w:val="en-US" w:eastAsia="zh-CN"/>
        </w:rPr>
        <w:t>中央巡视、各级审计和财政监督中未发现问题。</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六、附件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val="0"/>
        <w:topLinePunct w:val="0"/>
        <w:autoSpaceDE/>
        <w:autoSpaceDN/>
        <w:bidi w:val="0"/>
        <w:snapToGrid/>
        <w:spacing w:line="560" w:lineRule="exact"/>
        <w:ind w:firstLine="640" w:firstLineChars="200"/>
        <w:textAlignment w:val="auto"/>
        <w:rPr>
          <w:rFonts w:hint="default" w:ascii="Times New Roman" w:hAnsi="Times New Roman" w:cs="Times New Roman"/>
          <w:sz w:val="32"/>
          <w:szCs w:val="32"/>
          <w:lang w:val="en-US" w:eastAsia="zh-CN"/>
        </w:rPr>
        <w:sectPr>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sz w:val="32"/>
          <w:szCs w:val="32"/>
          <w:lang w:val="en-US" w:eastAsia="zh-CN"/>
        </w:rPr>
        <w:t>2023年中央对地方专项转移支付绩效目标自评表（耕地建设与利用）</w:t>
      </w:r>
    </w:p>
    <w:p>
      <w:pPr>
        <w:pStyle w:val="10"/>
        <w:spacing w:line="600" w:lineRule="exact"/>
        <w:ind w:firstLine="722" w:firstLineChars="200"/>
        <w:jc w:val="center"/>
        <w:rPr>
          <w:rFonts w:hint="default" w:ascii="Times New Roman" w:hAnsi="Times New Roman" w:cs="Times New Roman"/>
          <w:b/>
          <w:bCs/>
          <w:kern w:val="0"/>
          <w:sz w:val="36"/>
          <w:szCs w:val="36"/>
          <w:lang w:val="en-US"/>
        </w:rPr>
      </w:pPr>
      <w:r>
        <w:rPr>
          <w:rFonts w:hint="default" w:ascii="Times New Roman" w:hAnsi="Times New Roman" w:cs="Times New Roman"/>
          <w:b/>
          <w:bCs/>
          <w:kern w:val="0"/>
          <w:sz w:val="36"/>
          <w:szCs w:val="36"/>
          <w:lang w:val="en-US"/>
        </w:rPr>
        <w:t>中央对地方专项转移支付绩效自评表</w:t>
      </w:r>
    </w:p>
    <w:tbl>
      <w:tblPr>
        <w:tblStyle w:val="12"/>
        <w:tblW w:w="53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179"/>
        <w:gridCol w:w="1378"/>
        <w:gridCol w:w="1908"/>
        <w:gridCol w:w="1650"/>
        <w:gridCol w:w="11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9"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转移支付（项目）名称</w:t>
            </w:r>
          </w:p>
        </w:tc>
        <w:tc>
          <w:tcPr>
            <w:tcW w:w="3980" w:type="pct"/>
            <w:gridSpan w:val="5"/>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spacing w:val="-1"/>
                <w:sz w:val="16"/>
                <w:szCs w:val="16"/>
              </w:rPr>
              <w:t>耕地建设与利用资金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1019"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3980" w:type="pct"/>
            <w:gridSpan w:val="5"/>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101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中央主管部门</w:t>
            </w:r>
          </w:p>
        </w:tc>
        <w:tc>
          <w:tcPr>
            <w:tcW w:w="3980" w:type="pct"/>
            <w:gridSpan w:val="5"/>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财政部、农业农村部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019"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地方主管部门</w:t>
            </w:r>
          </w:p>
        </w:tc>
        <w:tc>
          <w:tcPr>
            <w:tcW w:w="1806"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自治区财政厅、农业农村厅</w:t>
            </w:r>
          </w:p>
        </w:tc>
        <w:tc>
          <w:tcPr>
            <w:tcW w:w="9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资金使用单位</w:t>
            </w:r>
          </w:p>
        </w:tc>
        <w:tc>
          <w:tcPr>
            <w:tcW w:w="126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县市农业农村局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19" w:type="pct"/>
            <w:gridSpan w:val="2"/>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资金投入情况</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（万元）</w:t>
            </w:r>
          </w:p>
        </w:tc>
        <w:tc>
          <w:tcPr>
            <w:tcW w:w="757"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c>
          <w:tcPr>
            <w:tcW w:w="104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全年预算数（A</w:t>
            </w:r>
            <w:r>
              <w:rPr>
                <w:rFonts w:hint="eastAsia" w:ascii="Times New Roman" w:hAnsi="Times New Roman" w:eastAsia="宋体" w:cs="Times New Roman"/>
                <w:i w:val="0"/>
                <w:iCs w:val="0"/>
                <w:color w:val="000000"/>
                <w:kern w:val="0"/>
                <w:sz w:val="16"/>
                <w:szCs w:val="16"/>
                <w:u w:val="none"/>
                <w:lang w:val="en-US" w:eastAsia="zh-CN" w:bidi="ar"/>
              </w:rPr>
              <w:t>）</w:t>
            </w:r>
          </w:p>
        </w:tc>
        <w:tc>
          <w:tcPr>
            <w:tcW w:w="9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全年执行数（B</w:t>
            </w:r>
            <w:r>
              <w:rPr>
                <w:rFonts w:hint="eastAsia" w:ascii="Times New Roman" w:hAnsi="Times New Roman" w:eastAsia="宋体" w:cs="Times New Roman"/>
                <w:i w:val="0"/>
                <w:iCs w:val="0"/>
                <w:color w:val="000000"/>
                <w:kern w:val="0"/>
                <w:sz w:val="16"/>
                <w:szCs w:val="16"/>
                <w:u w:val="none"/>
                <w:lang w:val="en-US" w:eastAsia="zh-CN" w:bidi="ar"/>
              </w:rPr>
              <w:t>）</w:t>
            </w:r>
          </w:p>
        </w:tc>
        <w:tc>
          <w:tcPr>
            <w:tcW w:w="1267"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预算执行率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019"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年度资金总额：</w:t>
            </w:r>
          </w:p>
        </w:tc>
        <w:tc>
          <w:tcPr>
            <w:tcW w:w="10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810173</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708224.28</w:t>
            </w:r>
          </w:p>
        </w:tc>
        <w:tc>
          <w:tcPr>
            <w:tcW w:w="126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019"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其中：中央财政资金</w:t>
            </w:r>
          </w:p>
        </w:tc>
        <w:tc>
          <w:tcPr>
            <w:tcW w:w="10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810173</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708224.28</w:t>
            </w:r>
          </w:p>
        </w:tc>
        <w:tc>
          <w:tcPr>
            <w:tcW w:w="126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87.42%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019"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地方资金</w:t>
            </w:r>
          </w:p>
        </w:tc>
        <w:tc>
          <w:tcPr>
            <w:tcW w:w="104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p>
        </w:tc>
        <w:tc>
          <w:tcPr>
            <w:tcW w:w="126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019" w:type="pct"/>
            <w:gridSpan w:val="2"/>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其他资金</w:t>
            </w:r>
          </w:p>
        </w:tc>
        <w:tc>
          <w:tcPr>
            <w:tcW w:w="1048"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906" w:type="pct"/>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trPr>
        <w:tc>
          <w:tcPr>
            <w:tcW w:w="1019" w:type="pct"/>
            <w:gridSpan w:val="2"/>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资金管理情况</w:t>
            </w:r>
          </w:p>
        </w:tc>
        <w:tc>
          <w:tcPr>
            <w:tcW w:w="757"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c>
          <w:tcPr>
            <w:tcW w:w="1955"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情况说明</w:t>
            </w:r>
          </w:p>
        </w:tc>
        <w:tc>
          <w:tcPr>
            <w:tcW w:w="1267" w:type="pct"/>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5"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分配科学性</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一是突出重点。聚焦党中央、国务院，自治区党委、政府以及农业农村部关于农业农村高质量发展的重大决策部署，围绕农业农村领域重点目标任务提供资金保障和有力支撑。二是强化对比分析。根据分配资金的性质、来源、额度、投资方向、实施期限等基本情况，与上年进行比较分析，研究变化趋势，形成资金分配方案，体现资金支持的必要性和突出效果。三是提出约束性要求。对照资金分配使用需要达到的目标、任务、效果等，明确实施主体必须完成</w:t>
            </w:r>
            <w:r>
              <w:rPr>
                <w:rFonts w:hint="eastAsia" w:ascii="Times New Roman" w:hAnsi="Times New Roman" w:eastAsia="宋体" w:cs="Times New Roman"/>
                <w:i w:val="0"/>
                <w:iCs w:val="0"/>
                <w:color w:val="000000"/>
                <w:kern w:val="0"/>
                <w:sz w:val="16"/>
                <w:szCs w:val="16"/>
                <w:u w:val="none"/>
                <w:lang w:val="en-US" w:eastAsia="zh-CN" w:bidi="ar"/>
              </w:rPr>
              <w:t>的</w:t>
            </w:r>
            <w:r>
              <w:rPr>
                <w:rFonts w:hint="default" w:ascii="Times New Roman" w:hAnsi="Times New Roman" w:eastAsia="宋体" w:cs="Times New Roman"/>
                <w:i w:val="0"/>
                <w:iCs w:val="0"/>
                <w:color w:val="000000"/>
                <w:kern w:val="0"/>
                <w:sz w:val="16"/>
                <w:szCs w:val="16"/>
                <w:u w:val="none"/>
                <w:lang w:val="en-US" w:eastAsia="zh-CN" w:bidi="ar"/>
              </w:rPr>
              <w:t>绩效指标、约束指标、硬性指标。综上，新疆</w:t>
            </w:r>
            <w:r>
              <w:rPr>
                <w:rFonts w:hint="eastAsia" w:ascii="Times New Roman" w:hAnsi="Times New Roman" w:eastAsia="宋体" w:cs="Times New Roman"/>
                <w:i w:val="0"/>
                <w:iCs w:val="0"/>
                <w:color w:val="000000"/>
                <w:kern w:val="0"/>
                <w:sz w:val="16"/>
                <w:szCs w:val="16"/>
                <w:u w:val="none"/>
                <w:lang w:val="en-US" w:eastAsia="zh-CN" w:bidi="ar"/>
              </w:rPr>
              <w:t>耕地建设与利用资</w:t>
            </w:r>
            <w:r>
              <w:rPr>
                <w:rFonts w:hint="default" w:ascii="Times New Roman" w:hAnsi="Times New Roman" w:eastAsia="宋体" w:cs="Times New Roman"/>
                <w:i w:val="0"/>
                <w:iCs w:val="0"/>
                <w:color w:val="000000"/>
                <w:kern w:val="0"/>
                <w:sz w:val="16"/>
                <w:szCs w:val="16"/>
                <w:u w:val="none"/>
                <w:lang w:val="en-US" w:eastAsia="zh-CN" w:bidi="ar"/>
              </w:rPr>
              <w:t>金分配额度合理，资金分配依据充分。</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下达及时性</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2023年度，财政部分两批下达我区耕地建设与利用资金，第一批</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第二批资金于2022年11月</w:t>
            </w:r>
            <w:r>
              <w:rPr>
                <w:rFonts w:hint="eastAsia" w:ascii="Times New Roman" w:hAnsi="Times New Roman" w:eastAsia="宋体" w:cs="Times New Roman"/>
                <w:i w:val="0"/>
                <w:iCs w:val="0"/>
                <w:color w:val="000000"/>
                <w:kern w:val="0"/>
                <w:sz w:val="16"/>
                <w:szCs w:val="16"/>
                <w:u w:val="none"/>
                <w:lang w:val="en-US" w:eastAsia="zh-CN" w:bidi="ar"/>
              </w:rPr>
              <w:t>提前下达，第三批资金于</w:t>
            </w:r>
            <w:r>
              <w:rPr>
                <w:rFonts w:hint="default" w:ascii="Times New Roman" w:hAnsi="Times New Roman" w:eastAsia="宋体" w:cs="Times New Roman"/>
                <w:i w:val="0"/>
                <w:iCs w:val="0"/>
                <w:color w:val="000000"/>
                <w:kern w:val="0"/>
                <w:sz w:val="16"/>
                <w:szCs w:val="16"/>
                <w:u w:val="none"/>
                <w:lang w:val="en-US" w:eastAsia="zh-CN" w:bidi="ar"/>
              </w:rPr>
              <w:t>202</w:t>
            </w:r>
            <w:r>
              <w:rPr>
                <w:rFonts w:hint="eastAsia" w:ascii="Times New Roman" w:hAnsi="Times New Roman" w:eastAsia="宋体" w:cs="Times New Roman"/>
                <w:i w:val="0"/>
                <w:iCs w:val="0"/>
                <w:color w:val="000000"/>
                <w:kern w:val="0"/>
                <w:sz w:val="16"/>
                <w:szCs w:val="16"/>
                <w:u w:val="none"/>
                <w:lang w:val="en-US" w:eastAsia="zh-CN" w:bidi="ar"/>
              </w:rPr>
              <w:t>3</w:t>
            </w:r>
            <w:r>
              <w:rPr>
                <w:rFonts w:hint="default" w:ascii="Times New Roman" w:hAnsi="Times New Roman" w:eastAsia="宋体" w:cs="Times New Roman"/>
                <w:i w:val="0"/>
                <w:iCs w:val="0"/>
                <w:color w:val="000000"/>
                <w:kern w:val="0"/>
                <w:sz w:val="16"/>
                <w:szCs w:val="16"/>
                <w:u w:val="none"/>
                <w:lang w:val="en-US" w:eastAsia="zh-CN" w:bidi="ar"/>
              </w:rPr>
              <w:t>年</w:t>
            </w:r>
            <w:r>
              <w:rPr>
                <w:rFonts w:hint="eastAsia" w:ascii="Times New Roman" w:hAnsi="Times New Roman" w:eastAsia="宋体" w:cs="Times New Roman"/>
                <w:i w:val="0"/>
                <w:iCs w:val="0"/>
                <w:color w:val="000000"/>
                <w:kern w:val="0"/>
                <w:sz w:val="16"/>
                <w:szCs w:val="16"/>
                <w:u w:val="none"/>
                <w:lang w:val="en-US" w:eastAsia="zh-CN" w:bidi="ar"/>
              </w:rPr>
              <w:t>4</w:t>
            </w:r>
            <w:r>
              <w:rPr>
                <w:rFonts w:hint="default" w:ascii="Times New Roman" w:hAnsi="Times New Roman" w:eastAsia="宋体" w:cs="Times New Roman"/>
                <w:i w:val="0"/>
                <w:iCs w:val="0"/>
                <w:color w:val="000000"/>
                <w:kern w:val="0"/>
                <w:sz w:val="16"/>
                <w:szCs w:val="16"/>
                <w:u w:val="none"/>
                <w:lang w:val="en-US" w:eastAsia="zh-CN" w:bidi="ar"/>
              </w:rPr>
              <w:t>月</w:t>
            </w:r>
            <w:r>
              <w:rPr>
                <w:rFonts w:hint="eastAsia" w:ascii="Times New Roman" w:hAnsi="Times New Roman" w:eastAsia="宋体" w:cs="Times New Roman"/>
                <w:i w:val="0"/>
                <w:iCs w:val="0"/>
                <w:color w:val="000000"/>
                <w:kern w:val="0"/>
                <w:sz w:val="16"/>
                <w:szCs w:val="16"/>
                <w:u w:val="none"/>
                <w:lang w:val="en-US" w:eastAsia="zh-CN" w:bidi="ar"/>
              </w:rPr>
              <w:t>下达</w:t>
            </w:r>
            <w:r>
              <w:rPr>
                <w:rFonts w:hint="default" w:ascii="Times New Roman" w:hAnsi="Times New Roman" w:eastAsia="宋体" w:cs="Times New Roman"/>
                <w:i w:val="0"/>
                <w:iCs w:val="0"/>
                <w:color w:val="000000"/>
                <w:kern w:val="0"/>
                <w:sz w:val="16"/>
                <w:szCs w:val="16"/>
                <w:u w:val="none"/>
                <w:lang w:val="en-US" w:eastAsia="zh-CN" w:bidi="ar"/>
              </w:rPr>
              <w:t>。根据财政部、农业部有关要求，农业农村厅收到资金文件后，在规定时限内（30日内），按管理办法规定提出具体资金分配方案，经厅党组审议同意后，正式行文报财政厅申请下达资金，</w:t>
            </w:r>
            <w:r>
              <w:rPr>
                <w:rFonts w:hint="eastAsia" w:ascii="Times New Roman" w:hAnsi="Times New Roman" w:eastAsia="宋体" w:cs="Times New Roman"/>
                <w:i w:val="0"/>
                <w:iCs w:val="0"/>
                <w:color w:val="000000"/>
                <w:kern w:val="0"/>
                <w:sz w:val="16"/>
                <w:szCs w:val="16"/>
                <w:u w:val="none"/>
                <w:lang w:val="en-US" w:eastAsia="zh-CN" w:bidi="ar"/>
              </w:rPr>
              <w:t>综上</w:t>
            </w:r>
            <w:r>
              <w:rPr>
                <w:rFonts w:hint="default" w:ascii="Times New Roman" w:hAnsi="Times New Roman" w:eastAsia="宋体" w:cs="Times New Roman"/>
                <w:i w:val="0"/>
                <w:iCs w:val="0"/>
                <w:color w:val="000000"/>
                <w:kern w:val="0"/>
                <w:sz w:val="16"/>
                <w:szCs w:val="16"/>
                <w:u w:val="none"/>
                <w:lang w:val="en-US" w:eastAsia="zh-CN" w:bidi="ar"/>
              </w:rPr>
              <w:t>专项资金及时拨付至各地县市，资金分解下达及时。</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拨付合规性</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按照《财政部 农业农村部关于修订农业相关转移支付资金管理办法的通知》</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财农〔2022〕25号）文件的“第三章 资金分配和预算下达”要求，严格按照国库集中支付制度有关规定支付资金，未出现违规将资金从国库转入财政专户或支付到预算单位实有资金账户等问题，资金拨付合规。</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0"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使用规范性</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严格按照财政部、农业农村部《耕地建设与利用资金管理办法》（财农〔2023〕12号）规定，建立资金使用台账，加强资金监管，实行统筹管理、专项核算、专职会计。坚持实事求是的原则，严格执行财务制度，做到原始凭证齐全，财务手续健全，账目核算规范。着重做好项目资金专款专储专用，杜绝任何形式的资金占用。资金使用符合中央耕地建设与利用资金使用范围要求，在中央巡视、各级审计和财政监督中未发现问题。</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执行准确性</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自治区</w:t>
            </w:r>
            <w:r>
              <w:rPr>
                <w:rFonts w:hint="default" w:ascii="Times New Roman" w:hAnsi="Times New Roman" w:eastAsia="宋体" w:cs="Times New Roman"/>
                <w:i w:val="0"/>
                <w:iCs w:val="0"/>
                <w:color w:val="000000"/>
                <w:kern w:val="0"/>
                <w:sz w:val="16"/>
                <w:szCs w:val="16"/>
                <w:u w:val="none"/>
                <w:lang w:val="en" w:eastAsia="zh-CN" w:bidi="ar"/>
              </w:rPr>
              <w:t>农业农村厅印发《关于全力以赴抓好2023年涉农项目资金监管工作的通知》、《关于印发</w:t>
            </w:r>
            <w:r>
              <w:rPr>
                <w:rFonts w:hint="default" w:ascii="Times New Roman" w:hAnsi="Times New Roman" w:eastAsia="宋体" w:cs="Times New Roman"/>
                <w:i w:val="0"/>
                <w:iCs w:val="0"/>
                <w:color w:val="000000"/>
                <w:kern w:val="0"/>
                <w:sz w:val="16"/>
                <w:szCs w:val="16"/>
                <w:u w:val="none"/>
                <w:lang w:val="en-US" w:eastAsia="zh-CN" w:bidi="ar"/>
              </w:rPr>
              <w:t>&lt;</w:t>
            </w:r>
            <w:r>
              <w:rPr>
                <w:rFonts w:hint="default" w:ascii="Times New Roman" w:hAnsi="Times New Roman" w:eastAsia="宋体" w:cs="Times New Roman"/>
                <w:i w:val="0"/>
                <w:iCs w:val="0"/>
                <w:color w:val="000000"/>
                <w:kern w:val="0"/>
                <w:sz w:val="16"/>
                <w:szCs w:val="16"/>
                <w:u w:val="none"/>
                <w:lang w:val="en" w:eastAsia="zh-CN" w:bidi="ar"/>
              </w:rPr>
              <w:t>关于加强农业农村厅涉农资金规范管理的办法（试行）</w:t>
            </w:r>
            <w:r>
              <w:rPr>
                <w:rFonts w:hint="default" w:ascii="Times New Roman" w:hAnsi="Times New Roman" w:eastAsia="宋体" w:cs="Times New Roman"/>
                <w:i w:val="0"/>
                <w:iCs w:val="0"/>
                <w:color w:val="000000"/>
                <w:kern w:val="0"/>
                <w:sz w:val="16"/>
                <w:szCs w:val="16"/>
                <w:u w:val="none"/>
                <w:lang w:val="en-US" w:eastAsia="zh-CN" w:bidi="ar"/>
              </w:rPr>
              <w:t>&gt;</w:t>
            </w:r>
            <w:r>
              <w:rPr>
                <w:rFonts w:hint="default" w:ascii="Times New Roman" w:hAnsi="Times New Roman" w:eastAsia="宋体" w:cs="Times New Roman"/>
                <w:i w:val="0"/>
                <w:iCs w:val="0"/>
                <w:color w:val="000000"/>
                <w:kern w:val="0"/>
                <w:sz w:val="16"/>
                <w:szCs w:val="16"/>
                <w:u w:val="none"/>
                <w:lang w:val="en" w:eastAsia="zh-CN" w:bidi="ar"/>
              </w:rPr>
              <w:t>的通知》等，委托第三方</w:t>
            </w:r>
            <w:r>
              <w:rPr>
                <w:rFonts w:hint="default" w:ascii="Times New Roman" w:hAnsi="Times New Roman" w:eastAsia="宋体" w:cs="Times New Roman"/>
                <w:i w:val="0"/>
                <w:iCs w:val="0"/>
                <w:color w:val="000000"/>
                <w:kern w:val="0"/>
                <w:sz w:val="16"/>
                <w:szCs w:val="16"/>
                <w:u w:val="none"/>
                <w:lang w:val="en-US" w:eastAsia="zh-CN" w:bidi="ar"/>
              </w:rPr>
              <w:t>专业机构</w:t>
            </w:r>
            <w:r>
              <w:rPr>
                <w:rFonts w:hint="default" w:ascii="Times New Roman" w:hAnsi="Times New Roman" w:eastAsia="宋体" w:cs="Times New Roman"/>
                <w:i w:val="0"/>
                <w:iCs w:val="0"/>
                <w:color w:val="000000"/>
                <w:kern w:val="0"/>
                <w:sz w:val="16"/>
                <w:szCs w:val="16"/>
                <w:u w:val="none"/>
                <w:lang w:val="en" w:eastAsia="zh-CN" w:bidi="ar"/>
              </w:rPr>
              <w:t>对项目开展实地绩效评价，</w:t>
            </w:r>
            <w:r>
              <w:rPr>
                <w:rFonts w:hint="default" w:ascii="Times New Roman" w:hAnsi="Times New Roman" w:eastAsia="宋体" w:cs="Times New Roman"/>
                <w:i w:val="0"/>
                <w:iCs w:val="0"/>
                <w:color w:val="000000"/>
                <w:kern w:val="0"/>
                <w:sz w:val="16"/>
                <w:szCs w:val="16"/>
                <w:u w:val="none"/>
                <w:lang w:val="en-US" w:eastAsia="zh-CN" w:bidi="ar"/>
              </w:rPr>
              <w:t>对发现问题通过发提醒函或约谈等形式及时协调推动解决，</w:t>
            </w:r>
            <w:r>
              <w:rPr>
                <w:rFonts w:hint="default" w:ascii="Times New Roman" w:hAnsi="Times New Roman" w:eastAsia="宋体" w:cs="Times New Roman"/>
                <w:i w:val="0"/>
                <w:iCs w:val="0"/>
                <w:color w:val="000000"/>
                <w:kern w:val="0"/>
                <w:sz w:val="16"/>
                <w:szCs w:val="16"/>
                <w:u w:val="none"/>
                <w:lang w:val="en" w:eastAsia="zh-CN" w:bidi="ar"/>
              </w:rPr>
              <w:t>督促做好涉农项目资金管理工作。</w:t>
            </w:r>
            <w:r>
              <w:rPr>
                <w:rFonts w:hint="default" w:ascii="Times New Roman" w:hAnsi="Times New Roman" w:eastAsia="宋体" w:cs="Times New Roman"/>
                <w:i w:val="0"/>
                <w:iCs w:val="0"/>
                <w:color w:val="000000"/>
                <w:kern w:val="0"/>
                <w:sz w:val="16"/>
                <w:szCs w:val="16"/>
                <w:u w:val="none"/>
                <w:lang w:val="en-US" w:eastAsia="zh-CN" w:bidi="ar"/>
              </w:rPr>
              <w:t>自治区党委政府将涉农项目管理工作列入重点督查内容，定期召开调度会，并对有关情况及时进行通报。厅党组定期听取项目进展情况，主要领导多次赴地州调研，召开项目推进专题会议，督促抓好项目实施质量及资金拨付进度</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抓好资金监管，资金执行准确。</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预算绩效管理情况</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按照《中共中央国务院关于全面实施预算绩效管理的意见》、《关于印发&lt;自治区本级部门预算绩效目标管理办法&gt;的通知》（新财预〔2017〕21号</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关于印发&lt;新疆维吾尔自治区农业相关转移支付资金绩效管理办法实施细则&gt;的通知》（新财规〔2020〕15号）等相关文件要求，自治区农业农村厅强化资金使用监管，严格执行有关财经制度，进一步加强预算绩效管理，在预算执行中做好绩效监控，预算执行完做好绩效评价，切实提高财政资金使用效益，确保资金安全规范使用，确保年度绩效目标如期实现。</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trPr>
        <w:tc>
          <w:tcPr>
            <w:tcW w:w="1019" w:type="pct"/>
            <w:gridSpan w:val="2"/>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支出责任履行情况</w:t>
            </w:r>
          </w:p>
        </w:tc>
        <w:tc>
          <w:tcPr>
            <w:tcW w:w="1955" w:type="pct"/>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对共同财政事权转移支付，按照财政事权和支出责任划分有关规定，足额安排资金履行本级支出责任，支出责任履行情况良好。</w:t>
            </w:r>
          </w:p>
          <w:p>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Hans" w:bidi="ar"/>
              </w:rPr>
              <w:t>项目实施乡镇人民政府为直接责任人，地州市县农业农村局为项目主管部门对项目资金使用、监督和验收负主体责任；单位主要领导为项目监督和实施第一责任人</w:t>
            </w:r>
            <w:r>
              <w:rPr>
                <w:rFonts w:hint="default"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Hans" w:bidi="ar"/>
              </w:rPr>
              <w:t>主动与财政部门做好项目资金对接落实工作，确保资金及时到位，安全使用；</w:t>
            </w:r>
            <w:r>
              <w:rPr>
                <w:rFonts w:hint="default" w:ascii="Times New Roman" w:hAnsi="Times New Roman" w:eastAsia="宋体" w:cs="Times New Roman"/>
                <w:i w:val="0"/>
                <w:iCs w:val="0"/>
                <w:color w:val="000000"/>
                <w:kern w:val="0"/>
                <w:sz w:val="16"/>
                <w:szCs w:val="16"/>
                <w:u w:val="none"/>
                <w:lang w:val="en-US" w:eastAsia="zh-CN" w:bidi="ar"/>
              </w:rPr>
              <w:t>自治区农业农村厅</w:t>
            </w:r>
            <w:r>
              <w:rPr>
                <w:rFonts w:hint="default" w:ascii="Times New Roman" w:hAnsi="Times New Roman" w:eastAsia="宋体" w:cs="Times New Roman"/>
                <w:i w:val="0"/>
                <w:iCs w:val="0"/>
                <w:color w:val="000000"/>
                <w:kern w:val="0"/>
                <w:sz w:val="16"/>
                <w:szCs w:val="16"/>
                <w:u w:val="none"/>
                <w:lang w:val="en-US" w:eastAsia="zh-Hans" w:bidi="ar"/>
              </w:rPr>
              <w:t>建立项目执行定期调度督导机制，及时掌握项目执行和资金使用情况，</w:t>
            </w:r>
            <w:r>
              <w:rPr>
                <w:rFonts w:hint="default" w:ascii="Times New Roman" w:hAnsi="Times New Roman" w:eastAsia="宋体" w:cs="Times New Roman"/>
                <w:i w:val="0"/>
                <w:iCs w:val="0"/>
                <w:color w:val="000000"/>
                <w:kern w:val="0"/>
                <w:sz w:val="16"/>
                <w:szCs w:val="16"/>
                <w:u w:val="none"/>
                <w:lang w:val="en-US" w:eastAsia="zh-CN" w:bidi="ar"/>
              </w:rPr>
              <w:t>不断总结经验和问题，</w:t>
            </w:r>
            <w:r>
              <w:rPr>
                <w:rFonts w:hint="default" w:ascii="Times New Roman" w:hAnsi="Times New Roman" w:eastAsia="宋体" w:cs="Times New Roman"/>
                <w:i w:val="0"/>
                <w:iCs w:val="0"/>
                <w:color w:val="000000"/>
                <w:kern w:val="0"/>
                <w:sz w:val="16"/>
                <w:szCs w:val="16"/>
                <w:u w:val="none"/>
                <w:lang w:val="en-US" w:eastAsia="zh-Hans" w:bidi="ar"/>
              </w:rPr>
              <w:t>确保项目执行到位、资金使用规范。</w:t>
            </w:r>
          </w:p>
        </w:tc>
        <w:tc>
          <w:tcPr>
            <w:tcW w:w="1267" w:type="pct"/>
            <w:gridSpan w:val="2"/>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37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总体目标完成情况</w:t>
            </w:r>
          </w:p>
        </w:tc>
        <w:tc>
          <w:tcPr>
            <w:tcW w:w="2454"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总体目标</w:t>
            </w:r>
          </w:p>
        </w:tc>
        <w:tc>
          <w:tcPr>
            <w:tcW w:w="2174" w:type="pct"/>
            <w:gridSpan w:val="3"/>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454"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rPr>
              <w:t>按照相关规划或实施方案，结合地方实际开展耕地建设与利用。</w:t>
            </w:r>
          </w:p>
        </w:tc>
        <w:tc>
          <w:tcPr>
            <w:tcW w:w="2174" w:type="pct"/>
            <w:gridSpan w:val="3"/>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sz w:val="16"/>
                <w:szCs w:val="16"/>
              </w:rPr>
            </w:pPr>
            <w:r>
              <w:rPr>
                <w:rFonts w:hint="default" w:ascii="Times New Roman" w:hAnsi="Times New Roman" w:eastAsia="宋体" w:cs="Times New Roman"/>
                <w:sz w:val="16"/>
                <w:szCs w:val="16"/>
                <w:lang w:val="en-US" w:eastAsia="zh-CN"/>
              </w:rPr>
              <w:t>2023年完成</w:t>
            </w:r>
            <w:r>
              <w:rPr>
                <w:rFonts w:hint="default" w:ascii="Times New Roman" w:hAnsi="Times New Roman" w:eastAsia="宋体" w:cs="Times New Roman"/>
                <w:sz w:val="16"/>
                <w:szCs w:val="16"/>
                <w:lang w:val="en-US" w:eastAsia="zh-Hans"/>
              </w:rPr>
              <w:t>测土配方施肥技术推广面积</w:t>
            </w:r>
            <w:r>
              <w:rPr>
                <w:rFonts w:hint="default" w:ascii="Times New Roman" w:hAnsi="Times New Roman" w:eastAsia="宋体" w:cs="Times New Roman"/>
                <w:sz w:val="16"/>
                <w:szCs w:val="16"/>
                <w:lang w:val="en-US" w:eastAsia="zh-CN"/>
              </w:rPr>
              <w:t>7228.11万亩，</w:t>
            </w:r>
            <w:r>
              <w:rPr>
                <w:rFonts w:hint="default" w:ascii="Times New Roman" w:hAnsi="Times New Roman" w:eastAsia="宋体" w:cs="Times New Roman"/>
                <w:sz w:val="16"/>
                <w:szCs w:val="16"/>
                <w:lang w:val="en-US" w:eastAsia="zh-Hans"/>
              </w:rPr>
              <w:t>化肥减量增效“三新”配套示范面积</w:t>
            </w:r>
            <w:r>
              <w:rPr>
                <w:rFonts w:hint="default" w:ascii="Times New Roman" w:hAnsi="Times New Roman" w:eastAsia="宋体" w:cs="Times New Roman"/>
                <w:sz w:val="16"/>
                <w:szCs w:val="16"/>
                <w:lang w:val="en-US" w:eastAsia="zh-CN"/>
              </w:rPr>
              <w:t>122.55万亩，</w:t>
            </w:r>
            <w:r>
              <w:rPr>
                <w:rFonts w:hint="default" w:ascii="Times New Roman" w:hAnsi="Times New Roman" w:eastAsia="宋体" w:cs="Times New Roman"/>
                <w:sz w:val="16"/>
                <w:szCs w:val="16"/>
                <w:lang w:val="en-US" w:eastAsia="zh-Hans"/>
              </w:rPr>
              <w:t>耕地轮作试点面积</w:t>
            </w:r>
            <w:r>
              <w:rPr>
                <w:rFonts w:hint="default" w:ascii="Times New Roman" w:hAnsi="Times New Roman" w:eastAsia="宋体" w:cs="Times New Roman"/>
                <w:sz w:val="16"/>
                <w:szCs w:val="16"/>
                <w:lang w:val="en-US" w:eastAsia="zh-CN"/>
              </w:rPr>
              <w:t>258.1万亩，</w:t>
            </w:r>
            <w:r>
              <w:rPr>
                <w:rFonts w:hint="default" w:ascii="Times New Roman" w:hAnsi="Times New Roman" w:eastAsia="宋体" w:cs="Times New Roman"/>
                <w:sz w:val="16"/>
                <w:szCs w:val="16"/>
                <w:lang w:val="en-US" w:eastAsia="zh-Hans"/>
              </w:rPr>
              <w:t>耕地休耕试点面积</w:t>
            </w:r>
            <w:r>
              <w:rPr>
                <w:rFonts w:hint="default" w:ascii="Times New Roman" w:hAnsi="Times New Roman" w:eastAsia="宋体" w:cs="Times New Roman"/>
                <w:sz w:val="16"/>
                <w:szCs w:val="16"/>
                <w:lang w:val="en-US" w:eastAsia="zh-CN"/>
              </w:rPr>
              <w:t>16万亩，</w:t>
            </w:r>
            <w:r>
              <w:rPr>
                <w:rFonts w:hint="default" w:ascii="Times New Roman" w:hAnsi="Times New Roman" w:eastAsia="宋体" w:cs="Times New Roman"/>
                <w:sz w:val="16"/>
                <w:szCs w:val="16"/>
                <w:lang w:val="en-US" w:eastAsia="zh-Hans"/>
              </w:rPr>
              <w:t>新建高标准农田面积</w:t>
            </w:r>
            <w:r>
              <w:rPr>
                <w:rFonts w:hint="default" w:ascii="Times New Roman" w:hAnsi="Times New Roman" w:eastAsia="宋体" w:cs="Times New Roman"/>
                <w:sz w:val="16"/>
                <w:szCs w:val="16"/>
                <w:lang w:val="en-US" w:eastAsia="zh-CN"/>
              </w:rPr>
              <w:t>288万亩，</w:t>
            </w:r>
            <w:r>
              <w:rPr>
                <w:rFonts w:hint="default" w:ascii="Times New Roman" w:hAnsi="Times New Roman" w:eastAsia="宋体" w:cs="Times New Roman"/>
                <w:sz w:val="16"/>
                <w:szCs w:val="16"/>
                <w:lang w:val="en-US" w:eastAsia="zh-Hans"/>
              </w:rPr>
              <w:t>改造提升高标准农田面积</w:t>
            </w:r>
            <w:r>
              <w:rPr>
                <w:rFonts w:hint="default" w:ascii="Times New Roman" w:hAnsi="Times New Roman" w:eastAsia="宋体" w:cs="Times New Roman"/>
                <w:sz w:val="16"/>
                <w:szCs w:val="16"/>
                <w:lang w:val="en-US" w:eastAsia="zh-CN"/>
              </w:rPr>
              <w:t>75万亩，</w:t>
            </w:r>
            <w:r>
              <w:rPr>
                <w:rFonts w:hint="default" w:ascii="Times New Roman" w:hAnsi="Times New Roman" w:eastAsia="宋体" w:cs="Times New Roman"/>
                <w:sz w:val="16"/>
                <w:szCs w:val="16"/>
                <w:lang w:val="en-US" w:eastAsia="zh-Hans"/>
              </w:rPr>
              <w:t>新增高效节水灌溉面积</w:t>
            </w:r>
            <w:r>
              <w:rPr>
                <w:rFonts w:hint="default" w:ascii="Times New Roman" w:hAnsi="Times New Roman" w:eastAsia="宋体" w:cs="Times New Roman"/>
                <w:sz w:val="16"/>
                <w:szCs w:val="16"/>
                <w:lang w:val="en-US" w:eastAsia="zh-CN"/>
              </w:rPr>
              <w:t>77万亩，有效改善了项目区农田基础设施条件，不断提升耕地质量，提高粮食综合生产能力，提升农田灌溉排水和节水能力。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454"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c>
          <w:tcPr>
            <w:tcW w:w="2174"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2454"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c>
          <w:tcPr>
            <w:tcW w:w="2174" w:type="pct"/>
            <w:gridSpan w:val="3"/>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lef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71" w:type="pct"/>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绩</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效</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指</w:t>
            </w:r>
            <w:r>
              <w:rPr>
                <w:rFonts w:hint="default" w:ascii="Times New Roman" w:hAnsi="Times New Roman" w:eastAsia="宋体" w:cs="Times New Roman"/>
                <w:i w:val="0"/>
                <w:iCs w:val="0"/>
                <w:color w:val="000000"/>
                <w:kern w:val="0"/>
                <w:sz w:val="16"/>
                <w:szCs w:val="16"/>
                <w:u w:val="none"/>
                <w:lang w:val="en-US" w:eastAsia="zh-CN" w:bidi="ar"/>
              </w:rPr>
              <w:br w:type="textWrapping"/>
            </w:r>
            <w:r>
              <w:rPr>
                <w:rFonts w:hint="default" w:ascii="Times New Roman" w:hAnsi="Times New Roman" w:eastAsia="宋体" w:cs="Times New Roman"/>
                <w:i w:val="0"/>
                <w:iCs w:val="0"/>
                <w:color w:val="000000"/>
                <w:kern w:val="0"/>
                <w:sz w:val="16"/>
                <w:szCs w:val="16"/>
                <w:u w:val="none"/>
                <w:lang w:val="en-US" w:eastAsia="zh-CN" w:bidi="ar"/>
              </w:rPr>
              <w:t>标</w:t>
            </w:r>
          </w:p>
        </w:tc>
        <w:tc>
          <w:tcPr>
            <w:tcW w:w="64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一级指标</w:t>
            </w: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二级指标</w:t>
            </w:r>
          </w:p>
        </w:tc>
        <w:tc>
          <w:tcPr>
            <w:tcW w:w="104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三级指标</w:t>
            </w:r>
          </w:p>
        </w:tc>
        <w:tc>
          <w:tcPr>
            <w:tcW w:w="906"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指标值</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全年实际完成值</w:t>
            </w:r>
          </w:p>
        </w:tc>
        <w:tc>
          <w:tcPr>
            <w:tcW w:w="66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未完成原因和改进措施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产出指标</w:t>
            </w:r>
          </w:p>
        </w:tc>
        <w:tc>
          <w:tcPr>
            <w:tcW w:w="75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数量指标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7"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东北黑土地保护利用面积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6"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酸化耕地治理面积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7"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补充耕地质量评定试点县数量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7" w:line="0" w:lineRule="atLeast"/>
              <w:ind w:left="42"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1"/>
                <w:sz w:val="16"/>
                <w:szCs w:val="16"/>
                <w:highlight w:val="none"/>
              </w:rPr>
              <w:t>外业调查采样和内业测试化验点位数</w:t>
            </w:r>
            <w:r>
              <w:rPr>
                <w:rFonts w:hint="eastAsia" w:ascii="Times New Roman" w:hAnsi="Times New Roman" w:eastAsia="宋体" w:cs="Times New Roman"/>
                <w:spacing w:val="1"/>
                <w:sz w:val="16"/>
                <w:szCs w:val="16"/>
                <w:highlight w:val="none"/>
                <w:lang w:eastAsia="zh-CN"/>
              </w:rPr>
              <w:t>（</w:t>
            </w:r>
            <w:r>
              <w:rPr>
                <w:rFonts w:hint="default" w:ascii="Times New Roman" w:hAnsi="Times New Roman" w:eastAsia="宋体" w:cs="Times New Roman"/>
                <w:spacing w:val="1"/>
                <w:sz w:val="16"/>
                <w:szCs w:val="16"/>
                <w:highlight w:val="none"/>
              </w:rPr>
              <w:t>个</w:t>
            </w:r>
            <w:r>
              <w:rPr>
                <w:rFonts w:hint="eastAsia" w:ascii="Times New Roman" w:hAnsi="Times New Roman" w:eastAsia="宋体" w:cs="Times New Roman"/>
                <w:spacing w:val="1"/>
                <w:sz w:val="16"/>
                <w:szCs w:val="16"/>
                <w:highlight w:val="none"/>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18942</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kern w:val="0"/>
                <w:sz w:val="16"/>
                <w:szCs w:val="16"/>
                <w:highlight w:val="none"/>
                <w:u w:val="none"/>
                <w:lang w:val="en-US" w:eastAsia="zh-CN" w:bidi="ar"/>
              </w:rPr>
              <w:t>18942</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8"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黑土地保护利用试点县数量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8" w:line="0" w:lineRule="atLeast"/>
              <w:ind w:left="42" w:leftChars="0"/>
              <w:jc w:val="center"/>
              <w:rPr>
                <w:rFonts w:hint="default" w:ascii="Times New Roman" w:hAnsi="Times New Roman" w:eastAsia="宋体" w:cs="Times New Roman"/>
                <w:spacing w:val="2"/>
                <w:sz w:val="16"/>
                <w:szCs w:val="16"/>
                <w:highlight w:val="none"/>
              </w:rPr>
            </w:pPr>
            <w:r>
              <w:rPr>
                <w:rFonts w:hint="default" w:ascii="Times New Roman" w:hAnsi="Times New Roman" w:eastAsia="宋体" w:cs="Times New Roman"/>
                <w:spacing w:val="2"/>
                <w:sz w:val="16"/>
                <w:szCs w:val="16"/>
                <w:highlight w:val="none"/>
              </w:rPr>
              <w:t>测土配方施肥技术推广面积</w:t>
            </w:r>
            <w:r>
              <w:rPr>
                <w:rFonts w:hint="eastAsia" w:ascii="Times New Roman" w:hAnsi="Times New Roman" w:eastAsia="宋体" w:cs="Times New Roman"/>
                <w:spacing w:val="2"/>
                <w:sz w:val="16"/>
                <w:szCs w:val="16"/>
                <w:highlight w:val="none"/>
                <w:lang w:eastAsia="zh-CN"/>
              </w:rPr>
              <w:t>（</w:t>
            </w:r>
            <w:r>
              <w:rPr>
                <w:rFonts w:hint="default" w:ascii="Times New Roman" w:hAnsi="Times New Roman" w:eastAsia="宋体" w:cs="Times New Roman"/>
                <w:spacing w:val="2"/>
                <w:sz w:val="16"/>
                <w:szCs w:val="16"/>
                <w:highlight w:val="none"/>
              </w:rPr>
              <w:t>万亩次</w:t>
            </w:r>
            <w:r>
              <w:rPr>
                <w:rFonts w:hint="eastAsia" w:ascii="Times New Roman" w:hAnsi="Times New Roman" w:eastAsia="宋体" w:cs="Times New Roman"/>
                <w:spacing w:val="2"/>
                <w:sz w:val="16"/>
                <w:szCs w:val="16"/>
                <w:highlight w:val="none"/>
                <w:lang w:eastAsia="zh-CN"/>
              </w:rPr>
              <w:t>）</w:t>
            </w:r>
          </w:p>
        </w:tc>
        <w:tc>
          <w:tcPr>
            <w:tcW w:w="906" w:type="pct"/>
            <w:noWrap w:val="0"/>
            <w:vAlign w:val="center"/>
          </w:tcPr>
          <w:p>
            <w:pPr>
              <w:keepNext w:val="0"/>
              <w:keepLines w:val="0"/>
              <w:pageBreakBefore w:val="0"/>
              <w:kinsoku/>
              <w:wordWrap/>
              <w:overflowPunct/>
              <w:topLinePunct w:val="0"/>
              <w:autoSpaceDE/>
              <w:autoSpaceDN/>
              <w:bidi w:val="0"/>
              <w:adjustRightInd/>
              <w:snapToGrid/>
              <w:spacing w:before="38" w:line="0" w:lineRule="atLeast"/>
              <w:ind w:left="42" w:leftChars="0"/>
              <w:jc w:val="center"/>
              <w:rPr>
                <w:rFonts w:hint="default" w:ascii="Times New Roman" w:hAnsi="Times New Roman" w:eastAsia="宋体" w:cs="Times New Roman"/>
                <w:spacing w:val="2"/>
                <w:sz w:val="16"/>
                <w:szCs w:val="16"/>
                <w:highlight w:val="none"/>
              </w:rPr>
            </w:pPr>
            <w:r>
              <w:rPr>
                <w:rFonts w:hint="default" w:ascii="Times New Roman" w:hAnsi="Times New Roman" w:eastAsia="宋体" w:cs="Times New Roman"/>
                <w:spacing w:val="2"/>
                <w:sz w:val="16"/>
                <w:szCs w:val="16"/>
                <w:highlight w:val="none"/>
                <w:lang w:val="en-US" w:eastAsia="zh-CN"/>
              </w:rPr>
              <w:t>7000</w:t>
            </w:r>
          </w:p>
        </w:tc>
        <w:tc>
          <w:tcPr>
            <w:tcW w:w="607" w:type="pct"/>
            <w:noWrap w:val="0"/>
            <w:vAlign w:val="center"/>
          </w:tcPr>
          <w:p>
            <w:pPr>
              <w:keepNext w:val="0"/>
              <w:keepLines w:val="0"/>
              <w:pageBreakBefore w:val="0"/>
              <w:kinsoku/>
              <w:wordWrap/>
              <w:overflowPunct/>
              <w:topLinePunct w:val="0"/>
              <w:autoSpaceDE/>
              <w:autoSpaceDN/>
              <w:bidi w:val="0"/>
              <w:adjustRightInd/>
              <w:snapToGrid/>
              <w:spacing w:before="38" w:line="0" w:lineRule="atLeast"/>
              <w:ind w:left="42" w:leftChars="0"/>
              <w:jc w:val="center"/>
              <w:rPr>
                <w:rFonts w:hint="default" w:ascii="Times New Roman" w:hAnsi="Times New Roman" w:eastAsia="宋体" w:cs="Times New Roman"/>
                <w:spacing w:val="2"/>
                <w:sz w:val="16"/>
                <w:szCs w:val="16"/>
                <w:highlight w:val="none"/>
                <w:lang w:val="en-US" w:eastAsia="zh-CN"/>
              </w:rPr>
            </w:pPr>
            <w:r>
              <w:rPr>
                <w:rFonts w:hint="default" w:ascii="Times New Roman" w:hAnsi="Times New Roman" w:eastAsia="宋体" w:cs="Times New Roman"/>
                <w:spacing w:val="2"/>
                <w:sz w:val="16"/>
                <w:szCs w:val="16"/>
                <w:highlight w:val="none"/>
                <w:lang w:val="en-US" w:eastAsia="zh-CN"/>
              </w:rPr>
              <w:t>7228.11</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8"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根瘤菌剂等微生物菌剂施用面积</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万亩</w:t>
            </w:r>
            <w:r>
              <w:rPr>
                <w:rFonts w:hint="eastAsia" w:ascii="Times New Roman" w:hAnsi="Times New Roman" w:eastAsia="宋体" w:cs="Times New Roman"/>
                <w:spacing w:val="1"/>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kinsoku/>
              <w:wordWrap/>
              <w:overflowPunct/>
              <w:topLinePunct w:val="0"/>
              <w:autoSpaceDE/>
              <w:autoSpaceDN/>
              <w:bidi w:val="0"/>
              <w:adjustRightInd/>
              <w:snapToGrid/>
              <w:spacing w:before="38" w:line="0" w:lineRule="atLeast"/>
              <w:ind w:left="42" w:leftChars="0"/>
              <w:jc w:val="center"/>
              <w:rPr>
                <w:rFonts w:hint="default" w:ascii="Times New Roman" w:hAnsi="Times New Roman" w:eastAsia="宋体" w:cs="Times New Roman"/>
                <w:spacing w:val="2"/>
                <w:sz w:val="16"/>
                <w:szCs w:val="16"/>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8" w:line="0" w:lineRule="atLeast"/>
              <w:ind w:left="42"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1"/>
                <w:sz w:val="16"/>
                <w:szCs w:val="16"/>
                <w:highlight w:val="none"/>
              </w:rPr>
              <w:t>化肥减量增效“三新”配套示范面积</w:t>
            </w:r>
            <w:r>
              <w:rPr>
                <w:rFonts w:hint="eastAsia" w:ascii="Times New Roman" w:hAnsi="Times New Roman" w:eastAsia="宋体" w:cs="Times New Roman"/>
                <w:spacing w:val="1"/>
                <w:sz w:val="16"/>
                <w:szCs w:val="16"/>
                <w:highlight w:val="none"/>
                <w:lang w:eastAsia="zh-CN"/>
              </w:rPr>
              <w:t>（</w:t>
            </w:r>
            <w:r>
              <w:rPr>
                <w:rFonts w:hint="default" w:ascii="Times New Roman" w:hAnsi="Times New Roman" w:eastAsia="宋体" w:cs="Times New Roman"/>
                <w:spacing w:val="1"/>
                <w:sz w:val="16"/>
                <w:szCs w:val="16"/>
                <w:highlight w:val="none"/>
              </w:rPr>
              <w:t>万亩</w:t>
            </w:r>
            <w:r>
              <w:rPr>
                <w:rFonts w:hint="eastAsia" w:ascii="Times New Roman" w:hAnsi="Times New Roman" w:eastAsia="宋体" w:cs="Times New Roman"/>
                <w:spacing w:val="1"/>
                <w:sz w:val="16"/>
                <w:szCs w:val="16"/>
                <w:highlight w:val="none"/>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102</w:t>
            </w:r>
          </w:p>
        </w:tc>
        <w:tc>
          <w:tcPr>
            <w:tcW w:w="607" w:type="pct"/>
            <w:noWrap w:val="0"/>
            <w:vAlign w:val="center"/>
          </w:tcPr>
          <w:p>
            <w:pPr>
              <w:keepNext w:val="0"/>
              <w:keepLines w:val="0"/>
              <w:pageBreakBefore w:val="0"/>
              <w:kinsoku/>
              <w:wordWrap/>
              <w:overflowPunct/>
              <w:topLinePunct w:val="0"/>
              <w:autoSpaceDE/>
              <w:autoSpaceDN/>
              <w:bidi w:val="0"/>
              <w:adjustRightInd/>
              <w:snapToGrid/>
              <w:spacing w:before="38" w:line="0" w:lineRule="atLeast"/>
              <w:ind w:left="42" w:leftChars="0"/>
              <w:jc w:val="center"/>
              <w:rPr>
                <w:rFonts w:hint="default" w:ascii="Times New Roman" w:hAnsi="Times New Roman" w:eastAsia="宋体" w:cs="Times New Roman"/>
                <w:spacing w:val="2"/>
                <w:sz w:val="16"/>
                <w:szCs w:val="16"/>
                <w:highlight w:val="none"/>
                <w:lang w:val="en-US" w:eastAsia="zh-CN"/>
              </w:rPr>
            </w:pPr>
            <w:r>
              <w:rPr>
                <w:rFonts w:hint="default" w:ascii="Times New Roman" w:hAnsi="Times New Roman" w:eastAsia="宋体" w:cs="Times New Roman"/>
                <w:spacing w:val="2"/>
                <w:sz w:val="16"/>
                <w:szCs w:val="16"/>
                <w:highlight w:val="none"/>
                <w:lang w:val="en-US" w:eastAsia="zh-CN"/>
              </w:rPr>
              <w:t>122.55</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8" w:line="0" w:lineRule="atLeast"/>
              <w:ind w:left="42"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耕地轮作试点面积</w:t>
            </w:r>
            <w:r>
              <w:rPr>
                <w:rFonts w:hint="eastAsia" w:ascii="Times New Roman" w:hAnsi="Times New Roman" w:eastAsia="宋体" w:cs="Times New Roman"/>
                <w:spacing w:val="2"/>
                <w:sz w:val="16"/>
                <w:szCs w:val="16"/>
                <w:highlight w:val="none"/>
                <w:lang w:eastAsia="zh-CN"/>
              </w:rPr>
              <w:t>（</w:t>
            </w:r>
            <w:r>
              <w:rPr>
                <w:rFonts w:hint="default" w:ascii="Times New Roman" w:hAnsi="Times New Roman" w:eastAsia="宋体" w:cs="Times New Roman"/>
                <w:spacing w:val="2"/>
                <w:sz w:val="16"/>
                <w:szCs w:val="16"/>
                <w:highlight w:val="none"/>
              </w:rPr>
              <w:t>万亩</w:t>
            </w:r>
            <w:r>
              <w:rPr>
                <w:rFonts w:hint="eastAsia" w:ascii="Times New Roman" w:hAnsi="Times New Roman" w:eastAsia="宋体" w:cs="Times New Roman"/>
                <w:spacing w:val="2"/>
                <w:sz w:val="16"/>
                <w:szCs w:val="16"/>
                <w:highlight w:val="none"/>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249</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lang w:val="en-US" w:eastAsia="zh-CN"/>
              </w:rPr>
              <w:t>258.1</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7" w:line="0" w:lineRule="atLeast"/>
              <w:ind w:left="42"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rPr>
              <w:t>耕地休耕试点面积</w:t>
            </w:r>
            <w:r>
              <w:rPr>
                <w:rFonts w:hint="eastAsia" w:ascii="Times New Roman" w:hAnsi="Times New Roman" w:eastAsia="宋体" w:cs="Times New Roman"/>
                <w:spacing w:val="2"/>
                <w:sz w:val="16"/>
                <w:szCs w:val="16"/>
                <w:highlight w:val="none"/>
                <w:lang w:eastAsia="zh-CN"/>
              </w:rPr>
              <w:t>（</w:t>
            </w:r>
            <w:r>
              <w:rPr>
                <w:rFonts w:hint="default" w:ascii="Times New Roman" w:hAnsi="Times New Roman" w:eastAsia="宋体" w:cs="Times New Roman"/>
                <w:spacing w:val="2"/>
                <w:sz w:val="16"/>
                <w:szCs w:val="16"/>
                <w:highlight w:val="none"/>
              </w:rPr>
              <w:t>万亩</w:t>
            </w:r>
            <w:r>
              <w:rPr>
                <w:rFonts w:hint="eastAsia" w:ascii="Times New Roman" w:hAnsi="Times New Roman" w:eastAsia="宋体" w:cs="Times New Roman"/>
                <w:spacing w:val="2"/>
                <w:sz w:val="16"/>
                <w:szCs w:val="16"/>
                <w:highlight w:val="none"/>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16</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2"/>
                <w:sz w:val="16"/>
                <w:szCs w:val="16"/>
                <w:highlight w:val="none"/>
                <w:lang w:val="en-US" w:eastAsia="zh-CN"/>
              </w:rPr>
              <w:t>16</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8"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秸秆覆盖免</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少</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耕播种作业任务面积</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万亩</w:t>
            </w:r>
            <w:r>
              <w:rPr>
                <w:rFonts w:hint="eastAsia" w:ascii="Times New Roman" w:hAnsi="Times New Roman" w:eastAsia="宋体" w:cs="Times New Roman"/>
                <w:spacing w:val="1"/>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9"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深松</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翻</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作业面积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8"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建设保护性耕作高标准应用基地数量</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个</w:t>
            </w:r>
            <w:r>
              <w:rPr>
                <w:rFonts w:hint="eastAsia" w:ascii="Times New Roman" w:hAnsi="Times New Roman" w:eastAsia="宋体" w:cs="Times New Roman"/>
                <w:spacing w:val="1"/>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9"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生产障碍耕地治理面积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29"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新建高标准农田面积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288</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2"/>
                <w:sz w:val="16"/>
                <w:szCs w:val="16"/>
                <w:highlight w:val="none"/>
                <w:u w:val="none"/>
                <w:lang w:val="en-US" w:eastAsia="zh-CN" w:bidi="ar-SA"/>
              </w:rPr>
            </w:pPr>
            <w:r>
              <w:rPr>
                <w:rFonts w:hint="default" w:ascii="Times New Roman" w:hAnsi="Times New Roman" w:eastAsia="宋体" w:cs="Times New Roman"/>
                <w:i w:val="0"/>
                <w:iCs w:val="0"/>
                <w:color w:val="000000"/>
                <w:kern w:val="0"/>
                <w:sz w:val="16"/>
                <w:szCs w:val="16"/>
                <w:highlight w:val="none"/>
                <w:u w:val="none"/>
                <w:lang w:val="en-US" w:eastAsia="zh-CN" w:bidi="ar"/>
              </w:rPr>
              <w:t>288</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0"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改造提升高标准农田面积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75</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2"/>
                <w:sz w:val="16"/>
                <w:szCs w:val="16"/>
                <w:highlight w:val="none"/>
                <w:u w:val="none"/>
                <w:lang w:val="en-US" w:eastAsia="zh-CN" w:bidi="ar-SA"/>
              </w:rPr>
            </w:pPr>
            <w:r>
              <w:rPr>
                <w:rFonts w:hint="default" w:ascii="Times New Roman" w:hAnsi="Times New Roman" w:eastAsia="宋体" w:cs="Times New Roman"/>
                <w:i w:val="0"/>
                <w:iCs w:val="0"/>
                <w:color w:val="000000"/>
                <w:kern w:val="0"/>
                <w:sz w:val="16"/>
                <w:szCs w:val="16"/>
                <w:highlight w:val="none"/>
                <w:u w:val="none"/>
                <w:lang w:val="en-US" w:eastAsia="zh-CN" w:bidi="ar"/>
              </w:rPr>
              <w:t>75</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0"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新增高效节水灌溉面积</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万亩</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77</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kern w:val="2"/>
                <w:sz w:val="16"/>
                <w:szCs w:val="16"/>
                <w:highlight w:val="none"/>
                <w:u w:val="none"/>
                <w:lang w:val="en-US" w:eastAsia="zh-CN" w:bidi="ar-SA"/>
              </w:rPr>
            </w:pPr>
            <w:r>
              <w:rPr>
                <w:rFonts w:hint="default" w:ascii="Times New Roman" w:hAnsi="Times New Roman" w:eastAsia="宋体" w:cs="Times New Roman"/>
                <w:i w:val="0"/>
                <w:iCs w:val="0"/>
                <w:color w:val="000000"/>
                <w:kern w:val="0"/>
                <w:sz w:val="16"/>
                <w:szCs w:val="16"/>
                <w:highlight w:val="none"/>
                <w:u w:val="none"/>
                <w:lang w:val="en-US" w:eastAsia="zh-CN" w:bidi="ar"/>
              </w:rPr>
              <w:t>77</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0"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开展盐碱地综合利用试点</w:t>
            </w:r>
            <w:r>
              <w:rPr>
                <w:rFonts w:hint="eastAsia" w:ascii="Times New Roman" w:hAnsi="Times New Roman" w:eastAsia="宋体" w:cs="Times New Roman"/>
                <w:spacing w:val="2"/>
                <w:sz w:val="16"/>
                <w:szCs w:val="16"/>
                <w:lang w:eastAsia="zh-CN"/>
              </w:rPr>
              <w:t>（</w:t>
            </w:r>
            <w:r>
              <w:rPr>
                <w:rFonts w:hint="default" w:ascii="Times New Roman" w:hAnsi="Times New Roman" w:eastAsia="宋体" w:cs="Times New Roman"/>
                <w:spacing w:val="2"/>
                <w:sz w:val="16"/>
                <w:szCs w:val="16"/>
              </w:rPr>
              <w:t>个</w:t>
            </w:r>
            <w:r>
              <w:rPr>
                <w:rFonts w:hint="eastAsia" w:ascii="Times New Roman" w:hAnsi="Times New Roman" w:eastAsia="宋体" w:cs="Times New Roman"/>
                <w:spacing w:val="2"/>
                <w:sz w:val="16"/>
                <w:szCs w:val="16"/>
                <w:lang w:eastAsia="zh-CN"/>
              </w:rPr>
              <w:t>）</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Style w:val="17"/>
                <w:rFonts w:hint="default" w:ascii="Times New Roman" w:hAnsi="Times New Roman" w:eastAsia="宋体" w:cs="Times New Roman"/>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vMerge w:val="restart"/>
            <w:noWrap/>
            <w:vAlign w:val="center"/>
          </w:tcPr>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320" w:firstLineChars="200"/>
              <w:textAlignment w:val="auto"/>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质量指标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0"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秸秆覆盖免</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少</w:t>
            </w:r>
            <w:r>
              <w:rPr>
                <w:rFonts w:hint="eastAsia" w:ascii="Times New Roman" w:hAnsi="Times New Roman" w:eastAsia="宋体" w:cs="Times New Roman"/>
                <w:spacing w:val="-1"/>
                <w:sz w:val="16"/>
                <w:szCs w:val="16"/>
                <w:lang w:eastAsia="zh-CN"/>
              </w:rPr>
              <w:t>）</w:t>
            </w:r>
            <w:r>
              <w:rPr>
                <w:rFonts w:hint="default" w:ascii="Times New Roman" w:hAnsi="Times New Roman" w:eastAsia="宋体" w:cs="Times New Roman"/>
                <w:spacing w:val="-1"/>
                <w:sz w:val="16"/>
                <w:szCs w:val="16"/>
              </w:rPr>
              <w:t>耕播种作业信息化监测占比</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1"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高标准农田建设项目验收合格率</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18"/>
                <w:rFonts w:hint="default" w:ascii="Times New Roman" w:hAnsi="Times New Roman" w:cs="Times New Roman"/>
                <w:lang w:val="en-US" w:eastAsia="zh-CN" w:bidi="ar"/>
              </w:rPr>
              <w:t>≥95%</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根据《农田建设项目管理办法》（部令〔2019〕4号），高标准农田项目建设期为1-2年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耕地质量</w:t>
            </w:r>
          </w:p>
        </w:tc>
        <w:tc>
          <w:tcPr>
            <w:tcW w:w="906"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逐步提升</w:t>
            </w:r>
          </w:p>
        </w:tc>
        <w:tc>
          <w:tcPr>
            <w:tcW w:w="607"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sz w:val="16"/>
                <w:szCs w:val="16"/>
                <w:u w:val="none"/>
                <w:lang w:val="en-US" w:eastAsia="zh-CN"/>
              </w:rPr>
              <w:t>100%</w:t>
            </w:r>
          </w:p>
        </w:tc>
        <w:tc>
          <w:tcPr>
            <w:tcW w:w="660" w:type="pct"/>
            <w:noWrap/>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both"/>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时效指标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rPr>
              <w:t>耕地地力保护补贴发放时限</w:t>
            </w:r>
          </w:p>
        </w:tc>
        <w:tc>
          <w:tcPr>
            <w:tcW w:w="906"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sz w:val="16"/>
                <w:szCs w:val="16"/>
                <w:u w:val="none"/>
                <w:lang w:val="en-US" w:eastAsia="zh-CN"/>
              </w:rPr>
              <w:t>2023年6月30日</w:t>
            </w:r>
          </w:p>
        </w:tc>
        <w:tc>
          <w:tcPr>
            <w:tcW w:w="607"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2023年10月30日</w:t>
            </w:r>
          </w:p>
        </w:tc>
        <w:tc>
          <w:tcPr>
            <w:tcW w:w="660" w:type="pct"/>
            <w:noWrap/>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both"/>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 xml:space="preserve">因新疆部分地区小麦收获时间较晚，故时间延后。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高标准农田建设任务完成及时性</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Style w:val="18"/>
                <w:rFonts w:hint="default" w:ascii="Times New Roman" w:hAnsi="Times New Roman" w:cs="Times New Roman"/>
                <w:lang w:val="en-US" w:eastAsia="zh-CN" w:bidi="ar"/>
              </w:rPr>
              <w:t>1—2年</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Style w:val="18"/>
                <w:rFonts w:hint="default" w:ascii="Times New Roman" w:hAnsi="Times New Roman" w:cs="Times New Roman"/>
                <w:lang w:val="en-US" w:eastAsia="zh-CN" w:bidi="ar"/>
              </w:rPr>
              <w:t>100%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效益指标</w:t>
            </w:r>
          </w:p>
        </w:tc>
        <w:tc>
          <w:tcPr>
            <w:tcW w:w="75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社会效益指标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粮食综合生产能力</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明显提升</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2"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z w:val="16"/>
                <w:szCs w:val="16"/>
              </w:rPr>
              <w:t>资金使用重大违规违纪问题</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133"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田间道路通达度</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平原区达到100%</w:t>
            </w:r>
            <w:r>
              <w:rPr>
                <w:rFonts w:hint="eastAsia" w:ascii="Times New Roman" w:hAnsi="Times New Roman" w:eastAsia="宋体" w:cs="Times New Roman"/>
                <w:i w:val="0"/>
                <w:iCs w:val="0"/>
                <w:color w:val="000000"/>
                <w:kern w:val="0"/>
                <w:sz w:val="16"/>
                <w:szCs w:val="16"/>
                <w:u w:val="none"/>
                <w:lang w:val="en-US" w:eastAsia="zh-CN" w:bidi="ar"/>
              </w:rPr>
              <w:t>，</w:t>
            </w:r>
            <w:r>
              <w:rPr>
                <w:rFonts w:hint="default" w:ascii="Times New Roman" w:hAnsi="Times New Roman" w:eastAsia="宋体" w:cs="Times New Roman"/>
                <w:i w:val="0"/>
                <w:iCs w:val="0"/>
                <w:color w:val="000000"/>
                <w:kern w:val="0"/>
                <w:sz w:val="16"/>
                <w:szCs w:val="16"/>
                <w:u w:val="none"/>
                <w:lang w:val="en-US" w:eastAsia="zh-CN" w:bidi="ar"/>
              </w:rPr>
              <w:t>丘陵区≥90%</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100%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生态效益指标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3"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1"/>
                <w:sz w:val="16"/>
                <w:szCs w:val="16"/>
              </w:rPr>
              <w:t>项目区受污染耕地安全利用率</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top"/>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757"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可持续影响指标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5"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水资源利用率</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逐步提升</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100%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vMerge w:val="continue"/>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rPr>
            </w:pPr>
            <w:r>
              <w:rPr>
                <w:rFonts w:hint="default" w:ascii="Times New Roman" w:hAnsi="Times New Roman" w:eastAsia="宋体" w:cs="Times New Roman"/>
                <w:i w:val="0"/>
                <w:iCs w:val="0"/>
                <w:color w:val="000000"/>
                <w:kern w:val="0"/>
                <w:sz w:val="16"/>
                <w:szCs w:val="16"/>
                <w:u w:val="none"/>
                <w:lang w:val="en-US" w:eastAsia="zh-CN" w:bidi="ar"/>
              </w:rPr>
              <w:t>满意度指标</w:t>
            </w:r>
          </w:p>
        </w:tc>
        <w:tc>
          <w:tcPr>
            <w:tcW w:w="757"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服务对象满意度指标</w:t>
            </w: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4" w:line="0" w:lineRule="atLeast"/>
              <w:ind w:left="42" w:leftChars="0"/>
              <w:jc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spacing w:val="-1"/>
                <w:sz w:val="16"/>
                <w:szCs w:val="16"/>
                <w:highlight w:val="none"/>
              </w:rPr>
              <w:t>耕地地力保护补贴政策满意度</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rPr>
            </w:pPr>
            <w:r>
              <w:rPr>
                <w:rFonts w:hint="default" w:ascii="Times New Roman" w:hAnsi="Times New Roman" w:eastAsia="宋体" w:cs="Times New Roman"/>
                <w:i w:val="0"/>
                <w:iCs w:val="0"/>
                <w:color w:val="000000"/>
                <w:kern w:val="0"/>
                <w:sz w:val="16"/>
                <w:szCs w:val="16"/>
                <w:highlight w:val="none"/>
                <w:u w:val="none"/>
                <w:lang w:val="en-US" w:eastAsia="zh-CN" w:bidi="ar"/>
              </w:rPr>
              <w:t>≥90%</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highlight w:val="none"/>
                <w:u w:val="none"/>
                <w:lang w:val="en-US" w:eastAsia="zh-CN"/>
              </w:rPr>
            </w:pPr>
            <w:r>
              <w:rPr>
                <w:rFonts w:hint="default" w:ascii="Times New Roman" w:hAnsi="Times New Roman" w:eastAsia="宋体" w:cs="Times New Roman"/>
                <w:i w:val="0"/>
                <w:iCs w:val="0"/>
                <w:color w:val="000000"/>
                <w:sz w:val="16"/>
                <w:szCs w:val="16"/>
                <w:highlight w:val="none"/>
                <w:u w:val="none"/>
                <w:lang w:val="en-US" w:eastAsia="zh-CN"/>
              </w:rPr>
              <w:t>90%</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371" w:type="pct"/>
            <w:noWrap w:val="0"/>
            <w:vAlign w:val="center"/>
          </w:tcPr>
          <w:p>
            <w:pPr>
              <w:keepNext w:val="0"/>
              <w:keepLines w:val="0"/>
              <w:pageBreakBefore w:val="0"/>
              <w:kinsoku/>
              <w:wordWrap/>
              <w:overflowPunct/>
              <w:topLinePunct w:val="0"/>
              <w:autoSpaceDE/>
              <w:autoSpaceDN/>
              <w:bidi w:val="0"/>
              <w:adjustRightInd/>
              <w:snapToGrid/>
              <w:spacing w:line="0" w:lineRule="atLeast"/>
              <w:jc w:val="center"/>
              <w:rPr>
                <w:rFonts w:hint="default" w:ascii="Times New Roman" w:hAnsi="Times New Roman" w:eastAsia="宋体" w:cs="Times New Roman"/>
                <w:i w:val="0"/>
                <w:iCs w:val="0"/>
                <w:color w:val="000000"/>
                <w:sz w:val="16"/>
                <w:szCs w:val="16"/>
                <w:u w:val="none"/>
              </w:rPr>
            </w:pPr>
          </w:p>
        </w:tc>
        <w:tc>
          <w:tcPr>
            <w:tcW w:w="648"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757" w:type="pct"/>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p>
        </w:tc>
        <w:tc>
          <w:tcPr>
            <w:tcW w:w="1048" w:type="pct"/>
            <w:noWrap w:val="0"/>
            <w:vAlign w:val="center"/>
          </w:tcPr>
          <w:p>
            <w:pPr>
              <w:keepNext w:val="0"/>
              <w:keepLines w:val="0"/>
              <w:pageBreakBefore w:val="0"/>
              <w:kinsoku/>
              <w:wordWrap/>
              <w:overflowPunct/>
              <w:topLinePunct w:val="0"/>
              <w:autoSpaceDE/>
              <w:autoSpaceDN/>
              <w:bidi w:val="0"/>
              <w:adjustRightInd/>
              <w:snapToGrid/>
              <w:spacing w:before="35" w:line="0" w:lineRule="atLeast"/>
              <w:ind w:left="42" w:leftChars="0"/>
              <w:jc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spacing w:val="-2"/>
                <w:sz w:val="16"/>
                <w:szCs w:val="16"/>
              </w:rPr>
              <w:t>受益群众满意率</w:t>
            </w:r>
          </w:p>
        </w:tc>
        <w:tc>
          <w:tcPr>
            <w:tcW w:w="90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6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lang w:val="en-US" w:eastAsia="zh-CN"/>
              </w:rPr>
            </w:pPr>
            <w:r>
              <w:rPr>
                <w:rFonts w:hint="default" w:ascii="Times New Roman" w:hAnsi="Times New Roman" w:eastAsia="宋体" w:cs="Times New Roman"/>
                <w:i w:val="0"/>
                <w:iCs w:val="0"/>
                <w:color w:val="000000"/>
                <w:sz w:val="16"/>
                <w:szCs w:val="16"/>
                <w:u w:val="none"/>
                <w:lang w:val="en-US" w:eastAsia="zh-CN"/>
              </w:rPr>
              <w:t>91%</w:t>
            </w:r>
          </w:p>
        </w:tc>
        <w:tc>
          <w:tcPr>
            <w:tcW w:w="660" w:type="pct"/>
            <w:noWrap/>
            <w:vAlign w:val="center"/>
          </w:tcPr>
          <w:p>
            <w:pPr>
              <w:keepNext w:val="0"/>
              <w:keepLines w:val="0"/>
              <w:pageBreakBefore w:val="0"/>
              <w:kinsoku/>
              <w:wordWrap/>
              <w:overflowPunct/>
              <w:topLinePunct w:val="0"/>
              <w:autoSpaceDE/>
              <w:autoSpaceDN/>
              <w:bidi w:val="0"/>
              <w:adjustRightInd/>
              <w:snapToGrid/>
              <w:spacing w:line="0" w:lineRule="atLeast"/>
              <w:rPr>
                <w:rFonts w:hint="default" w:ascii="Times New Roman" w:hAnsi="Times New Roman" w:eastAsia="宋体" w:cs="Times New Roman"/>
                <w:i w:val="0"/>
                <w:iCs w:val="0"/>
                <w:color w:val="000000"/>
                <w:sz w:val="16"/>
                <w:szCs w:val="1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371"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说明</w:t>
            </w:r>
          </w:p>
        </w:tc>
        <w:tc>
          <w:tcPr>
            <w:tcW w:w="4628" w:type="pct"/>
            <w:gridSpan w:val="6"/>
            <w:noWrap/>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无</w:t>
            </w:r>
          </w:p>
        </w:tc>
      </w:tr>
    </w:tbl>
    <w:p>
      <w:pPr>
        <w:pStyle w:val="10"/>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default" w:ascii="Times New Roman" w:hAnsi="Times New Roman" w:eastAsia="仿宋_GB2312" w:cs="Times New Roman"/>
          <w:b w:val="0"/>
          <w:bCs w:val="0"/>
          <w:sz w:val="32"/>
          <w:szCs w:val="36"/>
          <w:highlight w:val="yellow"/>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4E695"/>
    <w:multiLevelType w:val="singleLevel"/>
    <w:tmpl w:val="5B84E69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gutterAtTop/>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2FlYmQ5ZDk2ODhhNjA1MDNkMTg2OGE1NTVkYmYifQ=="/>
  </w:docVars>
  <w:rsids>
    <w:rsidRoot w:val="1AE07BC3"/>
    <w:rsid w:val="00E519BE"/>
    <w:rsid w:val="03255B77"/>
    <w:rsid w:val="062C0CFF"/>
    <w:rsid w:val="0AE70585"/>
    <w:rsid w:val="0B914A4C"/>
    <w:rsid w:val="0B9B1544"/>
    <w:rsid w:val="0DD46A8E"/>
    <w:rsid w:val="0E656463"/>
    <w:rsid w:val="0F9F0794"/>
    <w:rsid w:val="103435D2"/>
    <w:rsid w:val="17965343"/>
    <w:rsid w:val="1849660C"/>
    <w:rsid w:val="18A34AB8"/>
    <w:rsid w:val="19987C21"/>
    <w:rsid w:val="1AE07BC3"/>
    <w:rsid w:val="1BDC7FC4"/>
    <w:rsid w:val="1E6D7CAF"/>
    <w:rsid w:val="226D034E"/>
    <w:rsid w:val="23B968F1"/>
    <w:rsid w:val="2A7BF9BC"/>
    <w:rsid w:val="2D5B3112"/>
    <w:rsid w:val="2DBD655D"/>
    <w:rsid w:val="2EAF2FCD"/>
    <w:rsid w:val="2ECA51AB"/>
    <w:rsid w:val="30CC6AB7"/>
    <w:rsid w:val="33B87B9E"/>
    <w:rsid w:val="35D05902"/>
    <w:rsid w:val="35D72B87"/>
    <w:rsid w:val="39F10098"/>
    <w:rsid w:val="3C4D45AD"/>
    <w:rsid w:val="3C8F16C1"/>
    <w:rsid w:val="41931657"/>
    <w:rsid w:val="485611F4"/>
    <w:rsid w:val="492373A4"/>
    <w:rsid w:val="4B950F16"/>
    <w:rsid w:val="4CA46401"/>
    <w:rsid w:val="4CE30410"/>
    <w:rsid w:val="4EBA57DB"/>
    <w:rsid w:val="577D5080"/>
    <w:rsid w:val="5E5A377B"/>
    <w:rsid w:val="5E62665A"/>
    <w:rsid w:val="5ECB022A"/>
    <w:rsid w:val="617C0DC9"/>
    <w:rsid w:val="61CE03B9"/>
    <w:rsid w:val="63EB5FB8"/>
    <w:rsid w:val="68D511B8"/>
    <w:rsid w:val="6C4C7F69"/>
    <w:rsid w:val="6C766C26"/>
    <w:rsid w:val="705B38F4"/>
    <w:rsid w:val="70A02270"/>
    <w:rsid w:val="70AA6951"/>
    <w:rsid w:val="71EA1380"/>
    <w:rsid w:val="72E41333"/>
    <w:rsid w:val="745F3B1C"/>
    <w:rsid w:val="7651708F"/>
    <w:rsid w:val="768F6936"/>
    <w:rsid w:val="775841CD"/>
    <w:rsid w:val="775F726F"/>
    <w:rsid w:val="77CF26E1"/>
    <w:rsid w:val="78FB657D"/>
    <w:rsid w:val="7F0D4B08"/>
    <w:rsid w:val="7F98742A"/>
    <w:rsid w:val="7FAD2F18"/>
    <w:rsid w:val="7FFB4703"/>
    <w:rsid w:val="9FDF3388"/>
    <w:rsid w:val="E8B25116"/>
    <w:rsid w:val="FAADA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Indent"/>
    <w:basedOn w:val="1"/>
    <w:unhideWhenUsed/>
    <w:qFormat/>
    <w:uiPriority w:val="99"/>
    <w:pPr>
      <w:ind w:firstLine="420" w:firstLineChars="200"/>
    </w:pPr>
    <w:rPr>
      <w:rFonts w:eastAsia="仿宋"/>
      <w:sz w:val="32"/>
    </w:rPr>
  </w:style>
  <w:style w:type="paragraph" w:styleId="5">
    <w:name w:val="annotation text"/>
    <w:basedOn w:val="1"/>
    <w:qFormat/>
    <w:uiPriority w:val="0"/>
    <w:pPr>
      <w:jc w:val="left"/>
    </w:pPr>
  </w:style>
  <w:style w:type="paragraph" w:styleId="6">
    <w:name w:val="Body Text"/>
    <w:basedOn w:val="1"/>
    <w:qFormat/>
    <w:uiPriority w:val="0"/>
    <w:rPr>
      <w:rFonts w:ascii="宋体" w:hAnsi="宋体" w:eastAsia="宋体" w:cs="宋体"/>
      <w:szCs w:val="32"/>
      <w:lang w:val="zh-CN" w:bidi="zh-CN"/>
    </w:rPr>
  </w:style>
  <w:style w:type="paragraph" w:styleId="7">
    <w:name w:val="Body Text Indent"/>
    <w:basedOn w:val="1"/>
    <w:next w:val="4"/>
    <w:semiHidden/>
    <w:qFormat/>
    <w:uiPriority w:val="99"/>
    <w:pPr>
      <w:spacing w:after="120"/>
      <w:ind w:left="42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qFormat/>
    <w:uiPriority w:val="0"/>
    <w:pPr>
      <w:ind w:firstLine="420" w:firstLineChars="100"/>
    </w:pPr>
  </w:style>
  <w:style w:type="paragraph" w:styleId="11">
    <w:name w:val="Body Text First Indent 2"/>
    <w:basedOn w:val="7"/>
    <w:next w:val="10"/>
    <w:qFormat/>
    <w:uiPriority w:val="99"/>
    <w:pPr>
      <w:ind w:firstLine="420" w:firstLineChars="200"/>
    </w:pPr>
    <w:rPr>
      <w:rFonts w:ascii="Calibri" w:hAnsi="Calibri"/>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paragraph" w:customStyle="1" w:styleId="16">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 w:type="character" w:customStyle="1" w:styleId="18">
    <w:name w:val="font21"/>
    <w:basedOn w:val="13"/>
    <w:qFormat/>
    <w:uiPriority w:val="0"/>
    <w:rPr>
      <w:rFonts w:hint="eastAsia" w:ascii="宋体" w:hAnsi="宋体" w:eastAsia="宋体" w:cs="宋体"/>
      <w:color w:val="000000"/>
      <w:sz w:val="16"/>
      <w:szCs w:val="16"/>
      <w:u w:val="none"/>
    </w:rPr>
  </w:style>
  <w:style w:type="character" w:customStyle="1" w:styleId="19">
    <w:name w:val="font121"/>
    <w:basedOn w:val="13"/>
    <w:qFormat/>
    <w:uiPriority w:val="0"/>
    <w:rPr>
      <w:rFonts w:hint="default" w:ascii="Times New Roman" w:hAnsi="Times New Roman" w:cs="Times New Roman"/>
      <w:color w:val="000000"/>
      <w:sz w:val="16"/>
      <w:szCs w:val="16"/>
      <w:u w:val="none"/>
    </w:rPr>
  </w:style>
  <w:style w:type="character" w:customStyle="1" w:styleId="20">
    <w:name w:val="font91"/>
    <w:basedOn w:val="13"/>
    <w:qFormat/>
    <w:uiPriority w:val="0"/>
    <w:rPr>
      <w:rFonts w:hint="eastAsia" w:ascii="仿宋_GB2312" w:eastAsia="仿宋_GB2312" w:cs="仿宋_GB2312"/>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2024-03-13T03:12:00Z</dcterms:created>
  <dc:creator>X</dc:creator>
  <cp:lastModifiedBy>greatwall</cp:lastModifiedBy>
  <cp:lastPrinted>2024-03-28T19:23:00Z</cp:lastPrinted>
  <dcterms:modified xsi:type="dcterms:W3CDTF">2024-03-28T18:37:50Z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D67C4689827F4076AF5DB624D3CCC3CF_13</vt:lpwstr>
  </property>
</Properties>
</file>